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DD85" w14:textId="51209E2A" w:rsidR="003465FD" w:rsidRDefault="007414FF">
      <w:r w:rsidRPr="00D06C62">
        <w:rPr>
          <w:rFonts w:cs="Open Sans"/>
          <w:noProof/>
        </w:rPr>
        <w:drawing>
          <wp:anchor distT="0" distB="0" distL="114300" distR="114300" simplePos="0" relativeHeight="251658240" behindDoc="1" locked="0" layoutInCell="1" allowOverlap="1" wp14:anchorId="59503662" wp14:editId="7BCD2586">
            <wp:simplePos x="0" y="0"/>
            <wp:positionH relativeFrom="page">
              <wp:posOffset>-228600</wp:posOffset>
            </wp:positionH>
            <wp:positionV relativeFrom="paragraph">
              <wp:posOffset>-588010</wp:posOffset>
            </wp:positionV>
            <wp:extent cx="8020050" cy="7096117"/>
            <wp:effectExtent l="0" t="0" r="0" b="0"/>
            <wp:wrapNone/>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r="21699"/>
                    <a:stretch/>
                  </pic:blipFill>
                  <pic:spPr bwMode="auto">
                    <a:xfrm>
                      <a:off x="0" y="0"/>
                      <a:ext cx="8020995" cy="70969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000">
        <w:rPr>
          <w:noProof/>
        </w:rPr>
        <w:pict w14:anchorId="71331E5C">
          <v:rect id="Rectangle 3" o:spid="_x0000_s2052" alt="white rectangle for text on cover" style="position:absolute;margin-left:-23.5pt;margin-top:-23.25pt;width:563.25pt;height:126.7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" fillcolor="white [3212]" stroked="f" strokeweight="1pt">
            <v:textbox>
              <w:txbxContent>
                <w:p w14:paraId="44327535" w14:textId="3D23EC12" w:rsidR="003465FD" w:rsidRPr="00353276" w:rsidRDefault="003465FD" w:rsidP="003465FD">
                  <w:pPr>
                    <w:pStyle w:val="Title"/>
                    <w:spacing w:after="0"/>
                    <w:rPr>
                      <w:color w:val="48C3D2"/>
                    </w:rPr>
                  </w:pPr>
                  <w:r w:rsidRPr="00353276">
                    <w:rPr>
                      <w:color w:val="48C3D2"/>
                    </w:rPr>
                    <w:t>Disability</w:t>
                  </w:r>
                  <w:r>
                    <w:rPr>
                      <w:color w:val="48C3D2"/>
                    </w:rPr>
                    <w:t>, Crime and</w:t>
                  </w:r>
                  <w:r w:rsidRPr="00353276">
                    <w:rPr>
                      <w:color w:val="48C3D2"/>
                    </w:rPr>
                    <w:t xml:space="preserve"> Hate Crime in the News</w:t>
                  </w:r>
                </w:p>
                <w:p w14:paraId="0016E98B" w14:textId="0A4F0DED" w:rsidR="003465FD" w:rsidRDefault="003465FD" w:rsidP="003465FD">
                  <w:pPr>
                    <w:jc w:val="center"/>
                  </w:pPr>
                  <w:r w:rsidRPr="003465FD">
                    <w:rPr>
                      <w:noProof/>
                    </w:rPr>
                    <w:drawing>
                      <wp:inline distT="0" distB="0" distL="0" distR="0" wp14:anchorId="43D3A714" wp14:editId="3525E856">
                        <wp:extent cx="6677025" cy="3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77025" cy="38100"/>
                                </a:xfrm>
                                <a:prstGeom prst="rect">
                                  <a:avLst/>
                                </a:prstGeom>
                                <a:noFill/>
                                <a:ln>
                                  <a:noFill/>
                                </a:ln>
                              </pic:spPr>
                            </pic:pic>
                          </a:graphicData>
                        </a:graphic>
                      </wp:inline>
                    </w:drawing>
                  </w:r>
                </w:p>
              </w:txbxContent>
            </v:textbox>
            <w10:wrap anchorx="margin" anchory="margin"/>
          </v:rect>
        </w:pict>
      </w:r>
    </w:p>
    <w:p w14:paraId="25B35046" w14:textId="52596196" w:rsidR="003465FD" w:rsidRDefault="003465FD"/>
    <w:p w14:paraId="0FF1D1D1" w14:textId="70990F49" w:rsidR="003465FD" w:rsidRDefault="003465FD"/>
    <w:p w14:paraId="0132865E" w14:textId="77777777" w:rsidR="003465FD" w:rsidRDefault="003465FD"/>
    <w:p w14:paraId="22526933" w14:textId="77777777" w:rsidR="003465FD" w:rsidRDefault="003465FD"/>
    <w:p w14:paraId="1CAF77F1" w14:textId="76976134" w:rsidR="003465FD" w:rsidRDefault="003465FD"/>
    <w:p w14:paraId="14C85635" w14:textId="77777777" w:rsidR="003465FD" w:rsidRDefault="003465FD"/>
    <w:p w14:paraId="6892A605" w14:textId="0C9661BB" w:rsidR="003465FD" w:rsidRDefault="003465FD"/>
    <w:p w14:paraId="32055596" w14:textId="399E484D" w:rsidR="003465FD" w:rsidRDefault="003465FD"/>
    <w:p w14:paraId="549A4398" w14:textId="198D4335" w:rsidR="003465FD" w:rsidRDefault="003465FD" w:rsidP="009C0676">
      <w:pPr>
        <w:jc w:val="right"/>
      </w:pPr>
    </w:p>
    <w:p w14:paraId="12281ED6" w14:textId="732BCE16" w:rsidR="003465FD" w:rsidRDefault="003465FD"/>
    <w:p w14:paraId="60703E32" w14:textId="4A8901CE" w:rsidR="003465FD" w:rsidRDefault="003465FD"/>
    <w:tbl>
      <w:tblPr>
        <w:tblpPr w:leftFromText="180" w:rightFromText="180" w:vertAnchor="text" w:horzAnchor="page" w:tblpX="1036" w:tblpY="3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52"/>
      </w:tblGrid>
      <w:tr w:rsidR="003465FD" w:rsidRPr="00D06C62" w14:paraId="282C1527" w14:textId="77777777" w:rsidTr="003465FD">
        <w:trPr>
          <w:trHeight w:val="2209"/>
        </w:trPr>
        <w:tc>
          <w:tcPr>
            <w:tcW w:w="6752" w:type="dxa"/>
            <w:tcBorders>
              <w:top w:val="nil"/>
              <w:left w:val="nil"/>
              <w:bottom w:val="nil"/>
              <w:right w:val="nil"/>
            </w:tcBorders>
          </w:tcPr>
          <w:p w14:paraId="039CA1D1" w14:textId="78BBDC16" w:rsidR="003465FD" w:rsidRPr="00D06C62" w:rsidRDefault="003465FD" w:rsidP="003465FD">
            <w:pPr>
              <w:rPr>
                <w:rFonts w:cs="Open Sans"/>
                <w:noProof/>
                <w:color w:val="FFFFFF" w:themeColor="background1"/>
                <w:sz w:val="12"/>
                <w:szCs w:val="12"/>
              </w:rPr>
            </w:pPr>
          </w:p>
          <w:p w14:paraId="2AF885C6" w14:textId="77777777" w:rsidR="003465FD" w:rsidRPr="00D06C62" w:rsidRDefault="003465FD" w:rsidP="003465FD">
            <w:pPr>
              <w:rPr>
                <w:rFonts w:cs="Open Sans"/>
                <w:noProof/>
                <w:color w:val="FFFFFF" w:themeColor="background1"/>
                <w:sz w:val="12"/>
                <w:szCs w:val="12"/>
              </w:rPr>
            </w:pPr>
          </w:p>
          <w:p w14:paraId="1B30D546" w14:textId="77777777" w:rsidR="003465FD" w:rsidRPr="00D06C62" w:rsidRDefault="003465FD" w:rsidP="003465FD">
            <w:pPr>
              <w:rPr>
                <w:rFonts w:cs="Open Sans"/>
                <w:noProof/>
                <w:color w:val="FFFFFF" w:themeColor="background1"/>
                <w:sz w:val="12"/>
                <w:szCs w:val="12"/>
              </w:rPr>
            </w:pPr>
          </w:p>
          <w:sdt>
            <w:sdtPr>
              <w:rPr>
                <w:rFonts w:cs="Open Sans"/>
                <w:color w:val="FFFFFF" w:themeColor="background1"/>
                <w:sz w:val="32"/>
                <w:szCs w:val="24"/>
              </w:rPr>
              <w:id w:val="-1740469667"/>
              <w:placeholder>
                <w:docPart w:val="432B131E504843B99AA773A115709408"/>
              </w:placeholder>
              <w15:appearance w15:val="hidden"/>
            </w:sdtPr>
            <w:sdtContent>
              <w:p w14:paraId="420E0E35" w14:textId="5E2C8BD9" w:rsidR="007414FF" w:rsidRPr="00D06C62" w:rsidRDefault="007414FF" w:rsidP="007414FF">
                <w:pPr>
                  <w:rPr>
                    <w:rFonts w:cs="Open Sans"/>
                    <w:color w:val="FFFFFF" w:themeColor="background1"/>
                    <w:sz w:val="32"/>
                    <w:szCs w:val="24"/>
                  </w:rPr>
                </w:pPr>
                <w:r>
                  <w:rPr>
                    <w:rFonts w:cs="Open Sans"/>
                    <w:color w:val="FFFFFF" w:themeColor="background1"/>
                    <w:sz w:val="32"/>
                    <w:szCs w:val="24"/>
                  </w:rPr>
                  <w:t xml:space="preserve"> </w:t>
                </w:r>
                <w:sdt>
                  <w:sdtPr>
                    <w:rPr>
                      <w:rFonts w:cs="Open Sans"/>
                      <w:color w:val="FFFFFF" w:themeColor="background1"/>
                      <w:sz w:val="32"/>
                      <w:szCs w:val="24"/>
                    </w:rPr>
                    <w:id w:val="1080870105"/>
                    <w:placeholder>
                      <w:docPart w:val="4BF3CAC099444AA4A74D579E9F1521E0"/>
                    </w:placeholder>
                    <w15:appearance w15:val="hidden"/>
                  </w:sdtPr>
                  <w:sdtContent>
                    <w:r w:rsidR="00443D3D">
                      <w:rPr>
                        <w:rFonts w:cs="Open Sans"/>
                        <w:color w:val="FFFFFF" w:themeColor="background1"/>
                        <w:sz w:val="32"/>
                        <w:szCs w:val="24"/>
                      </w:rPr>
                      <w:t>December</w:t>
                    </w:r>
                    <w:r w:rsidRPr="00D06C62">
                      <w:rPr>
                        <w:rFonts w:cs="Open Sans"/>
                        <w:color w:val="FFFFFF" w:themeColor="background1"/>
                        <w:sz w:val="32"/>
                        <w:szCs w:val="24"/>
                      </w:rPr>
                      <w:t xml:space="preserve"> 2022</w:t>
                    </w:r>
                  </w:sdtContent>
                </w:sdt>
              </w:p>
              <w:p w14:paraId="24949BAC" w14:textId="3043D302" w:rsidR="007414FF" w:rsidRDefault="007414FF" w:rsidP="003465FD">
                <w:pPr>
                  <w:rPr>
                    <w:rFonts w:cs="Open Sans"/>
                    <w:color w:val="FFFFFF" w:themeColor="background1"/>
                    <w:sz w:val="32"/>
                    <w:szCs w:val="24"/>
                  </w:rPr>
                </w:pPr>
              </w:p>
              <w:p w14:paraId="50FD8DF9" w14:textId="1FAD14DA" w:rsidR="007414FF" w:rsidRDefault="00000000" w:rsidP="003465FD">
                <w:pPr>
                  <w:rPr>
                    <w:rFonts w:cs="Open Sans"/>
                    <w:color w:val="FFFFFF" w:themeColor="background1"/>
                    <w:sz w:val="32"/>
                    <w:szCs w:val="24"/>
                  </w:rPr>
                </w:pPr>
                <w:r>
                  <w:pict w14:anchorId="5A8AF385">
                    <v:line id="Straight Connector 6" o:spid="_x0000_s2053" alt="text divider" style="visibility:visible;mso-wrap-style:square;mso-left-percent:-10001;mso-top-percent:-10001;mso-position-horizontal:absolute;mso-position-horizontal-relative:char;mso-position-vertical:absolute;mso-position-vertical-relative:line;mso-left-percent:-10001;mso-top-percent:-10001" from="0,0" to="117.65pt,0" strokecolor="white [3212]" strokeweight="3pt">
                      <v:stroke joinstyle="miter"/>
                      <w10:wrap type="none"/>
                      <w10:anchorlock/>
                    </v:line>
                  </w:pict>
                </w:r>
              </w:p>
              <w:p w14:paraId="3B7297D3" w14:textId="01C08010" w:rsidR="003465FD" w:rsidRPr="00D06C62" w:rsidRDefault="003465FD" w:rsidP="003465FD">
                <w:pPr>
                  <w:rPr>
                    <w:rFonts w:cs="Open Sans"/>
                    <w:color w:val="FFFFFF" w:themeColor="background1"/>
                    <w:sz w:val="32"/>
                    <w:szCs w:val="24"/>
                  </w:rPr>
                </w:pPr>
                <w:r w:rsidRPr="00D06C62">
                  <w:rPr>
                    <w:rFonts w:cs="Open Sans"/>
                    <w:color w:val="FFFFFF" w:themeColor="background1"/>
                    <w:sz w:val="32"/>
                    <w:szCs w:val="24"/>
                  </w:rPr>
                  <w:t>Inclusion London</w:t>
                </w:r>
              </w:p>
            </w:sdtContent>
          </w:sdt>
          <w:p w14:paraId="04541165" w14:textId="4C91FD3F" w:rsidR="003465FD" w:rsidRPr="0033762B" w:rsidRDefault="003465FD" w:rsidP="003465FD">
            <w:pPr>
              <w:rPr>
                <w:rFonts w:cs="Open Sans"/>
                <w:color w:val="FFFFFF" w:themeColor="background1"/>
                <w:sz w:val="32"/>
                <w:szCs w:val="24"/>
              </w:rPr>
            </w:pPr>
            <w:r w:rsidRPr="00D06C62">
              <w:rPr>
                <w:rFonts w:cs="Open Sans"/>
                <w:color w:val="FFFFFF" w:themeColor="background1"/>
                <w:sz w:val="32"/>
                <w:szCs w:val="24"/>
              </w:rPr>
              <w:t xml:space="preserve">Authored by: </w:t>
            </w:r>
            <w:sdt>
              <w:sdtPr>
                <w:rPr>
                  <w:rFonts w:cs="Open Sans"/>
                  <w:color w:val="FFFFFF" w:themeColor="background1"/>
                  <w:sz w:val="32"/>
                  <w:szCs w:val="24"/>
                </w:rPr>
                <w:alias w:val="Your Name"/>
                <w:tag w:val="Your Name"/>
                <w:id w:val="-180584491"/>
                <w:placeholder>
                  <w:docPart w:val="FA75B4D0B1BB4AC8BA131B604E4EF7E5"/>
                </w:placeholder>
                <w:dataBinding w:prefixMappings="xmlns:ns0='http://schemas.microsoft.com/office/2006/coverPageProps' " w:xpath="/ns0:CoverPageProperties[1]/ns0:CompanyFax[1]" w:storeItemID="{55AF091B-3C7A-41E3-B477-F2FDAA23CFDA}"/>
                <w15:appearance w15:val="hidden"/>
                <w:text w:multiLine="1"/>
              </w:sdtPr>
              <w:sdtContent>
                <w:r w:rsidR="00A113A3">
                  <w:rPr>
                    <w:rFonts w:cs="Open Sans"/>
                    <w:color w:val="FFFFFF" w:themeColor="background1"/>
                    <w:sz w:val="32"/>
                    <w:szCs w:val="24"/>
                  </w:rPr>
                  <w:t>Disability Hate Crime Team, Lara Conner and Louise Holden</w:t>
                </w:r>
              </w:sdtContent>
            </w:sdt>
          </w:p>
        </w:tc>
      </w:tr>
    </w:tbl>
    <w:p w14:paraId="4ACB46B9" w14:textId="051713A8" w:rsidR="00730562" w:rsidRPr="00730562" w:rsidRDefault="00000000" w:rsidP="00730562">
      <w:r>
        <w:rPr>
          <w:noProof/>
        </w:rPr>
        <w:pict w14:anchorId="3E94404B">
          <v:rect id="Rectangle 2" o:spid="_x0000_s2050" alt="colored rectangle" style="position:absolute;margin-left:.3pt;margin-top:544.5pt;width:612.75pt;height:296.25pt;z-index:-25165823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" fillcolor="#48c3d2" stroked="f" strokeweight="1pt">
            <w10:wrap anchorx="page" anchory="page"/>
          </v:rect>
        </w:pict>
      </w:r>
      <w:r w:rsidR="007414FF" w:rsidRPr="00D06C62">
        <w:rPr>
          <w:rFonts w:cs="Open Sans"/>
          <w:noProof/>
        </w:rPr>
        <w:drawing>
          <wp:anchor distT="0" distB="0" distL="114300" distR="114300" simplePos="0" relativeHeight="251658243" behindDoc="0" locked="0" layoutInCell="1" allowOverlap="1" wp14:anchorId="41563E57" wp14:editId="7F96DB02">
            <wp:simplePos x="0" y="0"/>
            <wp:positionH relativeFrom="column">
              <wp:posOffset>4876800</wp:posOffset>
            </wp:positionH>
            <wp:positionV relativeFrom="paragraph">
              <wp:posOffset>2779395</wp:posOffset>
            </wp:positionV>
            <wp:extent cx="1628775" cy="1628775"/>
            <wp:effectExtent l="0" t="0" r="9525" b="9525"/>
            <wp:wrapNone/>
            <wp:docPr id="10" name="Picture 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14:sizeRelH relativeFrom="page">
              <wp14:pctWidth>0</wp14:pctWidth>
            </wp14:sizeRelH>
            <wp14:sizeRelV relativeFrom="page">
              <wp14:pctHeight>0</wp14:pctHeight>
            </wp14:sizeRelV>
          </wp:anchor>
        </w:drawing>
      </w:r>
      <w:r w:rsidR="003465FD">
        <w:br w:type="page"/>
      </w:r>
    </w:p>
    <w:p w14:paraId="49803E34" w14:textId="188E33B8" w:rsidR="00F1426B" w:rsidRDefault="00F1426B" w:rsidP="00730562">
      <w:pPr>
        <w:pStyle w:val="Heading2"/>
      </w:pPr>
    </w:p>
    <w:p w14:paraId="075E5E95" w14:textId="2096059A" w:rsidR="00730562" w:rsidRDefault="00730562" w:rsidP="00730562">
      <w:pPr>
        <w:pStyle w:val="Heading2"/>
      </w:pPr>
      <w:bookmarkStart w:id="0" w:name="_Toc120713447"/>
      <w:r w:rsidRPr="00F7675C">
        <w:t>Content Warning</w:t>
      </w:r>
      <w:bookmarkEnd w:id="0"/>
    </w:p>
    <w:p w14:paraId="132D6E13" w14:textId="69C5EEAD" w:rsidR="00D67869" w:rsidRDefault="00730562" w:rsidP="00730562">
      <w:pPr>
        <w:pStyle w:val="Content"/>
        <w:rPr>
          <w:i/>
          <w:iCs/>
        </w:rPr>
      </w:pPr>
      <w:r w:rsidRPr="00730562">
        <w:rPr>
          <w:i/>
          <w:iCs/>
        </w:rPr>
        <w:t xml:space="preserve">This report contains non-explicit discussions of and details about a range of violent and criminal </w:t>
      </w:r>
      <w:r>
        <w:rPr>
          <w:i/>
          <w:iCs/>
        </w:rPr>
        <w:t>acts,</w:t>
      </w:r>
      <w:r w:rsidRPr="00730562">
        <w:rPr>
          <w:i/>
          <w:iCs/>
        </w:rPr>
        <w:t xml:space="preserve"> </w:t>
      </w:r>
      <w:r w:rsidRPr="00730562" w:rsidDel="00740365">
        <w:rPr>
          <w:i/>
          <w:iCs/>
        </w:rPr>
        <w:t>including</w:t>
      </w:r>
      <w:r w:rsidRPr="00730562">
        <w:rPr>
          <w:i/>
          <w:iCs/>
        </w:rPr>
        <w:t xml:space="preserve"> murder, abuse, manslaughter, rape, and domestic violence.</w:t>
      </w:r>
      <w:r>
        <w:rPr>
          <w:i/>
          <w:iCs/>
        </w:rPr>
        <w:t xml:space="preserve"> </w:t>
      </w:r>
    </w:p>
    <w:p w14:paraId="4A5F3B64" w14:textId="5C65954E" w:rsidR="00730562" w:rsidRDefault="00730562" w:rsidP="00730562">
      <w:pPr>
        <w:pStyle w:val="Content"/>
        <w:rPr>
          <w:i/>
          <w:iCs/>
        </w:rPr>
      </w:pPr>
      <w:r>
        <w:rPr>
          <w:i/>
          <w:iCs/>
        </w:rPr>
        <w:t xml:space="preserve">Many </w:t>
      </w:r>
      <w:r w:rsidR="00D67869">
        <w:rPr>
          <w:i/>
          <w:iCs/>
        </w:rPr>
        <w:t>of the</w:t>
      </w:r>
      <w:r>
        <w:rPr>
          <w:i/>
          <w:iCs/>
        </w:rPr>
        <w:t xml:space="preserve"> cases which made the news involved the death of a Disabled person or people, including children and babies.</w:t>
      </w:r>
      <w:r w:rsidR="00D67869">
        <w:rPr>
          <w:i/>
          <w:iCs/>
        </w:rPr>
        <w:t xml:space="preserve"> Others involved violent harm.</w:t>
      </w:r>
    </w:p>
    <w:p w14:paraId="24DEF9BA" w14:textId="3F948934" w:rsidR="00730562" w:rsidRDefault="00730562" w:rsidP="00730562">
      <w:pPr>
        <w:pStyle w:val="Content"/>
        <w:rPr>
          <w:i/>
          <w:iCs/>
        </w:rPr>
      </w:pPr>
      <w:r>
        <w:rPr>
          <w:i/>
          <w:iCs/>
        </w:rPr>
        <w:t>Therefore, we recommend that each person reading this report make their own personal assessment before</w:t>
      </w:r>
      <w:r w:rsidR="00D67869">
        <w:rPr>
          <w:i/>
          <w:iCs/>
        </w:rPr>
        <w:t xml:space="preserve"> and while</w:t>
      </w:r>
      <w:r>
        <w:rPr>
          <w:i/>
          <w:iCs/>
        </w:rPr>
        <w:t xml:space="preserve"> reading this report, considering their own experiences, mental health, and boundaries.</w:t>
      </w:r>
    </w:p>
    <w:p w14:paraId="40606323" w14:textId="77777777" w:rsidR="00F1426B" w:rsidRDefault="00F1426B" w:rsidP="00730562">
      <w:pPr>
        <w:pStyle w:val="Content"/>
        <w:rPr>
          <w:i/>
          <w:iCs/>
        </w:rPr>
      </w:pPr>
    </w:p>
    <w:p w14:paraId="4F5F322F" w14:textId="12152492" w:rsidR="00730562" w:rsidRDefault="00730562">
      <w:pPr>
        <w:rPr>
          <w:rFonts w:eastAsiaTheme="minorEastAsia"/>
          <w:i/>
          <w:iCs/>
          <w:color w:val="000000" w:themeColor="text1"/>
          <w:lang w:val="en-US"/>
        </w:rPr>
      </w:pPr>
      <w:r>
        <w:rPr>
          <w:i/>
          <w:iCs/>
        </w:rPr>
        <w:br w:type="page"/>
      </w:r>
    </w:p>
    <w:p w14:paraId="069558C3" w14:textId="0C7DB549" w:rsidR="003465FD" w:rsidRPr="000F0B9D" w:rsidRDefault="003465FD" w:rsidP="000F0B9D">
      <w:pPr>
        <w:pStyle w:val="Heading1"/>
      </w:pPr>
      <w:bookmarkStart w:id="1" w:name="_Toc120713448"/>
      <w:r w:rsidRPr="000F0B9D">
        <w:lastRenderedPageBreak/>
        <w:t>Crimes again disabled people in the news</w:t>
      </w:r>
      <w:bookmarkEnd w:id="1"/>
    </w:p>
    <w:p w14:paraId="2EB4333F" w14:textId="71D96617" w:rsidR="003465FD" w:rsidRDefault="00F7675C" w:rsidP="000F0B9D">
      <w:pPr>
        <w:pStyle w:val="Heading2"/>
      </w:pPr>
      <w:bookmarkStart w:id="2" w:name="_Toc120713449"/>
      <w:r w:rsidRPr="000F0B9D">
        <w:t>Introduction</w:t>
      </w:r>
      <w:bookmarkEnd w:id="2"/>
    </w:p>
    <w:p w14:paraId="7A93D475" w14:textId="77777777" w:rsidR="003465FD" w:rsidRPr="00D06C62" w:rsidRDefault="003465FD" w:rsidP="003465FD">
      <w:pPr>
        <w:rPr>
          <w:rFonts w:cs="Open Sans"/>
        </w:rPr>
      </w:pPr>
    </w:p>
    <w:p w14:paraId="04806599" w14:textId="77777777" w:rsidR="00F612B5" w:rsidRPr="00F612B5" w:rsidRDefault="00F612B5" w:rsidP="00F612B5">
      <w:pPr>
        <w:pStyle w:val="Content"/>
        <w:rPr>
          <w:rFonts w:cs="Open Sans"/>
        </w:rPr>
      </w:pPr>
      <w:r>
        <w:rPr>
          <w:rFonts w:cs="Open Sans"/>
        </w:rPr>
        <w:t>It can surprise people</w:t>
      </w:r>
      <w:r w:rsidR="004429D4">
        <w:rPr>
          <w:rFonts w:cs="Open Sans"/>
        </w:rPr>
        <w:t xml:space="preserve"> </w:t>
      </w:r>
      <w:r w:rsidR="00BE7992">
        <w:rPr>
          <w:rFonts w:cs="Open Sans"/>
        </w:rPr>
        <w:t>to</w:t>
      </w:r>
      <w:r w:rsidR="00C22564">
        <w:rPr>
          <w:rFonts w:cs="Open Sans"/>
        </w:rPr>
        <w:t xml:space="preserve"> learn about the prevalence of disability hate crime, or how Disabled people are disproportionately affected by crime</w:t>
      </w:r>
      <w:r w:rsidR="00345453" w:rsidRPr="00F612B5">
        <w:rPr>
          <w:rStyle w:val="FootnoteReference"/>
          <w:rFonts w:cs="Open Sans"/>
        </w:rPr>
        <w:footnoteReference w:id="2"/>
      </w:r>
      <w:r w:rsidR="00C22564">
        <w:rPr>
          <w:rFonts w:cs="Open Sans"/>
        </w:rPr>
        <w:t xml:space="preserve">. </w:t>
      </w:r>
      <w:r w:rsidRPr="00F612B5">
        <w:rPr>
          <w:rFonts w:cs="Open Sans"/>
        </w:rPr>
        <w:t>There is often this assumption that few people would harm or commit crimes against Disabled people. However, Disabled people are targeted for and experience greater rates of crime than their non-Disabled peers, and there are many examples throughout our national news of just that. Inclusion London set out to explore the portrayals of disability in the media reports on these crimes.</w:t>
      </w:r>
    </w:p>
    <w:p w14:paraId="0AC2B067" w14:textId="4CC64A44" w:rsidR="003465FD" w:rsidRPr="00D06C62" w:rsidRDefault="003465FD" w:rsidP="003465FD">
      <w:pPr>
        <w:pStyle w:val="Content"/>
        <w:rPr>
          <w:rFonts w:cs="Open Sans"/>
        </w:rPr>
      </w:pPr>
      <w:r>
        <w:rPr>
          <w:rFonts w:cs="Open Sans"/>
        </w:rPr>
        <w:t>For</w:t>
      </w:r>
      <w:r w:rsidRPr="00D06C62">
        <w:rPr>
          <w:rFonts w:cs="Open Sans"/>
        </w:rPr>
        <w:t xml:space="preserve"> this report, we review</w:t>
      </w:r>
      <w:r>
        <w:rPr>
          <w:rFonts w:cs="Open Sans"/>
        </w:rPr>
        <w:t>ed</w:t>
      </w:r>
      <w:r w:rsidRPr="00D06C62">
        <w:rPr>
          <w:rFonts w:cs="Open Sans"/>
        </w:rPr>
        <w:t xml:space="preserve"> the news coverage of </w:t>
      </w:r>
      <w:r>
        <w:rPr>
          <w:rFonts w:cs="Open Sans"/>
        </w:rPr>
        <w:t>300</w:t>
      </w:r>
      <w:r w:rsidRPr="00D06C62">
        <w:rPr>
          <w:rFonts w:cs="Open Sans"/>
        </w:rPr>
        <w:t xml:space="preserve"> crimes against Disabled people reported throughout the </w:t>
      </w:r>
      <w:r w:rsidR="00F7675C">
        <w:rPr>
          <w:rFonts w:cs="Open Sans"/>
        </w:rPr>
        <w:t>United Kingdom</w:t>
      </w:r>
      <w:r w:rsidRPr="00D06C62">
        <w:rPr>
          <w:rFonts w:cs="Open Sans"/>
        </w:rPr>
        <w:t>. We used reports from multiple sources</w:t>
      </w:r>
      <w:r>
        <w:rPr>
          <w:rFonts w:cs="Open Sans"/>
        </w:rPr>
        <w:t xml:space="preserve"> online</w:t>
      </w:r>
      <w:r w:rsidRPr="00D06C62">
        <w:rPr>
          <w:rFonts w:cs="Open Sans"/>
        </w:rPr>
        <w:t xml:space="preserve"> for details about: </w:t>
      </w:r>
    </w:p>
    <w:p w14:paraId="69F62480" w14:textId="77777777" w:rsidR="003465FD" w:rsidRPr="00D06C62" w:rsidRDefault="003465FD" w:rsidP="003465FD">
      <w:pPr>
        <w:pStyle w:val="Content"/>
        <w:numPr>
          <w:ilvl w:val="0"/>
          <w:numId w:val="1"/>
        </w:numPr>
        <w:rPr>
          <w:rFonts w:cs="Open Sans"/>
        </w:rPr>
      </w:pPr>
      <w:r w:rsidRPr="00D06C62">
        <w:rPr>
          <w:rFonts w:cs="Open Sans"/>
        </w:rPr>
        <w:t>the crime</w:t>
      </w:r>
    </w:p>
    <w:p w14:paraId="22E32E79" w14:textId="77777777" w:rsidR="003465FD" w:rsidRPr="00D06C62" w:rsidRDefault="003465FD" w:rsidP="003465FD">
      <w:pPr>
        <w:pStyle w:val="Content"/>
        <w:numPr>
          <w:ilvl w:val="0"/>
          <w:numId w:val="1"/>
        </w:numPr>
        <w:rPr>
          <w:rFonts w:cs="Open Sans"/>
        </w:rPr>
      </w:pPr>
      <w:r w:rsidRPr="00D06C62">
        <w:rPr>
          <w:rFonts w:cs="Open Sans"/>
        </w:rPr>
        <w:t>the outcomes</w:t>
      </w:r>
    </w:p>
    <w:p w14:paraId="007AA7FC" w14:textId="77777777" w:rsidR="003465FD" w:rsidRPr="00D06C62" w:rsidRDefault="003465FD" w:rsidP="003465FD">
      <w:pPr>
        <w:pStyle w:val="Content"/>
        <w:numPr>
          <w:ilvl w:val="0"/>
          <w:numId w:val="1"/>
        </w:numPr>
        <w:rPr>
          <w:rFonts w:cs="Open Sans"/>
        </w:rPr>
      </w:pPr>
      <w:r w:rsidRPr="00D06C62">
        <w:rPr>
          <w:rFonts w:cs="Open Sans"/>
        </w:rPr>
        <w:t>the media coverage</w:t>
      </w:r>
    </w:p>
    <w:p w14:paraId="7C8B21B8" w14:textId="77777777" w:rsidR="003465FD" w:rsidRDefault="003465FD" w:rsidP="003465FD">
      <w:pPr>
        <w:pStyle w:val="Content"/>
        <w:numPr>
          <w:ilvl w:val="0"/>
          <w:numId w:val="1"/>
        </w:numPr>
        <w:rPr>
          <w:rFonts w:cs="Open Sans"/>
        </w:rPr>
      </w:pPr>
      <w:r w:rsidRPr="00D06C62">
        <w:rPr>
          <w:rFonts w:cs="Open Sans"/>
        </w:rPr>
        <w:t xml:space="preserve">whether any of the reports highlighted </w:t>
      </w:r>
      <w:r>
        <w:rPr>
          <w:rFonts w:cs="Open Sans"/>
        </w:rPr>
        <w:t xml:space="preserve">or discussed </w:t>
      </w:r>
      <w:r w:rsidRPr="00D06C62">
        <w:rPr>
          <w:rFonts w:cs="Open Sans"/>
        </w:rPr>
        <w:t>the case as a disability hate crime</w:t>
      </w:r>
    </w:p>
    <w:p w14:paraId="7EAE1966" w14:textId="4B350384" w:rsidR="00F7675C" w:rsidRDefault="003465FD" w:rsidP="000F0B9D">
      <w:pPr>
        <w:pStyle w:val="Content"/>
        <w:numPr>
          <w:ilvl w:val="0"/>
          <w:numId w:val="1"/>
        </w:numPr>
        <w:rPr>
          <w:rFonts w:cs="Open Sans"/>
        </w:rPr>
      </w:pPr>
      <w:r>
        <w:rPr>
          <w:rFonts w:cs="Open Sans"/>
        </w:rPr>
        <w:lastRenderedPageBreak/>
        <w:t>how any Disabled people involved, or their</w:t>
      </w:r>
      <w:r w:rsidR="006E6436">
        <w:rPr>
          <w:rFonts w:cs="Open Sans"/>
        </w:rPr>
        <w:t xml:space="preserve"> impairments and/or conditions</w:t>
      </w:r>
      <w:r>
        <w:rPr>
          <w:rFonts w:cs="Open Sans"/>
        </w:rPr>
        <w:t xml:space="preserve"> were written about</w:t>
      </w:r>
    </w:p>
    <w:p w14:paraId="35CF3A4F" w14:textId="77777777" w:rsidR="000F0B9D" w:rsidRPr="000F0B9D" w:rsidRDefault="000F0B9D" w:rsidP="000F0B9D">
      <w:pPr>
        <w:pStyle w:val="Content"/>
        <w:ind w:left="720"/>
        <w:rPr>
          <w:rFonts w:cs="Open Sans"/>
        </w:rPr>
      </w:pPr>
    </w:p>
    <w:p w14:paraId="200DC1D3" w14:textId="04850C18" w:rsidR="000F0B9D" w:rsidRDefault="003465FD" w:rsidP="003465FD">
      <w:pPr>
        <w:pStyle w:val="Content"/>
        <w:rPr>
          <w:rFonts w:cs="Open Sans"/>
        </w:rPr>
      </w:pPr>
      <w:r w:rsidRPr="00D06C62">
        <w:rPr>
          <w:rFonts w:cs="Open Sans"/>
        </w:rPr>
        <w:t xml:space="preserve">While there are limitations to using sources like news articles </w:t>
      </w:r>
      <w:r w:rsidR="00917B6E">
        <w:rPr>
          <w:rFonts w:cs="Open Sans"/>
        </w:rPr>
        <w:t>—</w:t>
      </w:r>
      <w:r w:rsidR="00032834">
        <w:rPr>
          <w:rFonts w:cs="Open Sans"/>
        </w:rPr>
        <w:t xml:space="preserve"> </w:t>
      </w:r>
      <w:r w:rsidRPr="00D06C62">
        <w:rPr>
          <w:rFonts w:cs="Open Sans"/>
        </w:rPr>
        <w:t>which sell based on their capacity to draw in readers, often with attention-grabbing headlines</w:t>
      </w:r>
      <w:r w:rsidR="00032834">
        <w:rPr>
          <w:rFonts w:cs="Open Sans"/>
        </w:rPr>
        <w:t xml:space="preserve"> </w:t>
      </w:r>
      <w:r w:rsidR="00917B6E">
        <w:rPr>
          <w:rFonts w:cs="Open Sans"/>
        </w:rPr>
        <w:t>—</w:t>
      </w:r>
      <w:r w:rsidRPr="00D06C62">
        <w:rPr>
          <w:rFonts w:cs="Open Sans"/>
        </w:rPr>
        <w:t xml:space="preserve"> their role in the public perception of disability and crimes against Disabled people </w:t>
      </w:r>
      <w:r w:rsidR="002F0F74">
        <w:rPr>
          <w:rFonts w:cs="Open Sans"/>
        </w:rPr>
        <w:t>cannot</w:t>
      </w:r>
      <w:r w:rsidRPr="00D06C62">
        <w:rPr>
          <w:rFonts w:cs="Open Sans"/>
        </w:rPr>
        <w:t xml:space="preserve"> be under-estimated. </w:t>
      </w:r>
    </w:p>
    <w:p w14:paraId="26F80EDD" w14:textId="17D37E3B" w:rsidR="003465FD" w:rsidRDefault="00F612B5" w:rsidP="00F7675C">
      <w:pPr>
        <w:pStyle w:val="Content"/>
        <w:rPr>
          <w:rFonts w:cs="Open Sans"/>
        </w:rPr>
      </w:pPr>
      <w:r w:rsidRPr="00F612B5">
        <w:rPr>
          <w:rFonts w:cs="Open Sans"/>
        </w:rPr>
        <w:t>Public understandings of hate crimes are already inconsistent, in part due to how the news reports on hate crime and how it is discussed, particularly on social media. In the Law Commission’s recent ‘Hate crime laws: final report’</w:t>
      </w:r>
      <w:r w:rsidR="00D8461B">
        <w:rPr>
          <w:rStyle w:val="FootnoteReference"/>
          <w:rFonts w:cs="Open Sans"/>
        </w:rPr>
        <w:footnoteReference w:id="3"/>
      </w:r>
      <w:r w:rsidR="002F0F74">
        <w:rPr>
          <w:rFonts w:cs="Open Sans"/>
        </w:rPr>
        <w:t xml:space="preserve">, </w:t>
      </w:r>
      <w:r>
        <w:rPr>
          <w:rFonts w:cs="Open Sans"/>
        </w:rPr>
        <w:t>one author made the following observation</w:t>
      </w:r>
      <w:r w:rsidR="003465FD" w:rsidRPr="00D06C62">
        <w:rPr>
          <w:rFonts w:cs="Open Sans"/>
        </w:rPr>
        <w:t>:</w:t>
      </w:r>
    </w:p>
    <w:p w14:paraId="336A8AA0" w14:textId="3D72EE13" w:rsidR="00F7675C" w:rsidRPr="00F7675C" w:rsidRDefault="00F7675C" w:rsidP="00F7675C">
      <w:pPr>
        <w:pStyle w:val="IntenseQuote"/>
        <w:rPr>
          <w:b/>
        </w:rPr>
      </w:pPr>
      <w:r w:rsidRPr="000547A0">
        <w:t xml:space="preserve">“A large number of consultees who responded negatively misunderstood that for hate crime laws to </w:t>
      </w:r>
      <w:r>
        <w:t>operate,</w:t>
      </w:r>
      <w:r w:rsidRPr="000547A0">
        <w:t xml:space="preserve"> there must be an existing criminal offence.”</w:t>
      </w:r>
    </w:p>
    <w:p w14:paraId="635B6BB9" w14:textId="77777777" w:rsidR="000F0B9D" w:rsidRDefault="000F0B9D" w:rsidP="00F7675C">
      <w:pPr>
        <w:pStyle w:val="Content"/>
        <w:rPr>
          <w:rFonts w:cs="Open Sans"/>
        </w:rPr>
      </w:pPr>
    </w:p>
    <w:p w14:paraId="681460A6" w14:textId="06892D4D" w:rsidR="00F7675C" w:rsidRPr="00D06C62" w:rsidRDefault="00F7675C" w:rsidP="00F7675C">
      <w:pPr>
        <w:pStyle w:val="Content"/>
        <w:rPr>
          <w:rFonts w:cs="Open Sans"/>
        </w:rPr>
      </w:pPr>
      <w:r w:rsidRPr="00D06C62">
        <w:rPr>
          <w:rFonts w:cs="Open Sans"/>
        </w:rPr>
        <w:t xml:space="preserve">There is a widespread misunderstanding </w:t>
      </w:r>
      <w:r>
        <w:rPr>
          <w:rFonts w:cs="Open Sans"/>
        </w:rPr>
        <w:t xml:space="preserve">of what hate crimes are. </w:t>
      </w:r>
      <w:r w:rsidR="000F0B9D">
        <w:rPr>
          <w:rFonts w:cs="Open Sans"/>
        </w:rPr>
        <w:t>Some</w:t>
      </w:r>
      <w:r>
        <w:rPr>
          <w:rFonts w:cs="Open Sans"/>
        </w:rPr>
        <w:t xml:space="preserve"> responses to the consultation seemed to believe that hate crimes were solely online acts of hatred</w:t>
      </w:r>
      <w:r w:rsidRPr="00D06C62">
        <w:rPr>
          <w:rFonts w:cs="Open Sans"/>
        </w:rPr>
        <w:t xml:space="preserve">; </w:t>
      </w:r>
      <w:r w:rsidR="00F612B5" w:rsidRPr="00F612B5">
        <w:rPr>
          <w:rFonts w:cs="Open Sans"/>
        </w:rPr>
        <w:t xml:space="preserve">this misconception may have arisen from the fact that the use of abusive language and slurs used during a crime can </w:t>
      </w:r>
      <w:r w:rsidR="002F0F74">
        <w:rPr>
          <w:rFonts w:cs="Open Sans"/>
        </w:rPr>
        <w:t>provide clear</w:t>
      </w:r>
      <w:r w:rsidR="00F612B5" w:rsidRPr="00F612B5">
        <w:rPr>
          <w:rFonts w:cs="Open Sans"/>
        </w:rPr>
        <w:t xml:space="preserve"> evidence of bigotry and these are often easier documented in </w:t>
      </w:r>
      <w:r w:rsidR="00F612B5" w:rsidRPr="00F612B5">
        <w:rPr>
          <w:rFonts w:cs="Open Sans"/>
        </w:rPr>
        <w:lastRenderedPageBreak/>
        <w:t>online harm</w:t>
      </w:r>
      <w:r w:rsidRPr="00D06C62">
        <w:rPr>
          <w:rFonts w:cs="Open Sans"/>
        </w:rPr>
        <w:t xml:space="preserve">. </w:t>
      </w:r>
      <w:r w:rsidR="000F0B9D">
        <w:rPr>
          <w:rFonts w:cs="Open Sans"/>
        </w:rPr>
        <w:t>Some</w:t>
      </w:r>
      <w:r w:rsidRPr="00D06C62">
        <w:rPr>
          <w:rFonts w:cs="Open Sans"/>
        </w:rPr>
        <w:t xml:space="preserve"> people d</w:t>
      </w:r>
      <w:r w:rsidR="008D65B7">
        <w:rPr>
          <w:rFonts w:cs="Open Sans"/>
        </w:rPr>
        <w:t>id</w:t>
      </w:r>
      <w:r w:rsidRPr="00D06C62">
        <w:rPr>
          <w:rFonts w:cs="Open Sans"/>
        </w:rPr>
        <w:t xml:space="preserve"> not seem to know that hate crimes must involve a crime, or that those crimes can be</w:t>
      </w:r>
      <w:r>
        <w:rPr>
          <w:rFonts w:cs="Open Sans"/>
        </w:rPr>
        <w:t>, and often are,</w:t>
      </w:r>
      <w:r w:rsidRPr="00D06C62">
        <w:rPr>
          <w:rFonts w:cs="Open Sans"/>
        </w:rPr>
        <w:t xml:space="preserve"> violent</w:t>
      </w:r>
      <w:r w:rsidR="007554CD">
        <w:rPr>
          <w:rStyle w:val="FootnoteReference"/>
          <w:rFonts w:cs="Open Sans"/>
        </w:rPr>
        <w:footnoteReference w:id="4"/>
      </w:r>
      <w:r w:rsidRPr="00D06C62">
        <w:rPr>
          <w:rFonts w:cs="Open Sans"/>
        </w:rPr>
        <w:t xml:space="preserve">. </w:t>
      </w:r>
    </w:p>
    <w:p w14:paraId="523060EB" w14:textId="579B9027" w:rsidR="00F612B5" w:rsidRPr="00F612B5" w:rsidRDefault="00F612B5" w:rsidP="00F612B5">
      <w:pPr>
        <w:pStyle w:val="Content"/>
        <w:rPr>
          <w:rFonts w:cs="Open Sans"/>
        </w:rPr>
      </w:pPr>
      <w:r w:rsidRPr="00F612B5">
        <w:rPr>
          <w:rFonts w:cs="Open Sans"/>
        </w:rPr>
        <w:t>Hate crimes often cause an impact beyond the individual target of the crime; the attack being rooted in biases and prejudices against an aspect of someone’s identity can have repercussions for others in the same community as the victim. </w:t>
      </w:r>
    </w:p>
    <w:p w14:paraId="0968B79D" w14:textId="4CC2D55A" w:rsidR="00F7675C" w:rsidRDefault="00F7675C" w:rsidP="00F7675C">
      <w:pPr>
        <w:pStyle w:val="Content"/>
        <w:rPr>
          <w:rFonts w:cs="Open Sans"/>
        </w:rPr>
      </w:pPr>
      <w:r w:rsidRPr="00D06C62">
        <w:rPr>
          <w:rFonts w:cs="Open Sans"/>
        </w:rPr>
        <w:t xml:space="preserve">The way people </w:t>
      </w:r>
      <w:r>
        <w:rPr>
          <w:rFonts w:cs="Open Sans"/>
        </w:rPr>
        <w:t>write about</w:t>
      </w:r>
      <w:r w:rsidRPr="00D06C62">
        <w:rPr>
          <w:rFonts w:cs="Open Sans"/>
        </w:rPr>
        <w:t xml:space="preserve"> </w:t>
      </w:r>
      <w:r w:rsidR="00870FC4">
        <w:rPr>
          <w:rFonts w:cs="Open Sans"/>
        </w:rPr>
        <w:t>D</w:t>
      </w:r>
      <w:r w:rsidRPr="00D06C62">
        <w:rPr>
          <w:rFonts w:cs="Open Sans"/>
        </w:rPr>
        <w:t xml:space="preserve">isabled people can </w:t>
      </w:r>
      <w:r w:rsidR="00F612B5">
        <w:rPr>
          <w:rFonts w:cs="Open Sans"/>
        </w:rPr>
        <w:t>contribute to</w:t>
      </w:r>
      <w:r w:rsidRPr="00D06C62">
        <w:rPr>
          <w:rFonts w:cs="Open Sans"/>
        </w:rPr>
        <w:t xml:space="preserve"> the societal and systemic </w:t>
      </w:r>
      <w:r w:rsidR="000F0B9D">
        <w:rPr>
          <w:rFonts w:cs="Open Sans"/>
        </w:rPr>
        <w:t>disablism</w:t>
      </w:r>
      <w:r w:rsidRPr="00D06C62">
        <w:rPr>
          <w:rFonts w:cs="Open Sans"/>
        </w:rPr>
        <w:t xml:space="preserve"> which influence</w:t>
      </w:r>
      <w:r w:rsidR="00C36F50">
        <w:rPr>
          <w:rFonts w:cs="Open Sans"/>
        </w:rPr>
        <w:t>s</w:t>
      </w:r>
      <w:r w:rsidRPr="00D06C62">
        <w:rPr>
          <w:rFonts w:cs="Open Sans"/>
        </w:rPr>
        <w:t xml:space="preserve"> </w:t>
      </w:r>
      <w:r w:rsidR="00F42910">
        <w:rPr>
          <w:rFonts w:cs="Open Sans"/>
        </w:rPr>
        <w:t>how society sees Disabled people</w:t>
      </w:r>
      <w:r w:rsidRPr="002A0958">
        <w:rPr>
          <w:rFonts w:cs="Open Sans"/>
        </w:rPr>
        <w:t xml:space="preserve">. </w:t>
      </w:r>
      <w:r w:rsidR="00932CDF" w:rsidRPr="0002792F">
        <w:rPr>
          <w:rFonts w:cs="Open Sans"/>
        </w:rPr>
        <w:t xml:space="preserve">When </w:t>
      </w:r>
      <w:r w:rsidR="00C36F50">
        <w:rPr>
          <w:rFonts w:cs="Open Sans"/>
        </w:rPr>
        <w:t xml:space="preserve">the media uses </w:t>
      </w:r>
      <w:r w:rsidR="00932CDF" w:rsidRPr="0002792F">
        <w:rPr>
          <w:rFonts w:cs="Open Sans"/>
        </w:rPr>
        <w:t>disablist language</w:t>
      </w:r>
      <w:r w:rsidR="004C747F" w:rsidRPr="0002792F">
        <w:rPr>
          <w:rFonts w:cs="Open Sans"/>
        </w:rPr>
        <w:t xml:space="preserve"> in </w:t>
      </w:r>
      <w:r w:rsidR="00C36F50">
        <w:rPr>
          <w:rFonts w:cs="Open Sans"/>
        </w:rPr>
        <w:t>reporting</w:t>
      </w:r>
      <w:r w:rsidR="004C747F" w:rsidRPr="0002792F">
        <w:rPr>
          <w:rFonts w:cs="Open Sans"/>
        </w:rPr>
        <w:t xml:space="preserve"> crimes against Disabled people</w:t>
      </w:r>
      <w:r w:rsidR="00C36F50">
        <w:rPr>
          <w:rFonts w:cs="Open Sans"/>
        </w:rPr>
        <w:t xml:space="preserve">, even if it is </w:t>
      </w:r>
      <w:r w:rsidR="002F0F74">
        <w:rPr>
          <w:rFonts w:cs="Open Sans"/>
        </w:rPr>
        <w:t>unintentional</w:t>
      </w:r>
      <w:r w:rsidR="004C747F" w:rsidRPr="0002792F">
        <w:rPr>
          <w:rFonts w:cs="Open Sans"/>
        </w:rPr>
        <w:t>, i</w:t>
      </w:r>
      <w:r w:rsidR="00C36F50">
        <w:rPr>
          <w:rFonts w:cs="Open Sans"/>
        </w:rPr>
        <w:t>t</w:t>
      </w:r>
      <w:r w:rsidR="004C747F" w:rsidRPr="0002792F">
        <w:rPr>
          <w:rFonts w:cs="Open Sans"/>
        </w:rPr>
        <w:t xml:space="preserve"> perpetuates the same disablism that </w:t>
      </w:r>
      <w:r w:rsidR="002A0958" w:rsidRPr="0002792F">
        <w:rPr>
          <w:rFonts w:cs="Open Sans"/>
        </w:rPr>
        <w:t>often played a part in</w:t>
      </w:r>
      <w:r w:rsidR="004C747F" w:rsidRPr="0002792F">
        <w:rPr>
          <w:rFonts w:cs="Open Sans"/>
        </w:rPr>
        <w:t xml:space="preserve"> the crimes</w:t>
      </w:r>
      <w:r w:rsidR="00C36F50">
        <w:rPr>
          <w:rFonts w:cs="Open Sans"/>
        </w:rPr>
        <w:t>.</w:t>
      </w:r>
    </w:p>
    <w:p w14:paraId="05AD3352" w14:textId="61E1DF16" w:rsidR="000F0B9D" w:rsidRDefault="000F0B9D" w:rsidP="00F7675C">
      <w:pPr>
        <w:pStyle w:val="Content"/>
        <w:rPr>
          <w:rFonts w:cs="Open Sans"/>
        </w:rPr>
      </w:pPr>
      <w:r>
        <w:rPr>
          <w:rFonts w:cs="Open Sans"/>
        </w:rPr>
        <w:t>There were examples of positive reporting</w:t>
      </w:r>
      <w:r w:rsidR="0034582E">
        <w:rPr>
          <w:rFonts w:cs="Open Sans"/>
        </w:rPr>
        <w:t xml:space="preserve">, </w:t>
      </w:r>
      <w:r w:rsidR="002F0F74">
        <w:rPr>
          <w:rFonts w:cs="Open Sans"/>
        </w:rPr>
        <w:t xml:space="preserve">some of </w:t>
      </w:r>
      <w:r w:rsidR="0034582E">
        <w:rPr>
          <w:rFonts w:cs="Open Sans"/>
        </w:rPr>
        <w:t xml:space="preserve">which we use in the sections below to </w:t>
      </w:r>
      <w:r w:rsidR="00C36F50">
        <w:rPr>
          <w:rFonts w:cs="Open Sans"/>
        </w:rPr>
        <w:t>show</w:t>
      </w:r>
      <w:r w:rsidR="000C5AF0">
        <w:rPr>
          <w:rFonts w:cs="Open Sans"/>
        </w:rPr>
        <w:t xml:space="preserve"> alternative ways of reporting</w:t>
      </w:r>
      <w:r>
        <w:rPr>
          <w:rFonts w:cs="Open Sans"/>
        </w:rPr>
        <w:t xml:space="preserve">, </w:t>
      </w:r>
      <w:r w:rsidR="0075345C">
        <w:rPr>
          <w:rFonts w:cs="Open Sans"/>
        </w:rPr>
        <w:t>and</w:t>
      </w:r>
      <w:r>
        <w:rPr>
          <w:rFonts w:cs="Open Sans"/>
        </w:rPr>
        <w:t xml:space="preserve"> </w:t>
      </w:r>
      <w:r w:rsidR="00F42910">
        <w:rPr>
          <w:rFonts w:cs="Open Sans"/>
        </w:rPr>
        <w:t xml:space="preserve">over the years </w:t>
      </w:r>
      <w:r w:rsidR="0075345C">
        <w:rPr>
          <w:rFonts w:cs="Open Sans"/>
        </w:rPr>
        <w:t>the</w:t>
      </w:r>
      <w:r w:rsidR="00691B9F">
        <w:rPr>
          <w:rFonts w:cs="Open Sans"/>
        </w:rPr>
        <w:t xml:space="preserve">re was </w:t>
      </w:r>
      <w:r w:rsidR="0034582E">
        <w:rPr>
          <w:rFonts w:cs="Open Sans"/>
        </w:rPr>
        <w:t xml:space="preserve">a </w:t>
      </w:r>
      <w:r w:rsidR="00691B9F">
        <w:rPr>
          <w:rFonts w:cs="Open Sans"/>
        </w:rPr>
        <w:t xml:space="preserve">decrease </w:t>
      </w:r>
      <w:r w:rsidR="00F96341">
        <w:rPr>
          <w:rFonts w:cs="Open Sans"/>
        </w:rPr>
        <w:t xml:space="preserve">in the </w:t>
      </w:r>
      <w:r w:rsidR="00691B9F">
        <w:rPr>
          <w:rFonts w:cs="Open Sans"/>
        </w:rPr>
        <w:t>frequency</w:t>
      </w:r>
      <w:r w:rsidR="00F96341">
        <w:rPr>
          <w:rFonts w:cs="Open Sans"/>
        </w:rPr>
        <w:t xml:space="preserve"> of </w:t>
      </w:r>
      <w:r w:rsidR="00C75DF1">
        <w:rPr>
          <w:rFonts w:cs="Open Sans"/>
        </w:rPr>
        <w:t xml:space="preserve">disablist language and </w:t>
      </w:r>
      <w:r w:rsidR="00F96341">
        <w:rPr>
          <w:rFonts w:cs="Open Sans"/>
        </w:rPr>
        <w:t xml:space="preserve">phrases </w:t>
      </w:r>
      <w:r w:rsidDel="009A33AD">
        <w:rPr>
          <w:rFonts w:cs="Open Sans"/>
        </w:rPr>
        <w:t>used</w:t>
      </w:r>
      <w:r w:rsidR="00C36F50">
        <w:rPr>
          <w:rFonts w:cs="Open Sans"/>
        </w:rPr>
        <w:t xml:space="preserve">. However, </w:t>
      </w:r>
      <w:r w:rsidR="00E5341B">
        <w:rPr>
          <w:rFonts w:cs="Open Sans"/>
        </w:rPr>
        <w:t xml:space="preserve">we </w:t>
      </w:r>
      <w:r w:rsidR="00691B9F">
        <w:rPr>
          <w:rFonts w:cs="Open Sans"/>
        </w:rPr>
        <w:t>still</w:t>
      </w:r>
      <w:r w:rsidR="00E5341B">
        <w:rPr>
          <w:rFonts w:cs="Open Sans"/>
        </w:rPr>
        <w:t xml:space="preserve"> found </w:t>
      </w:r>
      <w:r w:rsidR="00691B9F">
        <w:rPr>
          <w:rFonts w:cs="Open Sans"/>
        </w:rPr>
        <w:t>multiple</w:t>
      </w:r>
      <w:r w:rsidR="00FE4434">
        <w:rPr>
          <w:rFonts w:cs="Open Sans"/>
        </w:rPr>
        <w:t xml:space="preserve"> </w:t>
      </w:r>
      <w:r>
        <w:rPr>
          <w:rFonts w:cs="Open Sans"/>
        </w:rPr>
        <w:t>examples of how societal stigma seeps into language from reports as recent as this year.</w:t>
      </w:r>
    </w:p>
    <w:p w14:paraId="54146D43" w14:textId="4F2ADD70" w:rsidR="00C401BC" w:rsidRDefault="00C401BC" w:rsidP="00F7675C">
      <w:pPr>
        <w:pStyle w:val="Content"/>
        <w:rPr>
          <w:rFonts w:cs="Open Sans"/>
        </w:rPr>
      </w:pPr>
      <w:r>
        <w:rPr>
          <w:rFonts w:cs="Open Sans"/>
        </w:rPr>
        <w:t>There were few instances where</w:t>
      </w:r>
      <w:r w:rsidR="00C36F50">
        <w:rPr>
          <w:rFonts w:cs="Open Sans"/>
        </w:rPr>
        <w:t xml:space="preserve"> the</w:t>
      </w:r>
      <w:r>
        <w:rPr>
          <w:rFonts w:cs="Open Sans"/>
        </w:rPr>
        <w:t xml:space="preserve"> choice of language or portrayal of disability seemed malicious or chosen specifically for </w:t>
      </w:r>
      <w:r w:rsidR="00FC3209">
        <w:rPr>
          <w:rFonts w:cs="Open Sans"/>
        </w:rPr>
        <w:t>the shock</w:t>
      </w:r>
      <w:r>
        <w:rPr>
          <w:rFonts w:cs="Open Sans"/>
        </w:rPr>
        <w:t xml:space="preserve"> factor</w:t>
      </w:r>
      <w:r w:rsidR="00FC3209">
        <w:rPr>
          <w:rFonts w:cs="Open Sans"/>
        </w:rPr>
        <w:t>; though</w:t>
      </w:r>
      <w:r w:rsidR="002F0F74">
        <w:rPr>
          <w:rFonts w:cs="Open Sans"/>
        </w:rPr>
        <w:t xml:space="preserve"> </w:t>
      </w:r>
      <w:r w:rsidR="00FC3209">
        <w:rPr>
          <w:rFonts w:cs="Open Sans"/>
        </w:rPr>
        <w:t>there were</w:t>
      </w:r>
      <w:r w:rsidR="002F0F74">
        <w:rPr>
          <w:rFonts w:cs="Open Sans"/>
        </w:rPr>
        <w:t xml:space="preserve"> </w:t>
      </w:r>
      <w:r w:rsidR="00FC3209">
        <w:rPr>
          <w:rFonts w:cs="Open Sans"/>
        </w:rPr>
        <w:t xml:space="preserve">examples of this rooted in </w:t>
      </w:r>
      <w:r w:rsidR="00412330">
        <w:rPr>
          <w:rFonts w:cs="Open Sans"/>
        </w:rPr>
        <w:t xml:space="preserve">racism, </w:t>
      </w:r>
      <w:r w:rsidR="00FC3209">
        <w:rPr>
          <w:rFonts w:cs="Open Sans"/>
        </w:rPr>
        <w:t>transphobia</w:t>
      </w:r>
      <w:r w:rsidR="00412330">
        <w:rPr>
          <w:rFonts w:cs="Open Sans"/>
        </w:rPr>
        <w:t>,</w:t>
      </w:r>
      <w:r w:rsidR="00FC3209">
        <w:rPr>
          <w:rFonts w:cs="Open Sans"/>
        </w:rPr>
        <w:t xml:space="preserve"> and homophobia</w:t>
      </w:r>
      <w:r>
        <w:rPr>
          <w:rFonts w:cs="Open Sans"/>
        </w:rPr>
        <w:t>. Most of the examples</w:t>
      </w:r>
      <w:r w:rsidR="00412330">
        <w:rPr>
          <w:rFonts w:cs="Open Sans"/>
        </w:rPr>
        <w:t xml:space="preserve"> in this report</w:t>
      </w:r>
      <w:r>
        <w:rPr>
          <w:rFonts w:cs="Open Sans"/>
        </w:rPr>
        <w:t xml:space="preserve"> </w:t>
      </w:r>
      <w:r w:rsidR="00A7741C">
        <w:rPr>
          <w:rFonts w:cs="Open Sans"/>
        </w:rPr>
        <w:t>are</w:t>
      </w:r>
      <w:r>
        <w:rPr>
          <w:rFonts w:cs="Open Sans"/>
        </w:rPr>
        <w:t xml:space="preserve"> of the</w:t>
      </w:r>
      <w:r w:rsidR="002F0F74">
        <w:rPr>
          <w:rFonts w:cs="Open Sans"/>
        </w:rPr>
        <w:t xml:space="preserve"> sorts of </w:t>
      </w:r>
      <w:r w:rsidR="003C4B3A">
        <w:rPr>
          <w:rFonts w:cs="Open Sans"/>
        </w:rPr>
        <w:lastRenderedPageBreak/>
        <w:t xml:space="preserve">unconscious </w:t>
      </w:r>
      <w:r>
        <w:rPr>
          <w:rFonts w:cs="Open Sans"/>
        </w:rPr>
        <w:t>biases</w:t>
      </w:r>
      <w:r w:rsidR="00C36F50">
        <w:rPr>
          <w:rFonts w:cs="Open Sans"/>
        </w:rPr>
        <w:t xml:space="preserve"> </w:t>
      </w:r>
      <w:r w:rsidR="00726961">
        <w:rPr>
          <w:rFonts w:cs="Open Sans"/>
        </w:rPr>
        <w:t xml:space="preserve">and perceptions </w:t>
      </w:r>
      <w:r w:rsidR="006009F7" w:rsidRPr="002F0F74">
        <w:rPr>
          <w:rFonts w:cs="Open Sans"/>
        </w:rPr>
        <w:t>prevalent within society</w:t>
      </w:r>
      <w:r w:rsidR="00C36F50" w:rsidRPr="002F0F74">
        <w:rPr>
          <w:rFonts w:cs="Open Sans"/>
        </w:rPr>
        <w:t>, resulting from</w:t>
      </w:r>
      <w:r w:rsidR="006009F7" w:rsidRPr="002F0F74">
        <w:rPr>
          <w:rFonts w:cs="Open Sans"/>
        </w:rPr>
        <w:t xml:space="preserve"> </w:t>
      </w:r>
      <w:r w:rsidR="00E506E3" w:rsidRPr="002F0F74">
        <w:rPr>
          <w:rFonts w:cs="Open Sans"/>
        </w:rPr>
        <w:t>historic and cultural values and beliefs built up over the years.</w:t>
      </w:r>
      <w:r w:rsidR="00C36F50">
        <w:rPr>
          <w:rFonts w:cs="Open Sans"/>
        </w:rPr>
        <w:t xml:space="preserve"> </w:t>
      </w:r>
    </w:p>
    <w:p w14:paraId="41EAAC93" w14:textId="56F2F8CA" w:rsidR="000F0B9D" w:rsidRDefault="0025745C" w:rsidP="00F7675C">
      <w:pPr>
        <w:pStyle w:val="Content"/>
        <w:rPr>
          <w:rFonts w:cs="Open Sans"/>
        </w:rPr>
      </w:pPr>
      <w:r>
        <w:rPr>
          <w:rFonts w:cs="Open Sans"/>
        </w:rPr>
        <w:t>The aim of this</w:t>
      </w:r>
      <w:r w:rsidR="000F0B9D">
        <w:rPr>
          <w:rFonts w:cs="Open Sans"/>
        </w:rPr>
        <w:t xml:space="preserve"> report </w:t>
      </w:r>
      <w:r>
        <w:rPr>
          <w:rFonts w:cs="Open Sans"/>
        </w:rPr>
        <w:t>is to</w:t>
      </w:r>
      <w:r w:rsidR="000F0B9D">
        <w:rPr>
          <w:rFonts w:cs="Open Sans"/>
        </w:rPr>
        <w:t xml:space="preserve"> </w:t>
      </w:r>
      <w:r w:rsidR="00C36F50">
        <w:rPr>
          <w:rFonts w:cs="Open Sans"/>
        </w:rPr>
        <w:t>summarise</w:t>
      </w:r>
      <w:r w:rsidR="00F42910">
        <w:rPr>
          <w:rFonts w:cs="Open Sans"/>
        </w:rPr>
        <w:t xml:space="preserve"> </w:t>
      </w:r>
      <w:r w:rsidR="00C71CD3">
        <w:rPr>
          <w:rFonts w:cs="Open Sans"/>
        </w:rPr>
        <w:t>a selection</w:t>
      </w:r>
      <w:r w:rsidR="00F42910">
        <w:rPr>
          <w:rFonts w:cs="Open Sans"/>
        </w:rPr>
        <w:t xml:space="preserve"> of</w:t>
      </w:r>
      <w:r w:rsidR="000F0B9D">
        <w:rPr>
          <w:rFonts w:cs="Open Sans"/>
        </w:rPr>
        <w:t xml:space="preserve"> crimes against Disabled people reported in British news outlets,</w:t>
      </w:r>
      <w:r w:rsidR="00C36F50">
        <w:rPr>
          <w:rFonts w:cs="Open Sans"/>
        </w:rPr>
        <w:t xml:space="preserve"> and</w:t>
      </w:r>
      <w:r w:rsidR="000F0B9D">
        <w:rPr>
          <w:rFonts w:cs="Open Sans"/>
        </w:rPr>
        <w:t xml:space="preserve"> </w:t>
      </w:r>
      <w:r w:rsidR="00C71CD3">
        <w:rPr>
          <w:rFonts w:cs="Open Sans"/>
        </w:rPr>
        <w:t xml:space="preserve">to provide </w:t>
      </w:r>
      <w:r w:rsidR="00493F78">
        <w:rPr>
          <w:rFonts w:cs="Open Sans"/>
        </w:rPr>
        <w:t xml:space="preserve">a </w:t>
      </w:r>
      <w:r w:rsidR="00C71CD3">
        <w:rPr>
          <w:rFonts w:cs="Open Sans"/>
        </w:rPr>
        <w:t xml:space="preserve">deeper understanding </w:t>
      </w:r>
      <w:r w:rsidR="00493F78">
        <w:rPr>
          <w:rFonts w:cs="Open Sans"/>
        </w:rPr>
        <w:t xml:space="preserve">of how the </w:t>
      </w:r>
      <w:r w:rsidR="009F3B0E">
        <w:rPr>
          <w:rFonts w:cs="Open Sans"/>
        </w:rPr>
        <w:t>ways</w:t>
      </w:r>
      <w:r w:rsidR="00493F78">
        <w:rPr>
          <w:rFonts w:cs="Open Sans"/>
        </w:rPr>
        <w:t xml:space="preserve"> in which</w:t>
      </w:r>
      <w:r w:rsidR="00C71CD3">
        <w:rPr>
          <w:rFonts w:cs="Open Sans"/>
        </w:rPr>
        <w:t xml:space="preserve"> Disabled people are written about </w:t>
      </w:r>
      <w:r w:rsidR="002F0F74">
        <w:rPr>
          <w:rFonts w:cs="Open Sans"/>
        </w:rPr>
        <w:t>could affect</w:t>
      </w:r>
      <w:r w:rsidR="00C71CD3">
        <w:rPr>
          <w:rFonts w:cs="Open Sans"/>
        </w:rPr>
        <w:t xml:space="preserve"> </w:t>
      </w:r>
      <w:r w:rsidR="0005500C">
        <w:rPr>
          <w:rFonts w:cs="Open Sans"/>
        </w:rPr>
        <w:t>public</w:t>
      </w:r>
      <w:r w:rsidR="00C71CD3">
        <w:rPr>
          <w:rFonts w:cs="Open Sans"/>
        </w:rPr>
        <w:t xml:space="preserve"> attitudes towards Disabled </w:t>
      </w:r>
      <w:r w:rsidR="000F0B9D" w:rsidDel="00C71CD3">
        <w:rPr>
          <w:rFonts w:cs="Open Sans"/>
        </w:rPr>
        <w:t>people</w:t>
      </w:r>
      <w:r w:rsidR="00C36F50">
        <w:rPr>
          <w:rFonts w:cs="Open Sans"/>
        </w:rPr>
        <w:t xml:space="preserve"> </w:t>
      </w:r>
      <w:r w:rsidR="000F0B9D">
        <w:rPr>
          <w:rFonts w:cs="Open Sans"/>
        </w:rPr>
        <w:t>— especially Disabled victims of crime</w:t>
      </w:r>
      <w:r w:rsidR="00C36F50">
        <w:rPr>
          <w:rFonts w:cs="Open Sans"/>
        </w:rPr>
        <w:t>. In doing so, we provide a tool</w:t>
      </w:r>
      <w:r w:rsidR="00C401BC">
        <w:rPr>
          <w:rFonts w:cs="Open Sans"/>
        </w:rPr>
        <w:t xml:space="preserve"> </w:t>
      </w:r>
      <w:r w:rsidR="00C71CD3">
        <w:rPr>
          <w:rFonts w:cs="Open Sans"/>
        </w:rPr>
        <w:t xml:space="preserve">for anyone who writes about Disabled people </w:t>
      </w:r>
      <w:r w:rsidR="00C401BC">
        <w:rPr>
          <w:rFonts w:cs="Open Sans"/>
        </w:rPr>
        <w:t xml:space="preserve">to consider </w:t>
      </w:r>
      <w:r w:rsidR="002F0F74">
        <w:rPr>
          <w:rFonts w:cs="Open Sans"/>
        </w:rPr>
        <w:t>what stigmas</w:t>
      </w:r>
      <w:r w:rsidR="00C401BC">
        <w:rPr>
          <w:rFonts w:cs="Open Sans"/>
        </w:rPr>
        <w:t xml:space="preserve"> they may unconsciously continue to perpetrate</w:t>
      </w:r>
      <w:r w:rsidR="00C36F50">
        <w:rPr>
          <w:rFonts w:cs="Open Sans"/>
        </w:rPr>
        <w:t xml:space="preserve"> in their writing.</w:t>
      </w:r>
    </w:p>
    <w:p w14:paraId="7894AFB9" w14:textId="2643B8CF" w:rsidR="00C36F50" w:rsidRDefault="00C36F50" w:rsidP="00F7675C">
      <w:pPr>
        <w:pStyle w:val="Content"/>
        <w:rPr>
          <w:rFonts w:cs="Open Sans"/>
        </w:rPr>
      </w:pPr>
      <w:r>
        <w:rPr>
          <w:rFonts w:cs="Open Sans"/>
        </w:rPr>
        <w:t>The report is split into two main sections:</w:t>
      </w:r>
    </w:p>
    <w:p w14:paraId="0F15A3C9" w14:textId="69978BE3" w:rsidR="00C36F50" w:rsidRDefault="00C36F50" w:rsidP="00C36F50">
      <w:pPr>
        <w:pStyle w:val="Content"/>
        <w:numPr>
          <w:ilvl w:val="0"/>
          <w:numId w:val="13"/>
        </w:numPr>
        <w:rPr>
          <w:rFonts w:cs="Open Sans"/>
        </w:rPr>
      </w:pPr>
      <w:r>
        <w:rPr>
          <w:rFonts w:cs="Open Sans"/>
        </w:rPr>
        <w:t xml:space="preserve">A summary of the quantitative data from our research into reports of crimes against Disabled people. </w:t>
      </w:r>
    </w:p>
    <w:p w14:paraId="75DE6877" w14:textId="435FCC07" w:rsidR="00C36F50" w:rsidRDefault="00C36F50" w:rsidP="00C36F50">
      <w:pPr>
        <w:pStyle w:val="Content"/>
        <w:numPr>
          <w:ilvl w:val="0"/>
          <w:numId w:val="13"/>
        </w:numPr>
        <w:rPr>
          <w:rFonts w:cs="Open Sans"/>
        </w:rPr>
      </w:pPr>
      <w:r>
        <w:rPr>
          <w:rFonts w:cs="Open Sans"/>
        </w:rPr>
        <w:t>What disablist language and framings we found within the reports, the impact this can have, and what to do instead.</w:t>
      </w:r>
    </w:p>
    <w:p w14:paraId="7563E635" w14:textId="3A7C60CE" w:rsidR="00726961" w:rsidRDefault="00726961" w:rsidP="00F7675C">
      <w:pPr>
        <w:pStyle w:val="Content"/>
        <w:rPr>
          <w:rFonts w:cs="Open Sans"/>
        </w:rPr>
      </w:pPr>
      <w:r>
        <w:rPr>
          <w:rFonts w:cs="Open Sans"/>
        </w:rPr>
        <w:t>We</w:t>
      </w:r>
      <w:r w:rsidDel="00C71CD3">
        <w:rPr>
          <w:rFonts w:cs="Open Sans"/>
        </w:rPr>
        <w:t xml:space="preserve"> </w:t>
      </w:r>
      <w:r>
        <w:rPr>
          <w:rFonts w:cs="Open Sans"/>
        </w:rPr>
        <w:t>hope the overall data and findings are useful to others</w:t>
      </w:r>
      <w:r w:rsidR="00CD1990">
        <w:rPr>
          <w:rFonts w:cs="Open Sans"/>
        </w:rPr>
        <w:t>, especially those writing about Disabled people,</w:t>
      </w:r>
      <w:r>
        <w:rPr>
          <w:rFonts w:cs="Open Sans"/>
        </w:rPr>
        <w:t xml:space="preserve"> and can be used as a basis for further work.</w:t>
      </w:r>
    </w:p>
    <w:p w14:paraId="43446F52" w14:textId="4D22EE3A" w:rsidR="00C36F50" w:rsidRDefault="00C36F50">
      <w:pPr>
        <w:rPr>
          <w:rFonts w:eastAsiaTheme="minorEastAsia" w:cs="Open Sans"/>
          <w:color w:val="000000" w:themeColor="text1"/>
          <w:lang w:val="en-US"/>
        </w:rPr>
      </w:pPr>
      <w:r>
        <w:rPr>
          <w:rFonts w:cs="Open Sans"/>
        </w:rPr>
        <w:br w:type="page"/>
      </w:r>
    </w:p>
    <w:p w14:paraId="57298485" w14:textId="7B39AB9A" w:rsidR="0052537C" w:rsidRDefault="0052537C" w:rsidP="00251EEC">
      <w:pPr>
        <w:pStyle w:val="Heading3"/>
      </w:pPr>
      <w:bookmarkStart w:id="3" w:name="_Toc120713450"/>
      <w:r>
        <w:lastRenderedPageBreak/>
        <w:t xml:space="preserve">A </w:t>
      </w:r>
      <w:r w:rsidR="00F10D3E">
        <w:t>n</w:t>
      </w:r>
      <w:r>
        <w:t xml:space="preserve">ote on </w:t>
      </w:r>
      <w:r w:rsidR="00F612F2">
        <w:t>including</w:t>
      </w:r>
      <w:r>
        <w:t xml:space="preserve"> </w:t>
      </w:r>
      <w:r w:rsidR="00251EEC">
        <w:t xml:space="preserve">cases where the Disabled person </w:t>
      </w:r>
      <w:r w:rsidR="00A44976">
        <w:t>died by suicide</w:t>
      </w:r>
      <w:bookmarkEnd w:id="3"/>
    </w:p>
    <w:p w14:paraId="1F5AD0E4" w14:textId="77777777" w:rsidR="00251EEC" w:rsidRDefault="00251EEC" w:rsidP="00251EEC"/>
    <w:p w14:paraId="46FB9B15" w14:textId="77777777" w:rsidR="00F612F2" w:rsidRDefault="00226FD1" w:rsidP="001673A3">
      <w:pPr>
        <w:spacing w:line="360" w:lineRule="auto"/>
      </w:pPr>
      <w:r>
        <w:t>During our research, we found 1</w:t>
      </w:r>
      <w:r w:rsidR="0004441C">
        <w:t>4</w:t>
      </w:r>
      <w:r>
        <w:t xml:space="preserve"> news reports which focused on a Disabled victim who had </w:t>
      </w:r>
      <w:r w:rsidR="00A44976">
        <w:t>died by</w:t>
      </w:r>
      <w:r>
        <w:t xml:space="preserve"> suicide following a period of harassment</w:t>
      </w:r>
      <w:r w:rsidR="00544413">
        <w:t xml:space="preserve"> or abuse. </w:t>
      </w:r>
      <w:r w:rsidR="007507EF">
        <w:t xml:space="preserve">We have included these cases in our report </w:t>
      </w:r>
      <w:r w:rsidR="00504A00">
        <w:t xml:space="preserve">— </w:t>
      </w:r>
      <w:r w:rsidR="007507EF">
        <w:t xml:space="preserve">and will discuss them in more detail </w:t>
      </w:r>
      <w:r w:rsidR="00893315">
        <w:t>later</w:t>
      </w:r>
      <w:r w:rsidR="00504A00">
        <w:t xml:space="preserve"> — because, while the</w:t>
      </w:r>
      <w:r w:rsidR="00F612F2">
        <w:t>re was little discussion of the</w:t>
      </w:r>
      <w:r w:rsidR="00087EB3">
        <w:t xml:space="preserve"> cases</w:t>
      </w:r>
      <w:r w:rsidR="00504A00">
        <w:t xml:space="preserve"> in terms of a crime being committed, there was evidence of harassment and abuse that</w:t>
      </w:r>
      <w:r w:rsidR="00F612F2">
        <w:t xml:space="preserve"> </w:t>
      </w:r>
      <w:r w:rsidR="00504A00">
        <w:t>would fulfil the criteria of a hate incident</w:t>
      </w:r>
      <w:r w:rsidR="00F612F2">
        <w:t>, if not a hate crime</w:t>
      </w:r>
      <w:r w:rsidR="00504A00">
        <w:t>.</w:t>
      </w:r>
    </w:p>
    <w:p w14:paraId="3C614C90" w14:textId="2A2A79C0" w:rsidR="006F3B4C" w:rsidRDefault="00F612F2" w:rsidP="001673A3">
      <w:pPr>
        <w:spacing w:line="360" w:lineRule="auto"/>
      </w:pPr>
      <w:r>
        <w:t>As has been repeatedly discussed in cases such as the murder of Lee Irving and the murder-suicide of Fiona Pilkington and Francesca Hardwick,</w:t>
      </w:r>
      <w:r w:rsidR="00B93DBC">
        <w:t xml:space="preserve"> the murders of Disabled people are often preceded by warning signs; missed or ignored by others</w:t>
      </w:r>
      <w:r>
        <w:t>. Patterns of harassment and criminal behaviour have been present in many deaths — murder or otherwise — of Disabled people at the hands of others. The same patterns are true in the suicides included in this report.</w:t>
      </w:r>
      <w:r w:rsidR="006F3B4C">
        <w:br w:type="page"/>
      </w:r>
    </w:p>
    <w:sdt>
      <w:sdtPr>
        <w:rPr>
          <w:rFonts w:eastAsiaTheme="minorEastAsia" w:cs="Open Sans"/>
          <w:b/>
          <w:color w:val="44546A" w:themeColor="text2"/>
          <w:sz w:val="28"/>
          <w:szCs w:val="22"/>
          <w:lang w:val="en-GB"/>
        </w:rPr>
        <w:id w:val="2088411668"/>
        <w:docPartObj>
          <w:docPartGallery w:val="Table of Contents"/>
          <w:docPartUnique/>
        </w:docPartObj>
      </w:sdtPr>
      <w:sdtEndPr>
        <w:rPr>
          <w:rFonts w:eastAsiaTheme="minorHAnsi"/>
          <w:b w:val="0"/>
          <w:bCs/>
          <w:noProof/>
          <w:color w:val="auto"/>
        </w:rPr>
      </w:sdtEndPr>
      <w:sdtContent>
        <w:p w14:paraId="17F0C80F" w14:textId="77777777" w:rsidR="006F3B4C" w:rsidRPr="00D06C62" w:rsidRDefault="006F3B4C" w:rsidP="006F3B4C">
          <w:pPr>
            <w:pStyle w:val="TOCHeading"/>
            <w:rPr>
              <w:rFonts w:cs="Open Sans"/>
            </w:rPr>
          </w:pPr>
          <w:r w:rsidRPr="00D06C62">
            <w:rPr>
              <w:rFonts w:cs="Open Sans"/>
            </w:rPr>
            <w:t>Contents</w:t>
          </w:r>
        </w:p>
        <w:p w14:paraId="0D750BA0" w14:textId="429B4F8F" w:rsidR="0069611A" w:rsidRDefault="006F3B4C">
          <w:pPr>
            <w:pStyle w:val="TOC2"/>
            <w:tabs>
              <w:tab w:val="right" w:leader="dot" w:pos="9911"/>
            </w:tabs>
            <w:rPr>
              <w:rFonts w:asciiTheme="minorHAnsi" w:hAnsiTheme="minorHAnsi"/>
              <w:b w:val="0"/>
              <w:noProof/>
              <w:color w:val="auto"/>
              <w:sz w:val="22"/>
              <w:lang w:val="en-GB" w:eastAsia="en-GB"/>
            </w:rPr>
          </w:pPr>
          <w:r w:rsidRPr="00D06C62">
            <w:rPr>
              <w:rFonts w:cs="Open Sans"/>
            </w:rPr>
            <w:fldChar w:fldCharType="begin"/>
          </w:r>
          <w:r w:rsidRPr="00D06C62">
            <w:rPr>
              <w:rFonts w:cs="Open Sans"/>
            </w:rPr>
            <w:instrText xml:space="preserve"> TOC \o "1-3" \h \z \u </w:instrText>
          </w:r>
          <w:r w:rsidRPr="00D06C62">
            <w:rPr>
              <w:rFonts w:cs="Open Sans"/>
            </w:rPr>
            <w:fldChar w:fldCharType="separate"/>
          </w:r>
          <w:hyperlink w:anchor="_Toc120713447" w:history="1">
            <w:r w:rsidR="0069611A" w:rsidRPr="00694B80">
              <w:rPr>
                <w:rStyle w:val="Hyperlink"/>
                <w:noProof/>
              </w:rPr>
              <w:t>Content Warning</w:t>
            </w:r>
            <w:r w:rsidR="0069611A">
              <w:rPr>
                <w:noProof/>
                <w:webHidden/>
              </w:rPr>
              <w:tab/>
            </w:r>
            <w:r w:rsidR="0069611A">
              <w:rPr>
                <w:noProof/>
                <w:webHidden/>
              </w:rPr>
              <w:fldChar w:fldCharType="begin"/>
            </w:r>
            <w:r w:rsidR="0069611A">
              <w:rPr>
                <w:noProof/>
                <w:webHidden/>
              </w:rPr>
              <w:instrText xml:space="preserve"> PAGEREF _Toc120713447 \h </w:instrText>
            </w:r>
            <w:r w:rsidR="0069611A">
              <w:rPr>
                <w:noProof/>
                <w:webHidden/>
              </w:rPr>
            </w:r>
            <w:r w:rsidR="0069611A">
              <w:rPr>
                <w:noProof/>
                <w:webHidden/>
              </w:rPr>
              <w:fldChar w:fldCharType="separate"/>
            </w:r>
            <w:r w:rsidR="00AC4EBA">
              <w:rPr>
                <w:noProof/>
                <w:webHidden/>
              </w:rPr>
              <w:t>2</w:t>
            </w:r>
            <w:r w:rsidR="0069611A">
              <w:rPr>
                <w:noProof/>
                <w:webHidden/>
              </w:rPr>
              <w:fldChar w:fldCharType="end"/>
            </w:r>
          </w:hyperlink>
        </w:p>
        <w:p w14:paraId="5E4BACE6" w14:textId="7189FEC7" w:rsidR="0069611A" w:rsidRDefault="00000000">
          <w:pPr>
            <w:pStyle w:val="TOC1"/>
            <w:tabs>
              <w:tab w:val="right" w:leader="dot" w:pos="9911"/>
            </w:tabs>
            <w:rPr>
              <w:rFonts w:asciiTheme="minorHAnsi" w:hAnsiTheme="minorHAnsi"/>
              <w:b w:val="0"/>
              <w:noProof/>
              <w:color w:val="auto"/>
              <w:sz w:val="22"/>
              <w:lang w:val="en-GB" w:eastAsia="en-GB"/>
            </w:rPr>
          </w:pPr>
          <w:hyperlink w:anchor="_Toc120713448" w:history="1">
            <w:r w:rsidR="0069611A" w:rsidRPr="00694B80">
              <w:rPr>
                <w:rStyle w:val="Hyperlink"/>
                <w:noProof/>
              </w:rPr>
              <w:t>Crimes again disabled people in the news</w:t>
            </w:r>
            <w:r w:rsidR="0069611A">
              <w:rPr>
                <w:noProof/>
                <w:webHidden/>
              </w:rPr>
              <w:tab/>
            </w:r>
            <w:r w:rsidR="0069611A">
              <w:rPr>
                <w:noProof/>
                <w:webHidden/>
              </w:rPr>
              <w:fldChar w:fldCharType="begin"/>
            </w:r>
            <w:r w:rsidR="0069611A">
              <w:rPr>
                <w:noProof/>
                <w:webHidden/>
              </w:rPr>
              <w:instrText xml:space="preserve"> PAGEREF _Toc120713448 \h </w:instrText>
            </w:r>
            <w:r w:rsidR="0069611A">
              <w:rPr>
                <w:noProof/>
                <w:webHidden/>
              </w:rPr>
            </w:r>
            <w:r w:rsidR="0069611A">
              <w:rPr>
                <w:noProof/>
                <w:webHidden/>
              </w:rPr>
              <w:fldChar w:fldCharType="separate"/>
            </w:r>
            <w:r w:rsidR="00AC4EBA">
              <w:rPr>
                <w:noProof/>
                <w:webHidden/>
              </w:rPr>
              <w:t>3</w:t>
            </w:r>
            <w:r w:rsidR="0069611A">
              <w:rPr>
                <w:noProof/>
                <w:webHidden/>
              </w:rPr>
              <w:fldChar w:fldCharType="end"/>
            </w:r>
          </w:hyperlink>
        </w:p>
        <w:p w14:paraId="1834E11A" w14:textId="5CEC4F8E" w:rsidR="0069611A" w:rsidRDefault="00000000">
          <w:pPr>
            <w:pStyle w:val="TOC2"/>
            <w:tabs>
              <w:tab w:val="right" w:leader="dot" w:pos="9911"/>
            </w:tabs>
            <w:rPr>
              <w:rFonts w:asciiTheme="minorHAnsi" w:hAnsiTheme="minorHAnsi"/>
              <w:b w:val="0"/>
              <w:noProof/>
              <w:color w:val="auto"/>
              <w:sz w:val="22"/>
              <w:lang w:val="en-GB" w:eastAsia="en-GB"/>
            </w:rPr>
          </w:pPr>
          <w:hyperlink w:anchor="_Toc120713449" w:history="1">
            <w:r w:rsidR="0069611A" w:rsidRPr="00694B80">
              <w:rPr>
                <w:rStyle w:val="Hyperlink"/>
                <w:noProof/>
              </w:rPr>
              <w:t>Introduction</w:t>
            </w:r>
            <w:r w:rsidR="0069611A">
              <w:rPr>
                <w:noProof/>
                <w:webHidden/>
              </w:rPr>
              <w:tab/>
            </w:r>
            <w:r w:rsidR="0069611A">
              <w:rPr>
                <w:noProof/>
                <w:webHidden/>
              </w:rPr>
              <w:fldChar w:fldCharType="begin"/>
            </w:r>
            <w:r w:rsidR="0069611A">
              <w:rPr>
                <w:noProof/>
                <w:webHidden/>
              </w:rPr>
              <w:instrText xml:space="preserve"> PAGEREF _Toc120713449 \h </w:instrText>
            </w:r>
            <w:r w:rsidR="0069611A">
              <w:rPr>
                <w:noProof/>
                <w:webHidden/>
              </w:rPr>
            </w:r>
            <w:r w:rsidR="0069611A">
              <w:rPr>
                <w:noProof/>
                <w:webHidden/>
              </w:rPr>
              <w:fldChar w:fldCharType="separate"/>
            </w:r>
            <w:r w:rsidR="00AC4EBA">
              <w:rPr>
                <w:noProof/>
                <w:webHidden/>
              </w:rPr>
              <w:t>3</w:t>
            </w:r>
            <w:r w:rsidR="0069611A">
              <w:rPr>
                <w:noProof/>
                <w:webHidden/>
              </w:rPr>
              <w:fldChar w:fldCharType="end"/>
            </w:r>
          </w:hyperlink>
        </w:p>
        <w:p w14:paraId="3FAC6B5A" w14:textId="65A1FB9E" w:rsidR="0069611A" w:rsidRDefault="00000000">
          <w:pPr>
            <w:pStyle w:val="TOC3"/>
            <w:tabs>
              <w:tab w:val="right" w:leader="dot" w:pos="9911"/>
            </w:tabs>
            <w:rPr>
              <w:rFonts w:asciiTheme="minorHAnsi" w:hAnsiTheme="minorHAnsi"/>
              <w:b w:val="0"/>
              <w:noProof/>
              <w:color w:val="auto"/>
              <w:sz w:val="22"/>
              <w:lang w:val="en-GB" w:eastAsia="en-GB"/>
            </w:rPr>
          </w:pPr>
          <w:hyperlink w:anchor="_Toc120713450" w:history="1">
            <w:r w:rsidR="0069611A" w:rsidRPr="00694B80">
              <w:rPr>
                <w:rStyle w:val="Hyperlink"/>
                <w:noProof/>
              </w:rPr>
              <w:t>A note on including cases where the Disabled person died by suicide</w:t>
            </w:r>
            <w:r w:rsidR="0069611A">
              <w:rPr>
                <w:noProof/>
                <w:webHidden/>
              </w:rPr>
              <w:tab/>
            </w:r>
            <w:r w:rsidR="0069611A">
              <w:rPr>
                <w:noProof/>
                <w:webHidden/>
              </w:rPr>
              <w:fldChar w:fldCharType="begin"/>
            </w:r>
            <w:r w:rsidR="0069611A">
              <w:rPr>
                <w:noProof/>
                <w:webHidden/>
              </w:rPr>
              <w:instrText xml:space="preserve"> PAGEREF _Toc120713450 \h </w:instrText>
            </w:r>
            <w:r w:rsidR="0069611A">
              <w:rPr>
                <w:noProof/>
                <w:webHidden/>
              </w:rPr>
            </w:r>
            <w:r w:rsidR="0069611A">
              <w:rPr>
                <w:noProof/>
                <w:webHidden/>
              </w:rPr>
              <w:fldChar w:fldCharType="separate"/>
            </w:r>
            <w:r w:rsidR="00AC4EBA">
              <w:rPr>
                <w:noProof/>
                <w:webHidden/>
              </w:rPr>
              <w:t>7</w:t>
            </w:r>
            <w:r w:rsidR="0069611A">
              <w:rPr>
                <w:noProof/>
                <w:webHidden/>
              </w:rPr>
              <w:fldChar w:fldCharType="end"/>
            </w:r>
          </w:hyperlink>
        </w:p>
        <w:p w14:paraId="549F2B6B" w14:textId="10965223" w:rsidR="0069611A" w:rsidRDefault="00000000">
          <w:pPr>
            <w:pStyle w:val="TOC2"/>
            <w:tabs>
              <w:tab w:val="right" w:leader="dot" w:pos="9911"/>
            </w:tabs>
            <w:rPr>
              <w:rFonts w:asciiTheme="minorHAnsi" w:hAnsiTheme="minorHAnsi"/>
              <w:b w:val="0"/>
              <w:noProof/>
              <w:color w:val="auto"/>
              <w:sz w:val="22"/>
              <w:lang w:val="en-GB" w:eastAsia="en-GB"/>
            </w:rPr>
          </w:pPr>
          <w:hyperlink w:anchor="_Toc120713451" w:history="1">
            <w:r w:rsidR="0069611A" w:rsidRPr="00694B80">
              <w:rPr>
                <w:rStyle w:val="Hyperlink"/>
                <w:rFonts w:cs="Open Sans"/>
                <w:noProof/>
              </w:rPr>
              <w:t>With Thanks to</w:t>
            </w:r>
            <w:r w:rsidR="0069611A">
              <w:rPr>
                <w:noProof/>
                <w:webHidden/>
              </w:rPr>
              <w:tab/>
            </w:r>
            <w:r w:rsidR="0069611A">
              <w:rPr>
                <w:noProof/>
                <w:webHidden/>
              </w:rPr>
              <w:fldChar w:fldCharType="begin"/>
            </w:r>
            <w:r w:rsidR="0069611A">
              <w:rPr>
                <w:noProof/>
                <w:webHidden/>
              </w:rPr>
              <w:instrText xml:space="preserve"> PAGEREF _Toc120713451 \h </w:instrText>
            </w:r>
            <w:r w:rsidR="0069611A">
              <w:rPr>
                <w:noProof/>
                <w:webHidden/>
              </w:rPr>
            </w:r>
            <w:r w:rsidR="0069611A">
              <w:rPr>
                <w:noProof/>
                <w:webHidden/>
              </w:rPr>
              <w:fldChar w:fldCharType="separate"/>
            </w:r>
            <w:r w:rsidR="00AC4EBA">
              <w:rPr>
                <w:noProof/>
                <w:webHidden/>
              </w:rPr>
              <w:t>10</w:t>
            </w:r>
            <w:r w:rsidR="0069611A">
              <w:rPr>
                <w:noProof/>
                <w:webHidden/>
              </w:rPr>
              <w:fldChar w:fldCharType="end"/>
            </w:r>
          </w:hyperlink>
        </w:p>
        <w:p w14:paraId="79518BE6" w14:textId="4B7C99CC" w:rsidR="0069611A" w:rsidRDefault="00000000">
          <w:pPr>
            <w:pStyle w:val="TOC2"/>
            <w:tabs>
              <w:tab w:val="right" w:leader="dot" w:pos="9911"/>
            </w:tabs>
            <w:rPr>
              <w:rFonts w:asciiTheme="minorHAnsi" w:hAnsiTheme="minorHAnsi"/>
              <w:b w:val="0"/>
              <w:noProof/>
              <w:color w:val="auto"/>
              <w:sz w:val="22"/>
              <w:lang w:val="en-GB" w:eastAsia="en-GB"/>
            </w:rPr>
          </w:pPr>
          <w:hyperlink w:anchor="_Toc120713452" w:history="1">
            <w:r w:rsidR="0069611A" w:rsidRPr="00694B80">
              <w:rPr>
                <w:rStyle w:val="Hyperlink"/>
                <w:noProof/>
              </w:rPr>
              <w:t>Ableism and Disablism</w:t>
            </w:r>
            <w:r w:rsidR="0069611A">
              <w:rPr>
                <w:noProof/>
                <w:webHidden/>
              </w:rPr>
              <w:tab/>
            </w:r>
            <w:r w:rsidR="0069611A">
              <w:rPr>
                <w:noProof/>
                <w:webHidden/>
              </w:rPr>
              <w:fldChar w:fldCharType="begin"/>
            </w:r>
            <w:r w:rsidR="0069611A">
              <w:rPr>
                <w:noProof/>
                <w:webHidden/>
              </w:rPr>
              <w:instrText xml:space="preserve"> PAGEREF _Toc120713452 \h </w:instrText>
            </w:r>
            <w:r w:rsidR="0069611A">
              <w:rPr>
                <w:noProof/>
                <w:webHidden/>
              </w:rPr>
            </w:r>
            <w:r w:rsidR="0069611A">
              <w:rPr>
                <w:noProof/>
                <w:webHidden/>
              </w:rPr>
              <w:fldChar w:fldCharType="separate"/>
            </w:r>
            <w:r w:rsidR="00AC4EBA">
              <w:rPr>
                <w:noProof/>
                <w:webHidden/>
              </w:rPr>
              <w:t>11</w:t>
            </w:r>
            <w:r w:rsidR="0069611A">
              <w:rPr>
                <w:noProof/>
                <w:webHidden/>
              </w:rPr>
              <w:fldChar w:fldCharType="end"/>
            </w:r>
          </w:hyperlink>
        </w:p>
        <w:p w14:paraId="4870E333" w14:textId="54A23BF3" w:rsidR="0069611A" w:rsidRDefault="00000000">
          <w:pPr>
            <w:pStyle w:val="TOC3"/>
            <w:tabs>
              <w:tab w:val="right" w:leader="dot" w:pos="9911"/>
            </w:tabs>
            <w:rPr>
              <w:rFonts w:asciiTheme="minorHAnsi" w:hAnsiTheme="minorHAnsi"/>
              <w:b w:val="0"/>
              <w:noProof/>
              <w:color w:val="auto"/>
              <w:sz w:val="22"/>
              <w:lang w:val="en-GB" w:eastAsia="en-GB"/>
            </w:rPr>
          </w:pPr>
          <w:hyperlink w:anchor="_Toc120713453" w:history="1">
            <w:r w:rsidR="0069611A" w:rsidRPr="00694B80">
              <w:rPr>
                <w:rStyle w:val="Hyperlink"/>
                <w:noProof/>
              </w:rPr>
              <w:t>Ableism</w:t>
            </w:r>
            <w:r w:rsidR="0069611A">
              <w:rPr>
                <w:noProof/>
                <w:webHidden/>
              </w:rPr>
              <w:tab/>
            </w:r>
            <w:r w:rsidR="0069611A">
              <w:rPr>
                <w:noProof/>
                <w:webHidden/>
              </w:rPr>
              <w:fldChar w:fldCharType="begin"/>
            </w:r>
            <w:r w:rsidR="0069611A">
              <w:rPr>
                <w:noProof/>
                <w:webHidden/>
              </w:rPr>
              <w:instrText xml:space="preserve"> PAGEREF _Toc120713453 \h </w:instrText>
            </w:r>
            <w:r w:rsidR="0069611A">
              <w:rPr>
                <w:noProof/>
                <w:webHidden/>
              </w:rPr>
            </w:r>
            <w:r w:rsidR="0069611A">
              <w:rPr>
                <w:noProof/>
                <w:webHidden/>
              </w:rPr>
              <w:fldChar w:fldCharType="separate"/>
            </w:r>
            <w:r w:rsidR="00AC4EBA">
              <w:rPr>
                <w:noProof/>
                <w:webHidden/>
              </w:rPr>
              <w:t>11</w:t>
            </w:r>
            <w:r w:rsidR="0069611A">
              <w:rPr>
                <w:noProof/>
                <w:webHidden/>
              </w:rPr>
              <w:fldChar w:fldCharType="end"/>
            </w:r>
          </w:hyperlink>
        </w:p>
        <w:p w14:paraId="2DC9040E" w14:textId="09ED185A" w:rsidR="0069611A" w:rsidRDefault="00000000">
          <w:pPr>
            <w:pStyle w:val="TOC3"/>
            <w:tabs>
              <w:tab w:val="right" w:leader="dot" w:pos="9911"/>
            </w:tabs>
            <w:rPr>
              <w:rFonts w:asciiTheme="minorHAnsi" w:hAnsiTheme="minorHAnsi"/>
              <w:b w:val="0"/>
              <w:noProof/>
              <w:color w:val="auto"/>
              <w:sz w:val="22"/>
              <w:lang w:val="en-GB" w:eastAsia="en-GB"/>
            </w:rPr>
          </w:pPr>
          <w:hyperlink w:anchor="_Toc120713454" w:history="1">
            <w:r w:rsidR="0069611A" w:rsidRPr="00694B80">
              <w:rPr>
                <w:rStyle w:val="Hyperlink"/>
                <w:noProof/>
              </w:rPr>
              <w:t>Disablism</w:t>
            </w:r>
            <w:r w:rsidR="0069611A">
              <w:rPr>
                <w:noProof/>
                <w:webHidden/>
              </w:rPr>
              <w:tab/>
            </w:r>
            <w:r w:rsidR="0069611A">
              <w:rPr>
                <w:noProof/>
                <w:webHidden/>
              </w:rPr>
              <w:fldChar w:fldCharType="begin"/>
            </w:r>
            <w:r w:rsidR="0069611A">
              <w:rPr>
                <w:noProof/>
                <w:webHidden/>
              </w:rPr>
              <w:instrText xml:space="preserve"> PAGEREF _Toc120713454 \h </w:instrText>
            </w:r>
            <w:r w:rsidR="0069611A">
              <w:rPr>
                <w:noProof/>
                <w:webHidden/>
              </w:rPr>
            </w:r>
            <w:r w:rsidR="0069611A">
              <w:rPr>
                <w:noProof/>
                <w:webHidden/>
              </w:rPr>
              <w:fldChar w:fldCharType="separate"/>
            </w:r>
            <w:r w:rsidR="00AC4EBA">
              <w:rPr>
                <w:noProof/>
                <w:webHidden/>
              </w:rPr>
              <w:t>11</w:t>
            </w:r>
            <w:r w:rsidR="0069611A">
              <w:rPr>
                <w:noProof/>
                <w:webHidden/>
              </w:rPr>
              <w:fldChar w:fldCharType="end"/>
            </w:r>
          </w:hyperlink>
        </w:p>
        <w:p w14:paraId="13AD4F7A" w14:textId="127A49F9" w:rsidR="0069611A" w:rsidRDefault="00000000">
          <w:pPr>
            <w:pStyle w:val="TOC1"/>
            <w:tabs>
              <w:tab w:val="right" w:leader="dot" w:pos="9911"/>
            </w:tabs>
            <w:rPr>
              <w:rFonts w:asciiTheme="minorHAnsi" w:hAnsiTheme="minorHAnsi"/>
              <w:b w:val="0"/>
              <w:noProof/>
              <w:color w:val="auto"/>
              <w:sz w:val="22"/>
              <w:lang w:val="en-GB" w:eastAsia="en-GB"/>
            </w:rPr>
          </w:pPr>
          <w:hyperlink w:anchor="_Toc120713455" w:history="1">
            <w:r w:rsidR="0069611A" w:rsidRPr="00694B80">
              <w:rPr>
                <w:rStyle w:val="Hyperlink"/>
                <w:rFonts w:cs="Open Sans"/>
                <w:noProof/>
              </w:rPr>
              <w:t>Looking at the numbers: an overview of the cases</w:t>
            </w:r>
            <w:r w:rsidR="0069611A">
              <w:rPr>
                <w:noProof/>
                <w:webHidden/>
              </w:rPr>
              <w:tab/>
            </w:r>
            <w:r w:rsidR="0069611A">
              <w:rPr>
                <w:noProof/>
                <w:webHidden/>
              </w:rPr>
              <w:fldChar w:fldCharType="begin"/>
            </w:r>
            <w:r w:rsidR="0069611A">
              <w:rPr>
                <w:noProof/>
                <w:webHidden/>
              </w:rPr>
              <w:instrText xml:space="preserve"> PAGEREF _Toc120713455 \h </w:instrText>
            </w:r>
            <w:r w:rsidR="0069611A">
              <w:rPr>
                <w:noProof/>
                <w:webHidden/>
              </w:rPr>
            </w:r>
            <w:r w:rsidR="0069611A">
              <w:rPr>
                <w:noProof/>
                <w:webHidden/>
              </w:rPr>
              <w:fldChar w:fldCharType="separate"/>
            </w:r>
            <w:r w:rsidR="00AC4EBA">
              <w:rPr>
                <w:noProof/>
                <w:webHidden/>
              </w:rPr>
              <w:t>13</w:t>
            </w:r>
            <w:r w:rsidR="0069611A">
              <w:rPr>
                <w:noProof/>
                <w:webHidden/>
              </w:rPr>
              <w:fldChar w:fldCharType="end"/>
            </w:r>
          </w:hyperlink>
        </w:p>
        <w:p w14:paraId="7ACEAC3F" w14:textId="2AC43E57" w:rsidR="0069611A" w:rsidRDefault="00000000">
          <w:pPr>
            <w:pStyle w:val="TOC2"/>
            <w:tabs>
              <w:tab w:val="right" w:leader="dot" w:pos="9911"/>
            </w:tabs>
            <w:rPr>
              <w:rFonts w:asciiTheme="minorHAnsi" w:hAnsiTheme="minorHAnsi"/>
              <w:b w:val="0"/>
              <w:noProof/>
              <w:color w:val="auto"/>
              <w:sz w:val="22"/>
              <w:lang w:val="en-GB" w:eastAsia="en-GB"/>
            </w:rPr>
          </w:pPr>
          <w:hyperlink w:anchor="_Toc120713456" w:history="1">
            <w:r w:rsidR="0069611A" w:rsidRPr="00694B80">
              <w:rPr>
                <w:rStyle w:val="Hyperlink"/>
                <w:noProof/>
              </w:rPr>
              <w:t>The pressures journalists are under and missing information in crime reports</w:t>
            </w:r>
            <w:r w:rsidR="0069611A">
              <w:rPr>
                <w:noProof/>
                <w:webHidden/>
              </w:rPr>
              <w:tab/>
            </w:r>
            <w:r w:rsidR="0069611A">
              <w:rPr>
                <w:noProof/>
                <w:webHidden/>
              </w:rPr>
              <w:fldChar w:fldCharType="begin"/>
            </w:r>
            <w:r w:rsidR="0069611A">
              <w:rPr>
                <w:noProof/>
                <w:webHidden/>
              </w:rPr>
              <w:instrText xml:space="preserve"> PAGEREF _Toc120713456 \h </w:instrText>
            </w:r>
            <w:r w:rsidR="0069611A">
              <w:rPr>
                <w:noProof/>
                <w:webHidden/>
              </w:rPr>
            </w:r>
            <w:r w:rsidR="0069611A">
              <w:rPr>
                <w:noProof/>
                <w:webHidden/>
              </w:rPr>
              <w:fldChar w:fldCharType="separate"/>
            </w:r>
            <w:r w:rsidR="00AC4EBA">
              <w:rPr>
                <w:noProof/>
                <w:webHidden/>
              </w:rPr>
              <w:t>13</w:t>
            </w:r>
            <w:r w:rsidR="0069611A">
              <w:rPr>
                <w:noProof/>
                <w:webHidden/>
              </w:rPr>
              <w:fldChar w:fldCharType="end"/>
            </w:r>
          </w:hyperlink>
        </w:p>
        <w:p w14:paraId="65B2DE2D" w14:textId="02711355" w:rsidR="0069611A" w:rsidRDefault="00000000">
          <w:pPr>
            <w:pStyle w:val="TOC2"/>
            <w:tabs>
              <w:tab w:val="right" w:leader="dot" w:pos="9911"/>
            </w:tabs>
            <w:rPr>
              <w:rFonts w:asciiTheme="minorHAnsi" w:hAnsiTheme="minorHAnsi"/>
              <w:b w:val="0"/>
              <w:noProof/>
              <w:color w:val="auto"/>
              <w:sz w:val="22"/>
              <w:lang w:val="en-GB" w:eastAsia="en-GB"/>
            </w:rPr>
          </w:pPr>
          <w:hyperlink w:anchor="_Toc120713457" w:history="1">
            <w:r w:rsidR="0069611A" w:rsidRPr="00694B80">
              <w:rPr>
                <w:rStyle w:val="Hyperlink"/>
                <w:noProof/>
              </w:rPr>
              <w:t>The problem with Google</w:t>
            </w:r>
            <w:r w:rsidR="0069611A">
              <w:rPr>
                <w:noProof/>
                <w:webHidden/>
              </w:rPr>
              <w:tab/>
            </w:r>
            <w:r w:rsidR="0069611A">
              <w:rPr>
                <w:noProof/>
                <w:webHidden/>
              </w:rPr>
              <w:fldChar w:fldCharType="begin"/>
            </w:r>
            <w:r w:rsidR="0069611A">
              <w:rPr>
                <w:noProof/>
                <w:webHidden/>
              </w:rPr>
              <w:instrText xml:space="preserve"> PAGEREF _Toc120713457 \h </w:instrText>
            </w:r>
            <w:r w:rsidR="0069611A">
              <w:rPr>
                <w:noProof/>
                <w:webHidden/>
              </w:rPr>
            </w:r>
            <w:r w:rsidR="0069611A">
              <w:rPr>
                <w:noProof/>
                <w:webHidden/>
              </w:rPr>
              <w:fldChar w:fldCharType="separate"/>
            </w:r>
            <w:r w:rsidR="00AC4EBA">
              <w:rPr>
                <w:noProof/>
                <w:webHidden/>
              </w:rPr>
              <w:t>14</w:t>
            </w:r>
            <w:r w:rsidR="0069611A">
              <w:rPr>
                <w:noProof/>
                <w:webHidden/>
              </w:rPr>
              <w:fldChar w:fldCharType="end"/>
            </w:r>
          </w:hyperlink>
        </w:p>
        <w:p w14:paraId="1A0256C4" w14:textId="4CCCCF79" w:rsidR="0069611A" w:rsidRDefault="00000000">
          <w:pPr>
            <w:pStyle w:val="TOC2"/>
            <w:tabs>
              <w:tab w:val="right" w:leader="dot" w:pos="9911"/>
            </w:tabs>
            <w:rPr>
              <w:rFonts w:asciiTheme="minorHAnsi" w:hAnsiTheme="minorHAnsi"/>
              <w:b w:val="0"/>
              <w:noProof/>
              <w:color w:val="auto"/>
              <w:sz w:val="22"/>
              <w:lang w:val="en-GB" w:eastAsia="en-GB"/>
            </w:rPr>
          </w:pPr>
          <w:hyperlink w:anchor="_Toc120713458" w:history="1">
            <w:r w:rsidR="0069611A" w:rsidRPr="00694B80">
              <w:rPr>
                <w:rStyle w:val="Hyperlink"/>
                <w:rFonts w:cs="Open Sans"/>
                <w:noProof/>
              </w:rPr>
              <w:t>Location</w:t>
            </w:r>
            <w:r w:rsidR="0069611A">
              <w:rPr>
                <w:noProof/>
                <w:webHidden/>
              </w:rPr>
              <w:tab/>
            </w:r>
            <w:r w:rsidR="0069611A">
              <w:rPr>
                <w:noProof/>
                <w:webHidden/>
              </w:rPr>
              <w:fldChar w:fldCharType="begin"/>
            </w:r>
            <w:r w:rsidR="0069611A">
              <w:rPr>
                <w:noProof/>
                <w:webHidden/>
              </w:rPr>
              <w:instrText xml:space="preserve"> PAGEREF _Toc120713458 \h </w:instrText>
            </w:r>
            <w:r w:rsidR="0069611A">
              <w:rPr>
                <w:noProof/>
                <w:webHidden/>
              </w:rPr>
            </w:r>
            <w:r w:rsidR="0069611A">
              <w:rPr>
                <w:noProof/>
                <w:webHidden/>
              </w:rPr>
              <w:fldChar w:fldCharType="separate"/>
            </w:r>
            <w:r w:rsidR="00AC4EBA">
              <w:rPr>
                <w:noProof/>
                <w:webHidden/>
              </w:rPr>
              <w:t>15</w:t>
            </w:r>
            <w:r w:rsidR="0069611A">
              <w:rPr>
                <w:noProof/>
                <w:webHidden/>
              </w:rPr>
              <w:fldChar w:fldCharType="end"/>
            </w:r>
          </w:hyperlink>
        </w:p>
        <w:p w14:paraId="66C75EB0" w14:textId="03752116" w:rsidR="0069611A" w:rsidRDefault="00000000">
          <w:pPr>
            <w:pStyle w:val="TOC2"/>
            <w:tabs>
              <w:tab w:val="right" w:leader="dot" w:pos="9911"/>
            </w:tabs>
            <w:rPr>
              <w:rFonts w:asciiTheme="minorHAnsi" w:hAnsiTheme="minorHAnsi"/>
              <w:b w:val="0"/>
              <w:noProof/>
              <w:color w:val="auto"/>
              <w:sz w:val="22"/>
              <w:lang w:val="en-GB" w:eastAsia="en-GB"/>
            </w:rPr>
          </w:pPr>
          <w:hyperlink w:anchor="_Toc120713459" w:history="1">
            <w:r w:rsidR="0069611A" w:rsidRPr="00694B80">
              <w:rPr>
                <w:rStyle w:val="Hyperlink"/>
                <w:rFonts w:cs="Open Sans"/>
                <w:noProof/>
              </w:rPr>
              <w:t>Year Crime Occurred</w:t>
            </w:r>
            <w:r w:rsidR="0069611A">
              <w:rPr>
                <w:noProof/>
                <w:webHidden/>
              </w:rPr>
              <w:tab/>
            </w:r>
            <w:r w:rsidR="0069611A">
              <w:rPr>
                <w:noProof/>
                <w:webHidden/>
              </w:rPr>
              <w:fldChar w:fldCharType="begin"/>
            </w:r>
            <w:r w:rsidR="0069611A">
              <w:rPr>
                <w:noProof/>
                <w:webHidden/>
              </w:rPr>
              <w:instrText xml:space="preserve"> PAGEREF _Toc120713459 \h </w:instrText>
            </w:r>
            <w:r w:rsidR="0069611A">
              <w:rPr>
                <w:noProof/>
                <w:webHidden/>
              </w:rPr>
            </w:r>
            <w:r w:rsidR="0069611A">
              <w:rPr>
                <w:noProof/>
                <w:webHidden/>
              </w:rPr>
              <w:fldChar w:fldCharType="separate"/>
            </w:r>
            <w:r w:rsidR="00AC4EBA">
              <w:rPr>
                <w:noProof/>
                <w:webHidden/>
              </w:rPr>
              <w:t>15</w:t>
            </w:r>
            <w:r w:rsidR="0069611A">
              <w:rPr>
                <w:noProof/>
                <w:webHidden/>
              </w:rPr>
              <w:fldChar w:fldCharType="end"/>
            </w:r>
          </w:hyperlink>
        </w:p>
        <w:p w14:paraId="09887CB4" w14:textId="1C115C51" w:rsidR="0069611A" w:rsidRDefault="00000000">
          <w:pPr>
            <w:pStyle w:val="TOC2"/>
            <w:tabs>
              <w:tab w:val="right" w:leader="dot" w:pos="9911"/>
            </w:tabs>
            <w:rPr>
              <w:rFonts w:asciiTheme="minorHAnsi" w:hAnsiTheme="minorHAnsi"/>
              <w:b w:val="0"/>
              <w:noProof/>
              <w:color w:val="auto"/>
              <w:sz w:val="22"/>
              <w:lang w:val="en-GB" w:eastAsia="en-GB"/>
            </w:rPr>
          </w:pPr>
          <w:hyperlink w:anchor="_Toc120713460" w:history="1">
            <w:r w:rsidR="0069611A" w:rsidRPr="00694B80">
              <w:rPr>
                <w:rStyle w:val="Hyperlink"/>
                <w:rFonts w:cs="Open Sans"/>
                <w:noProof/>
              </w:rPr>
              <w:t>Types of Acts and / or Crimes</w:t>
            </w:r>
            <w:r w:rsidR="0069611A">
              <w:rPr>
                <w:noProof/>
                <w:webHidden/>
              </w:rPr>
              <w:tab/>
            </w:r>
            <w:r w:rsidR="0069611A">
              <w:rPr>
                <w:noProof/>
                <w:webHidden/>
              </w:rPr>
              <w:fldChar w:fldCharType="begin"/>
            </w:r>
            <w:r w:rsidR="0069611A">
              <w:rPr>
                <w:noProof/>
                <w:webHidden/>
              </w:rPr>
              <w:instrText xml:space="preserve"> PAGEREF _Toc120713460 \h </w:instrText>
            </w:r>
            <w:r w:rsidR="0069611A">
              <w:rPr>
                <w:noProof/>
                <w:webHidden/>
              </w:rPr>
            </w:r>
            <w:r w:rsidR="0069611A">
              <w:rPr>
                <w:noProof/>
                <w:webHidden/>
              </w:rPr>
              <w:fldChar w:fldCharType="separate"/>
            </w:r>
            <w:r w:rsidR="00AC4EBA">
              <w:rPr>
                <w:noProof/>
                <w:webHidden/>
              </w:rPr>
              <w:t>17</w:t>
            </w:r>
            <w:r w:rsidR="0069611A">
              <w:rPr>
                <w:noProof/>
                <w:webHidden/>
              </w:rPr>
              <w:fldChar w:fldCharType="end"/>
            </w:r>
          </w:hyperlink>
        </w:p>
        <w:p w14:paraId="5424B50B" w14:textId="221902FF" w:rsidR="0069611A" w:rsidRDefault="00000000">
          <w:pPr>
            <w:pStyle w:val="TOC2"/>
            <w:tabs>
              <w:tab w:val="right" w:leader="dot" w:pos="9911"/>
            </w:tabs>
            <w:rPr>
              <w:rFonts w:asciiTheme="minorHAnsi" w:hAnsiTheme="minorHAnsi"/>
              <w:b w:val="0"/>
              <w:noProof/>
              <w:color w:val="auto"/>
              <w:sz w:val="22"/>
              <w:lang w:val="en-GB" w:eastAsia="en-GB"/>
            </w:rPr>
          </w:pPr>
          <w:hyperlink w:anchor="_Toc120713461" w:history="1">
            <w:r w:rsidR="0069611A" w:rsidRPr="00694B80">
              <w:rPr>
                <w:rStyle w:val="Hyperlink"/>
                <w:rFonts w:cs="Open Sans"/>
                <w:noProof/>
              </w:rPr>
              <w:t>Other Crime Details</w:t>
            </w:r>
            <w:r w:rsidR="0069611A">
              <w:rPr>
                <w:noProof/>
                <w:webHidden/>
              </w:rPr>
              <w:tab/>
            </w:r>
            <w:r w:rsidR="0069611A">
              <w:rPr>
                <w:noProof/>
                <w:webHidden/>
              </w:rPr>
              <w:fldChar w:fldCharType="begin"/>
            </w:r>
            <w:r w:rsidR="0069611A">
              <w:rPr>
                <w:noProof/>
                <w:webHidden/>
              </w:rPr>
              <w:instrText xml:space="preserve"> PAGEREF _Toc120713461 \h </w:instrText>
            </w:r>
            <w:r w:rsidR="0069611A">
              <w:rPr>
                <w:noProof/>
                <w:webHidden/>
              </w:rPr>
            </w:r>
            <w:r w:rsidR="0069611A">
              <w:rPr>
                <w:noProof/>
                <w:webHidden/>
              </w:rPr>
              <w:fldChar w:fldCharType="separate"/>
            </w:r>
            <w:r w:rsidR="00AC4EBA">
              <w:rPr>
                <w:noProof/>
                <w:webHidden/>
              </w:rPr>
              <w:t>19</w:t>
            </w:r>
            <w:r w:rsidR="0069611A">
              <w:rPr>
                <w:noProof/>
                <w:webHidden/>
              </w:rPr>
              <w:fldChar w:fldCharType="end"/>
            </w:r>
          </w:hyperlink>
        </w:p>
        <w:p w14:paraId="1F4254EB" w14:textId="4856FC74" w:rsidR="0069611A" w:rsidRDefault="00000000">
          <w:pPr>
            <w:pStyle w:val="TOC2"/>
            <w:tabs>
              <w:tab w:val="right" w:leader="dot" w:pos="9911"/>
            </w:tabs>
            <w:rPr>
              <w:rFonts w:asciiTheme="minorHAnsi" w:hAnsiTheme="minorHAnsi"/>
              <w:b w:val="0"/>
              <w:noProof/>
              <w:color w:val="auto"/>
              <w:sz w:val="22"/>
              <w:lang w:val="en-GB" w:eastAsia="en-GB"/>
            </w:rPr>
          </w:pPr>
          <w:hyperlink w:anchor="_Toc120713462" w:history="1">
            <w:r w:rsidR="0069611A" w:rsidRPr="00694B80">
              <w:rPr>
                <w:rStyle w:val="Hyperlink"/>
                <w:rFonts w:cs="Open Sans"/>
                <w:noProof/>
              </w:rPr>
              <w:t>Victims and relationship to their perpetrators</w:t>
            </w:r>
            <w:r w:rsidR="0069611A">
              <w:rPr>
                <w:noProof/>
                <w:webHidden/>
              </w:rPr>
              <w:tab/>
            </w:r>
            <w:r w:rsidR="0069611A">
              <w:rPr>
                <w:noProof/>
                <w:webHidden/>
              </w:rPr>
              <w:fldChar w:fldCharType="begin"/>
            </w:r>
            <w:r w:rsidR="0069611A">
              <w:rPr>
                <w:noProof/>
                <w:webHidden/>
              </w:rPr>
              <w:instrText xml:space="preserve"> PAGEREF _Toc120713462 \h </w:instrText>
            </w:r>
            <w:r w:rsidR="0069611A">
              <w:rPr>
                <w:noProof/>
                <w:webHidden/>
              </w:rPr>
            </w:r>
            <w:r w:rsidR="0069611A">
              <w:rPr>
                <w:noProof/>
                <w:webHidden/>
              </w:rPr>
              <w:fldChar w:fldCharType="separate"/>
            </w:r>
            <w:r w:rsidR="00AC4EBA">
              <w:rPr>
                <w:noProof/>
                <w:webHidden/>
              </w:rPr>
              <w:t>21</w:t>
            </w:r>
            <w:r w:rsidR="0069611A">
              <w:rPr>
                <w:noProof/>
                <w:webHidden/>
              </w:rPr>
              <w:fldChar w:fldCharType="end"/>
            </w:r>
          </w:hyperlink>
        </w:p>
        <w:p w14:paraId="4EC080C1" w14:textId="79FFDD16" w:rsidR="0069611A" w:rsidRDefault="00000000">
          <w:pPr>
            <w:pStyle w:val="TOC3"/>
            <w:tabs>
              <w:tab w:val="right" w:leader="dot" w:pos="9911"/>
            </w:tabs>
            <w:rPr>
              <w:rFonts w:asciiTheme="minorHAnsi" w:hAnsiTheme="minorHAnsi"/>
              <w:b w:val="0"/>
              <w:noProof/>
              <w:color w:val="auto"/>
              <w:sz w:val="22"/>
              <w:lang w:val="en-GB" w:eastAsia="en-GB"/>
            </w:rPr>
          </w:pPr>
          <w:hyperlink w:anchor="_Toc120713463" w:history="1">
            <w:r w:rsidR="0069611A" w:rsidRPr="00694B80">
              <w:rPr>
                <w:rStyle w:val="Hyperlink"/>
                <w:noProof/>
              </w:rPr>
              <w:t>Demographics</w:t>
            </w:r>
            <w:r w:rsidR="0069611A">
              <w:rPr>
                <w:noProof/>
                <w:webHidden/>
              </w:rPr>
              <w:tab/>
            </w:r>
            <w:r w:rsidR="0069611A">
              <w:rPr>
                <w:noProof/>
                <w:webHidden/>
              </w:rPr>
              <w:fldChar w:fldCharType="begin"/>
            </w:r>
            <w:r w:rsidR="0069611A">
              <w:rPr>
                <w:noProof/>
                <w:webHidden/>
              </w:rPr>
              <w:instrText xml:space="preserve"> PAGEREF _Toc120713463 \h </w:instrText>
            </w:r>
            <w:r w:rsidR="0069611A">
              <w:rPr>
                <w:noProof/>
                <w:webHidden/>
              </w:rPr>
            </w:r>
            <w:r w:rsidR="0069611A">
              <w:rPr>
                <w:noProof/>
                <w:webHidden/>
              </w:rPr>
              <w:fldChar w:fldCharType="separate"/>
            </w:r>
            <w:r w:rsidR="00AC4EBA">
              <w:rPr>
                <w:noProof/>
                <w:webHidden/>
              </w:rPr>
              <w:t>21</w:t>
            </w:r>
            <w:r w:rsidR="0069611A">
              <w:rPr>
                <w:noProof/>
                <w:webHidden/>
              </w:rPr>
              <w:fldChar w:fldCharType="end"/>
            </w:r>
          </w:hyperlink>
        </w:p>
        <w:p w14:paraId="4A184D98" w14:textId="6C75666E" w:rsidR="0069611A" w:rsidRDefault="00000000">
          <w:pPr>
            <w:pStyle w:val="TOC2"/>
            <w:tabs>
              <w:tab w:val="right" w:leader="dot" w:pos="9911"/>
            </w:tabs>
            <w:rPr>
              <w:rFonts w:asciiTheme="minorHAnsi" w:hAnsiTheme="minorHAnsi"/>
              <w:b w:val="0"/>
              <w:noProof/>
              <w:color w:val="auto"/>
              <w:sz w:val="22"/>
              <w:lang w:val="en-GB" w:eastAsia="en-GB"/>
            </w:rPr>
          </w:pPr>
          <w:hyperlink w:anchor="_Toc120713464" w:history="1">
            <w:r w:rsidR="0069611A" w:rsidRPr="00694B80">
              <w:rPr>
                <w:rStyle w:val="Hyperlink"/>
                <w:rFonts w:cs="Open Sans"/>
                <w:noProof/>
              </w:rPr>
              <w:t>Media Coverage</w:t>
            </w:r>
            <w:r w:rsidR="0069611A">
              <w:rPr>
                <w:noProof/>
                <w:webHidden/>
              </w:rPr>
              <w:tab/>
            </w:r>
            <w:r w:rsidR="0069611A">
              <w:rPr>
                <w:noProof/>
                <w:webHidden/>
              </w:rPr>
              <w:fldChar w:fldCharType="begin"/>
            </w:r>
            <w:r w:rsidR="0069611A">
              <w:rPr>
                <w:noProof/>
                <w:webHidden/>
              </w:rPr>
              <w:instrText xml:space="preserve"> PAGEREF _Toc120713464 \h </w:instrText>
            </w:r>
            <w:r w:rsidR="0069611A">
              <w:rPr>
                <w:noProof/>
                <w:webHidden/>
              </w:rPr>
            </w:r>
            <w:r w:rsidR="0069611A">
              <w:rPr>
                <w:noProof/>
                <w:webHidden/>
              </w:rPr>
              <w:fldChar w:fldCharType="separate"/>
            </w:r>
            <w:r w:rsidR="00AC4EBA">
              <w:rPr>
                <w:noProof/>
                <w:webHidden/>
              </w:rPr>
              <w:t>31</w:t>
            </w:r>
            <w:r w:rsidR="0069611A">
              <w:rPr>
                <w:noProof/>
                <w:webHidden/>
              </w:rPr>
              <w:fldChar w:fldCharType="end"/>
            </w:r>
          </w:hyperlink>
        </w:p>
        <w:p w14:paraId="2165A620" w14:textId="4341E3DD" w:rsidR="0069611A" w:rsidRDefault="00000000">
          <w:pPr>
            <w:pStyle w:val="TOC3"/>
            <w:tabs>
              <w:tab w:val="right" w:leader="dot" w:pos="9911"/>
            </w:tabs>
            <w:rPr>
              <w:rFonts w:asciiTheme="minorHAnsi" w:hAnsiTheme="minorHAnsi"/>
              <w:b w:val="0"/>
              <w:noProof/>
              <w:color w:val="auto"/>
              <w:sz w:val="22"/>
              <w:lang w:val="en-GB" w:eastAsia="en-GB"/>
            </w:rPr>
          </w:pPr>
          <w:hyperlink w:anchor="_Toc120713465" w:history="1">
            <w:r w:rsidR="0069611A" w:rsidRPr="00694B80">
              <w:rPr>
                <w:rStyle w:val="Hyperlink"/>
                <w:noProof/>
              </w:rPr>
              <w:t>Media sources used</w:t>
            </w:r>
            <w:r w:rsidR="0069611A">
              <w:rPr>
                <w:noProof/>
                <w:webHidden/>
              </w:rPr>
              <w:tab/>
            </w:r>
            <w:r w:rsidR="0069611A">
              <w:rPr>
                <w:noProof/>
                <w:webHidden/>
              </w:rPr>
              <w:fldChar w:fldCharType="begin"/>
            </w:r>
            <w:r w:rsidR="0069611A">
              <w:rPr>
                <w:noProof/>
                <w:webHidden/>
              </w:rPr>
              <w:instrText xml:space="preserve"> PAGEREF _Toc120713465 \h </w:instrText>
            </w:r>
            <w:r w:rsidR="0069611A">
              <w:rPr>
                <w:noProof/>
                <w:webHidden/>
              </w:rPr>
            </w:r>
            <w:r w:rsidR="0069611A">
              <w:rPr>
                <w:noProof/>
                <w:webHidden/>
              </w:rPr>
              <w:fldChar w:fldCharType="separate"/>
            </w:r>
            <w:r w:rsidR="00AC4EBA">
              <w:rPr>
                <w:noProof/>
                <w:webHidden/>
              </w:rPr>
              <w:t>31</w:t>
            </w:r>
            <w:r w:rsidR="0069611A">
              <w:rPr>
                <w:noProof/>
                <w:webHidden/>
              </w:rPr>
              <w:fldChar w:fldCharType="end"/>
            </w:r>
          </w:hyperlink>
        </w:p>
        <w:p w14:paraId="53A2CE4C" w14:textId="1FC9DA93" w:rsidR="0069611A" w:rsidRDefault="00000000">
          <w:pPr>
            <w:pStyle w:val="TOC3"/>
            <w:tabs>
              <w:tab w:val="right" w:leader="dot" w:pos="9911"/>
            </w:tabs>
            <w:rPr>
              <w:rFonts w:asciiTheme="minorHAnsi" w:hAnsiTheme="minorHAnsi"/>
              <w:b w:val="0"/>
              <w:noProof/>
              <w:color w:val="auto"/>
              <w:sz w:val="22"/>
              <w:lang w:val="en-GB" w:eastAsia="en-GB"/>
            </w:rPr>
          </w:pPr>
          <w:hyperlink w:anchor="_Toc120713466" w:history="1">
            <w:r w:rsidR="0069611A" w:rsidRPr="00694B80">
              <w:rPr>
                <w:rStyle w:val="Hyperlink"/>
                <w:noProof/>
              </w:rPr>
              <w:t>Media Coverage</w:t>
            </w:r>
            <w:r w:rsidR="0069611A">
              <w:rPr>
                <w:noProof/>
                <w:webHidden/>
              </w:rPr>
              <w:tab/>
            </w:r>
            <w:r w:rsidR="0069611A">
              <w:rPr>
                <w:noProof/>
                <w:webHidden/>
              </w:rPr>
              <w:fldChar w:fldCharType="begin"/>
            </w:r>
            <w:r w:rsidR="0069611A">
              <w:rPr>
                <w:noProof/>
                <w:webHidden/>
              </w:rPr>
              <w:instrText xml:space="preserve"> PAGEREF _Toc120713466 \h </w:instrText>
            </w:r>
            <w:r w:rsidR="0069611A">
              <w:rPr>
                <w:noProof/>
                <w:webHidden/>
              </w:rPr>
            </w:r>
            <w:r w:rsidR="0069611A">
              <w:rPr>
                <w:noProof/>
                <w:webHidden/>
              </w:rPr>
              <w:fldChar w:fldCharType="separate"/>
            </w:r>
            <w:r w:rsidR="00AC4EBA">
              <w:rPr>
                <w:noProof/>
                <w:webHidden/>
              </w:rPr>
              <w:t>32</w:t>
            </w:r>
            <w:r w:rsidR="0069611A">
              <w:rPr>
                <w:noProof/>
                <w:webHidden/>
              </w:rPr>
              <w:fldChar w:fldCharType="end"/>
            </w:r>
          </w:hyperlink>
        </w:p>
        <w:p w14:paraId="27D12E0D" w14:textId="3F80094A" w:rsidR="0069611A" w:rsidRDefault="00000000">
          <w:pPr>
            <w:pStyle w:val="TOC2"/>
            <w:tabs>
              <w:tab w:val="right" w:leader="dot" w:pos="9911"/>
            </w:tabs>
            <w:rPr>
              <w:rFonts w:asciiTheme="minorHAnsi" w:hAnsiTheme="minorHAnsi"/>
              <w:b w:val="0"/>
              <w:noProof/>
              <w:color w:val="auto"/>
              <w:sz w:val="22"/>
              <w:lang w:val="en-GB" w:eastAsia="en-GB"/>
            </w:rPr>
          </w:pPr>
          <w:hyperlink w:anchor="_Toc120713467" w:history="1">
            <w:r w:rsidR="0069611A" w:rsidRPr="00694B80">
              <w:rPr>
                <w:rStyle w:val="Hyperlink"/>
                <w:rFonts w:cs="Open Sans"/>
                <w:noProof/>
              </w:rPr>
              <w:t>Outcomes</w:t>
            </w:r>
            <w:r w:rsidR="0069611A">
              <w:rPr>
                <w:noProof/>
                <w:webHidden/>
              </w:rPr>
              <w:tab/>
            </w:r>
            <w:r w:rsidR="0069611A">
              <w:rPr>
                <w:noProof/>
                <w:webHidden/>
              </w:rPr>
              <w:fldChar w:fldCharType="begin"/>
            </w:r>
            <w:r w:rsidR="0069611A">
              <w:rPr>
                <w:noProof/>
                <w:webHidden/>
              </w:rPr>
              <w:instrText xml:space="preserve"> PAGEREF _Toc120713467 \h </w:instrText>
            </w:r>
            <w:r w:rsidR="0069611A">
              <w:rPr>
                <w:noProof/>
                <w:webHidden/>
              </w:rPr>
            </w:r>
            <w:r w:rsidR="0069611A">
              <w:rPr>
                <w:noProof/>
                <w:webHidden/>
              </w:rPr>
              <w:fldChar w:fldCharType="separate"/>
            </w:r>
            <w:r w:rsidR="00AC4EBA">
              <w:rPr>
                <w:noProof/>
                <w:webHidden/>
              </w:rPr>
              <w:t>34</w:t>
            </w:r>
            <w:r w:rsidR="0069611A">
              <w:rPr>
                <w:noProof/>
                <w:webHidden/>
              </w:rPr>
              <w:fldChar w:fldCharType="end"/>
            </w:r>
          </w:hyperlink>
        </w:p>
        <w:p w14:paraId="1EE0668A" w14:textId="1ADD3DEA" w:rsidR="0069611A" w:rsidRDefault="00000000">
          <w:pPr>
            <w:pStyle w:val="TOC3"/>
            <w:tabs>
              <w:tab w:val="right" w:leader="dot" w:pos="9911"/>
            </w:tabs>
            <w:rPr>
              <w:rFonts w:asciiTheme="minorHAnsi" w:hAnsiTheme="minorHAnsi"/>
              <w:b w:val="0"/>
              <w:noProof/>
              <w:color w:val="auto"/>
              <w:sz w:val="22"/>
              <w:lang w:val="en-GB" w:eastAsia="en-GB"/>
            </w:rPr>
          </w:pPr>
          <w:hyperlink w:anchor="_Toc120713468" w:history="1">
            <w:r w:rsidR="0069611A" w:rsidRPr="00694B80">
              <w:rPr>
                <w:rStyle w:val="Hyperlink"/>
                <w:rFonts w:cs="Open Sans"/>
                <w:noProof/>
              </w:rPr>
              <w:t>Charged</w:t>
            </w:r>
            <w:r w:rsidR="0069611A">
              <w:rPr>
                <w:noProof/>
                <w:webHidden/>
              </w:rPr>
              <w:tab/>
            </w:r>
            <w:r w:rsidR="0069611A">
              <w:rPr>
                <w:noProof/>
                <w:webHidden/>
              </w:rPr>
              <w:fldChar w:fldCharType="begin"/>
            </w:r>
            <w:r w:rsidR="0069611A">
              <w:rPr>
                <w:noProof/>
                <w:webHidden/>
              </w:rPr>
              <w:instrText xml:space="preserve"> PAGEREF _Toc120713468 \h </w:instrText>
            </w:r>
            <w:r w:rsidR="0069611A">
              <w:rPr>
                <w:noProof/>
                <w:webHidden/>
              </w:rPr>
            </w:r>
            <w:r w:rsidR="0069611A">
              <w:rPr>
                <w:noProof/>
                <w:webHidden/>
              </w:rPr>
              <w:fldChar w:fldCharType="separate"/>
            </w:r>
            <w:r w:rsidR="00AC4EBA">
              <w:rPr>
                <w:noProof/>
                <w:webHidden/>
              </w:rPr>
              <w:t>34</w:t>
            </w:r>
            <w:r w:rsidR="0069611A">
              <w:rPr>
                <w:noProof/>
                <w:webHidden/>
              </w:rPr>
              <w:fldChar w:fldCharType="end"/>
            </w:r>
          </w:hyperlink>
        </w:p>
        <w:p w14:paraId="21CA905B" w14:textId="0588A61E" w:rsidR="0069611A" w:rsidRDefault="00000000">
          <w:pPr>
            <w:pStyle w:val="TOC3"/>
            <w:tabs>
              <w:tab w:val="right" w:leader="dot" w:pos="9911"/>
            </w:tabs>
            <w:rPr>
              <w:rFonts w:asciiTheme="minorHAnsi" w:hAnsiTheme="minorHAnsi"/>
              <w:b w:val="0"/>
              <w:noProof/>
              <w:color w:val="auto"/>
              <w:sz w:val="22"/>
              <w:lang w:val="en-GB" w:eastAsia="en-GB"/>
            </w:rPr>
          </w:pPr>
          <w:hyperlink w:anchor="_Toc120713469" w:history="1">
            <w:r w:rsidR="0069611A" w:rsidRPr="00694B80">
              <w:rPr>
                <w:rStyle w:val="Hyperlink"/>
                <w:rFonts w:cs="Open Sans"/>
                <w:noProof/>
              </w:rPr>
              <w:t>Convicted</w:t>
            </w:r>
            <w:r w:rsidR="0069611A">
              <w:rPr>
                <w:noProof/>
                <w:webHidden/>
              </w:rPr>
              <w:tab/>
            </w:r>
            <w:r w:rsidR="0069611A">
              <w:rPr>
                <w:noProof/>
                <w:webHidden/>
              </w:rPr>
              <w:fldChar w:fldCharType="begin"/>
            </w:r>
            <w:r w:rsidR="0069611A">
              <w:rPr>
                <w:noProof/>
                <w:webHidden/>
              </w:rPr>
              <w:instrText xml:space="preserve"> PAGEREF _Toc120713469 \h </w:instrText>
            </w:r>
            <w:r w:rsidR="0069611A">
              <w:rPr>
                <w:noProof/>
                <w:webHidden/>
              </w:rPr>
            </w:r>
            <w:r w:rsidR="0069611A">
              <w:rPr>
                <w:noProof/>
                <w:webHidden/>
              </w:rPr>
              <w:fldChar w:fldCharType="separate"/>
            </w:r>
            <w:r w:rsidR="00AC4EBA">
              <w:rPr>
                <w:noProof/>
                <w:webHidden/>
              </w:rPr>
              <w:t>35</w:t>
            </w:r>
            <w:r w:rsidR="0069611A">
              <w:rPr>
                <w:noProof/>
                <w:webHidden/>
              </w:rPr>
              <w:fldChar w:fldCharType="end"/>
            </w:r>
          </w:hyperlink>
        </w:p>
        <w:p w14:paraId="7310ACD3" w14:textId="1100C72C" w:rsidR="0069611A" w:rsidRDefault="00000000">
          <w:pPr>
            <w:pStyle w:val="TOC3"/>
            <w:tabs>
              <w:tab w:val="right" w:leader="dot" w:pos="9911"/>
            </w:tabs>
            <w:rPr>
              <w:rFonts w:asciiTheme="minorHAnsi" w:hAnsiTheme="minorHAnsi"/>
              <w:b w:val="0"/>
              <w:noProof/>
              <w:color w:val="auto"/>
              <w:sz w:val="22"/>
              <w:lang w:val="en-GB" w:eastAsia="en-GB"/>
            </w:rPr>
          </w:pPr>
          <w:hyperlink w:anchor="_Toc120713470" w:history="1">
            <w:r w:rsidR="0069611A" w:rsidRPr="00694B80">
              <w:rPr>
                <w:rStyle w:val="Hyperlink"/>
                <w:rFonts w:cs="Open Sans"/>
                <w:noProof/>
              </w:rPr>
              <w:t>Legally Identified or Uplifted as Disability Hate Crimes</w:t>
            </w:r>
            <w:r w:rsidR="0069611A">
              <w:rPr>
                <w:noProof/>
                <w:webHidden/>
              </w:rPr>
              <w:tab/>
            </w:r>
            <w:r w:rsidR="0069611A">
              <w:rPr>
                <w:noProof/>
                <w:webHidden/>
              </w:rPr>
              <w:fldChar w:fldCharType="begin"/>
            </w:r>
            <w:r w:rsidR="0069611A">
              <w:rPr>
                <w:noProof/>
                <w:webHidden/>
              </w:rPr>
              <w:instrText xml:space="preserve"> PAGEREF _Toc120713470 \h </w:instrText>
            </w:r>
            <w:r w:rsidR="0069611A">
              <w:rPr>
                <w:noProof/>
                <w:webHidden/>
              </w:rPr>
            </w:r>
            <w:r w:rsidR="0069611A">
              <w:rPr>
                <w:noProof/>
                <w:webHidden/>
              </w:rPr>
              <w:fldChar w:fldCharType="separate"/>
            </w:r>
            <w:r w:rsidR="00AC4EBA">
              <w:rPr>
                <w:noProof/>
                <w:webHidden/>
              </w:rPr>
              <w:t>36</w:t>
            </w:r>
            <w:r w:rsidR="0069611A">
              <w:rPr>
                <w:noProof/>
                <w:webHidden/>
              </w:rPr>
              <w:fldChar w:fldCharType="end"/>
            </w:r>
          </w:hyperlink>
        </w:p>
        <w:p w14:paraId="61C31C94" w14:textId="366AA047" w:rsidR="0069611A" w:rsidRDefault="00000000">
          <w:pPr>
            <w:pStyle w:val="TOC2"/>
            <w:tabs>
              <w:tab w:val="right" w:leader="dot" w:pos="9911"/>
            </w:tabs>
            <w:rPr>
              <w:rFonts w:asciiTheme="minorHAnsi" w:hAnsiTheme="minorHAnsi"/>
              <w:b w:val="0"/>
              <w:noProof/>
              <w:color w:val="auto"/>
              <w:sz w:val="22"/>
              <w:lang w:val="en-GB" w:eastAsia="en-GB"/>
            </w:rPr>
          </w:pPr>
          <w:hyperlink w:anchor="_Toc120713471" w:history="1">
            <w:r w:rsidR="0069611A" w:rsidRPr="00694B80">
              <w:rPr>
                <w:rStyle w:val="Hyperlink"/>
                <w:rFonts w:cs="Open Sans"/>
                <w:noProof/>
              </w:rPr>
              <w:t>Evidence of Disability Hate Crimes</w:t>
            </w:r>
            <w:r w:rsidR="0069611A">
              <w:rPr>
                <w:noProof/>
                <w:webHidden/>
              </w:rPr>
              <w:tab/>
            </w:r>
            <w:r w:rsidR="0069611A">
              <w:rPr>
                <w:noProof/>
                <w:webHidden/>
              </w:rPr>
              <w:fldChar w:fldCharType="begin"/>
            </w:r>
            <w:r w:rsidR="0069611A">
              <w:rPr>
                <w:noProof/>
                <w:webHidden/>
              </w:rPr>
              <w:instrText xml:space="preserve"> PAGEREF _Toc120713471 \h </w:instrText>
            </w:r>
            <w:r w:rsidR="0069611A">
              <w:rPr>
                <w:noProof/>
                <w:webHidden/>
              </w:rPr>
            </w:r>
            <w:r w:rsidR="0069611A">
              <w:rPr>
                <w:noProof/>
                <w:webHidden/>
              </w:rPr>
              <w:fldChar w:fldCharType="separate"/>
            </w:r>
            <w:r w:rsidR="00AC4EBA">
              <w:rPr>
                <w:noProof/>
                <w:webHidden/>
              </w:rPr>
              <w:t>38</w:t>
            </w:r>
            <w:r w:rsidR="0069611A">
              <w:rPr>
                <w:noProof/>
                <w:webHidden/>
              </w:rPr>
              <w:fldChar w:fldCharType="end"/>
            </w:r>
          </w:hyperlink>
        </w:p>
        <w:p w14:paraId="152C3269" w14:textId="4038AB5A" w:rsidR="0069611A" w:rsidRDefault="00000000">
          <w:pPr>
            <w:pStyle w:val="TOC3"/>
            <w:tabs>
              <w:tab w:val="right" w:leader="dot" w:pos="9911"/>
            </w:tabs>
            <w:rPr>
              <w:rFonts w:asciiTheme="minorHAnsi" w:hAnsiTheme="minorHAnsi"/>
              <w:b w:val="0"/>
              <w:noProof/>
              <w:color w:val="auto"/>
              <w:sz w:val="22"/>
              <w:lang w:val="en-GB" w:eastAsia="en-GB"/>
            </w:rPr>
          </w:pPr>
          <w:hyperlink w:anchor="_Toc120713472" w:history="1">
            <w:r w:rsidR="0069611A" w:rsidRPr="00694B80">
              <w:rPr>
                <w:rStyle w:val="Hyperlink"/>
                <w:noProof/>
              </w:rPr>
              <w:t>Why is identifying and successfully prosecuting a disability hate crime so difficult?</w:t>
            </w:r>
            <w:r w:rsidR="0069611A">
              <w:rPr>
                <w:noProof/>
                <w:webHidden/>
              </w:rPr>
              <w:tab/>
            </w:r>
            <w:r w:rsidR="0069611A">
              <w:rPr>
                <w:noProof/>
                <w:webHidden/>
              </w:rPr>
              <w:fldChar w:fldCharType="begin"/>
            </w:r>
            <w:r w:rsidR="0069611A">
              <w:rPr>
                <w:noProof/>
                <w:webHidden/>
              </w:rPr>
              <w:instrText xml:space="preserve"> PAGEREF _Toc120713472 \h </w:instrText>
            </w:r>
            <w:r w:rsidR="0069611A">
              <w:rPr>
                <w:noProof/>
                <w:webHidden/>
              </w:rPr>
            </w:r>
            <w:r w:rsidR="0069611A">
              <w:rPr>
                <w:noProof/>
                <w:webHidden/>
              </w:rPr>
              <w:fldChar w:fldCharType="separate"/>
            </w:r>
            <w:r w:rsidR="00AC4EBA">
              <w:rPr>
                <w:noProof/>
                <w:webHidden/>
              </w:rPr>
              <w:t>40</w:t>
            </w:r>
            <w:r w:rsidR="0069611A">
              <w:rPr>
                <w:noProof/>
                <w:webHidden/>
              </w:rPr>
              <w:fldChar w:fldCharType="end"/>
            </w:r>
          </w:hyperlink>
        </w:p>
        <w:p w14:paraId="5B96950C" w14:textId="3514105B" w:rsidR="0069611A" w:rsidRDefault="00000000">
          <w:pPr>
            <w:pStyle w:val="TOC1"/>
            <w:tabs>
              <w:tab w:val="right" w:leader="dot" w:pos="9911"/>
            </w:tabs>
            <w:rPr>
              <w:rFonts w:asciiTheme="minorHAnsi" w:hAnsiTheme="minorHAnsi"/>
              <w:b w:val="0"/>
              <w:noProof/>
              <w:color w:val="auto"/>
              <w:sz w:val="22"/>
              <w:lang w:val="en-GB" w:eastAsia="en-GB"/>
            </w:rPr>
          </w:pPr>
          <w:hyperlink w:anchor="_Toc120713473" w:history="1">
            <w:r w:rsidR="0069611A" w:rsidRPr="00694B80">
              <w:rPr>
                <w:rStyle w:val="Hyperlink"/>
                <w:noProof/>
              </w:rPr>
              <w:t>Language used in news reports</w:t>
            </w:r>
            <w:r w:rsidR="0069611A">
              <w:rPr>
                <w:noProof/>
                <w:webHidden/>
              </w:rPr>
              <w:tab/>
            </w:r>
            <w:r w:rsidR="0069611A">
              <w:rPr>
                <w:noProof/>
                <w:webHidden/>
              </w:rPr>
              <w:fldChar w:fldCharType="begin"/>
            </w:r>
            <w:r w:rsidR="0069611A">
              <w:rPr>
                <w:noProof/>
                <w:webHidden/>
              </w:rPr>
              <w:instrText xml:space="preserve"> PAGEREF _Toc120713473 \h </w:instrText>
            </w:r>
            <w:r w:rsidR="0069611A">
              <w:rPr>
                <w:noProof/>
                <w:webHidden/>
              </w:rPr>
            </w:r>
            <w:r w:rsidR="0069611A">
              <w:rPr>
                <w:noProof/>
                <w:webHidden/>
              </w:rPr>
              <w:fldChar w:fldCharType="separate"/>
            </w:r>
            <w:r w:rsidR="00AC4EBA">
              <w:rPr>
                <w:noProof/>
                <w:webHidden/>
              </w:rPr>
              <w:t>46</w:t>
            </w:r>
            <w:r w:rsidR="0069611A">
              <w:rPr>
                <w:noProof/>
                <w:webHidden/>
              </w:rPr>
              <w:fldChar w:fldCharType="end"/>
            </w:r>
          </w:hyperlink>
        </w:p>
        <w:p w14:paraId="3AE0E253" w14:textId="4C87FF17" w:rsidR="0069611A" w:rsidRDefault="00000000">
          <w:pPr>
            <w:pStyle w:val="TOC2"/>
            <w:tabs>
              <w:tab w:val="right" w:leader="dot" w:pos="9911"/>
            </w:tabs>
            <w:rPr>
              <w:rFonts w:asciiTheme="minorHAnsi" w:hAnsiTheme="minorHAnsi"/>
              <w:b w:val="0"/>
              <w:noProof/>
              <w:color w:val="auto"/>
              <w:sz w:val="22"/>
              <w:lang w:val="en-GB" w:eastAsia="en-GB"/>
            </w:rPr>
          </w:pPr>
          <w:hyperlink w:anchor="_Toc120713474" w:history="1">
            <w:r w:rsidR="0069611A" w:rsidRPr="00694B80">
              <w:rPr>
                <w:rStyle w:val="Hyperlink"/>
                <w:noProof/>
              </w:rPr>
              <w:t>Overview of language and how it can perpetrate disablism</w:t>
            </w:r>
            <w:r w:rsidR="0069611A">
              <w:rPr>
                <w:noProof/>
                <w:webHidden/>
              </w:rPr>
              <w:tab/>
            </w:r>
            <w:r w:rsidR="0069611A">
              <w:rPr>
                <w:noProof/>
                <w:webHidden/>
              </w:rPr>
              <w:fldChar w:fldCharType="begin"/>
            </w:r>
            <w:r w:rsidR="0069611A">
              <w:rPr>
                <w:noProof/>
                <w:webHidden/>
              </w:rPr>
              <w:instrText xml:space="preserve"> PAGEREF _Toc120713474 \h </w:instrText>
            </w:r>
            <w:r w:rsidR="0069611A">
              <w:rPr>
                <w:noProof/>
                <w:webHidden/>
              </w:rPr>
            </w:r>
            <w:r w:rsidR="0069611A">
              <w:rPr>
                <w:noProof/>
                <w:webHidden/>
              </w:rPr>
              <w:fldChar w:fldCharType="separate"/>
            </w:r>
            <w:r w:rsidR="00AC4EBA">
              <w:rPr>
                <w:noProof/>
                <w:webHidden/>
              </w:rPr>
              <w:t>46</w:t>
            </w:r>
            <w:r w:rsidR="0069611A">
              <w:rPr>
                <w:noProof/>
                <w:webHidden/>
              </w:rPr>
              <w:fldChar w:fldCharType="end"/>
            </w:r>
          </w:hyperlink>
        </w:p>
        <w:p w14:paraId="60575262" w14:textId="1D09C38B" w:rsidR="0069611A" w:rsidRDefault="00000000">
          <w:pPr>
            <w:pStyle w:val="TOC3"/>
            <w:tabs>
              <w:tab w:val="right" w:leader="dot" w:pos="9911"/>
            </w:tabs>
            <w:rPr>
              <w:rFonts w:asciiTheme="minorHAnsi" w:hAnsiTheme="minorHAnsi"/>
              <w:b w:val="0"/>
              <w:noProof/>
              <w:color w:val="auto"/>
              <w:sz w:val="22"/>
              <w:lang w:val="en-GB" w:eastAsia="en-GB"/>
            </w:rPr>
          </w:pPr>
          <w:hyperlink w:anchor="_Toc120713475" w:history="1">
            <w:r w:rsidR="0069611A" w:rsidRPr="00694B80">
              <w:rPr>
                <w:rStyle w:val="Hyperlink"/>
                <w:rFonts w:cs="Open Sans"/>
                <w:noProof/>
              </w:rPr>
              <w:t>Quotes and summaries</w:t>
            </w:r>
            <w:r w:rsidR="0069611A">
              <w:rPr>
                <w:noProof/>
                <w:webHidden/>
              </w:rPr>
              <w:tab/>
            </w:r>
            <w:r w:rsidR="0069611A">
              <w:rPr>
                <w:noProof/>
                <w:webHidden/>
              </w:rPr>
              <w:fldChar w:fldCharType="begin"/>
            </w:r>
            <w:r w:rsidR="0069611A">
              <w:rPr>
                <w:noProof/>
                <w:webHidden/>
              </w:rPr>
              <w:instrText xml:space="preserve"> PAGEREF _Toc120713475 \h </w:instrText>
            </w:r>
            <w:r w:rsidR="0069611A">
              <w:rPr>
                <w:noProof/>
                <w:webHidden/>
              </w:rPr>
            </w:r>
            <w:r w:rsidR="0069611A">
              <w:rPr>
                <w:noProof/>
                <w:webHidden/>
              </w:rPr>
              <w:fldChar w:fldCharType="separate"/>
            </w:r>
            <w:r w:rsidR="00AC4EBA">
              <w:rPr>
                <w:noProof/>
                <w:webHidden/>
              </w:rPr>
              <w:t>48</w:t>
            </w:r>
            <w:r w:rsidR="0069611A">
              <w:rPr>
                <w:noProof/>
                <w:webHidden/>
              </w:rPr>
              <w:fldChar w:fldCharType="end"/>
            </w:r>
          </w:hyperlink>
        </w:p>
        <w:p w14:paraId="11005757" w14:textId="6EFFC8A5" w:rsidR="0069611A" w:rsidRDefault="00000000">
          <w:pPr>
            <w:pStyle w:val="TOC3"/>
            <w:tabs>
              <w:tab w:val="right" w:leader="dot" w:pos="9911"/>
            </w:tabs>
            <w:rPr>
              <w:rFonts w:asciiTheme="minorHAnsi" w:hAnsiTheme="minorHAnsi"/>
              <w:b w:val="0"/>
              <w:noProof/>
              <w:color w:val="auto"/>
              <w:sz w:val="22"/>
              <w:lang w:val="en-GB" w:eastAsia="en-GB"/>
            </w:rPr>
          </w:pPr>
          <w:hyperlink w:anchor="_Toc120713476" w:history="1">
            <w:r w:rsidR="0069611A" w:rsidRPr="00694B80">
              <w:rPr>
                <w:rStyle w:val="Hyperlink"/>
                <w:rFonts w:cs="Open Sans"/>
                <w:noProof/>
              </w:rPr>
              <w:t>Outright disablist language and insults</w:t>
            </w:r>
            <w:r w:rsidR="0069611A">
              <w:rPr>
                <w:noProof/>
                <w:webHidden/>
              </w:rPr>
              <w:tab/>
            </w:r>
            <w:r w:rsidR="0069611A">
              <w:rPr>
                <w:noProof/>
                <w:webHidden/>
              </w:rPr>
              <w:fldChar w:fldCharType="begin"/>
            </w:r>
            <w:r w:rsidR="0069611A">
              <w:rPr>
                <w:noProof/>
                <w:webHidden/>
              </w:rPr>
              <w:instrText xml:space="preserve"> PAGEREF _Toc120713476 \h </w:instrText>
            </w:r>
            <w:r w:rsidR="0069611A">
              <w:rPr>
                <w:noProof/>
                <w:webHidden/>
              </w:rPr>
            </w:r>
            <w:r w:rsidR="0069611A">
              <w:rPr>
                <w:noProof/>
                <w:webHidden/>
              </w:rPr>
              <w:fldChar w:fldCharType="separate"/>
            </w:r>
            <w:r w:rsidR="00AC4EBA">
              <w:rPr>
                <w:noProof/>
                <w:webHidden/>
              </w:rPr>
              <w:t>52</w:t>
            </w:r>
            <w:r w:rsidR="0069611A">
              <w:rPr>
                <w:noProof/>
                <w:webHidden/>
              </w:rPr>
              <w:fldChar w:fldCharType="end"/>
            </w:r>
          </w:hyperlink>
        </w:p>
        <w:p w14:paraId="552360FF" w14:textId="43865DBA" w:rsidR="0069611A" w:rsidRDefault="00000000">
          <w:pPr>
            <w:pStyle w:val="TOC3"/>
            <w:tabs>
              <w:tab w:val="right" w:leader="dot" w:pos="9911"/>
            </w:tabs>
            <w:rPr>
              <w:rFonts w:asciiTheme="minorHAnsi" w:hAnsiTheme="minorHAnsi"/>
              <w:b w:val="0"/>
              <w:noProof/>
              <w:color w:val="auto"/>
              <w:sz w:val="22"/>
              <w:lang w:val="en-GB" w:eastAsia="en-GB"/>
            </w:rPr>
          </w:pPr>
          <w:hyperlink w:anchor="_Toc120713477" w:history="1">
            <w:r w:rsidR="0069611A" w:rsidRPr="00694B80">
              <w:rPr>
                <w:rStyle w:val="Hyperlink"/>
                <w:rFonts w:cs="Open Sans"/>
                <w:noProof/>
              </w:rPr>
              <w:t>Diminishing the harm perpetuated by shifting blaming onto the victim and downplaying the impact</w:t>
            </w:r>
            <w:r w:rsidR="0069611A">
              <w:rPr>
                <w:noProof/>
                <w:webHidden/>
              </w:rPr>
              <w:tab/>
            </w:r>
            <w:r w:rsidR="0069611A">
              <w:rPr>
                <w:noProof/>
                <w:webHidden/>
              </w:rPr>
              <w:fldChar w:fldCharType="begin"/>
            </w:r>
            <w:r w:rsidR="0069611A">
              <w:rPr>
                <w:noProof/>
                <w:webHidden/>
              </w:rPr>
              <w:instrText xml:space="preserve"> PAGEREF _Toc120713477 \h </w:instrText>
            </w:r>
            <w:r w:rsidR="0069611A">
              <w:rPr>
                <w:noProof/>
                <w:webHidden/>
              </w:rPr>
            </w:r>
            <w:r w:rsidR="0069611A">
              <w:rPr>
                <w:noProof/>
                <w:webHidden/>
              </w:rPr>
              <w:fldChar w:fldCharType="separate"/>
            </w:r>
            <w:r w:rsidR="00AC4EBA">
              <w:rPr>
                <w:noProof/>
                <w:webHidden/>
              </w:rPr>
              <w:t>55</w:t>
            </w:r>
            <w:r w:rsidR="0069611A">
              <w:rPr>
                <w:noProof/>
                <w:webHidden/>
              </w:rPr>
              <w:fldChar w:fldCharType="end"/>
            </w:r>
          </w:hyperlink>
        </w:p>
        <w:p w14:paraId="494CFFE9" w14:textId="1F911BCB" w:rsidR="0069611A" w:rsidRDefault="00000000">
          <w:pPr>
            <w:pStyle w:val="TOC3"/>
            <w:tabs>
              <w:tab w:val="right" w:leader="dot" w:pos="9911"/>
            </w:tabs>
            <w:rPr>
              <w:rFonts w:asciiTheme="minorHAnsi" w:hAnsiTheme="minorHAnsi"/>
              <w:b w:val="0"/>
              <w:noProof/>
              <w:color w:val="auto"/>
              <w:sz w:val="22"/>
              <w:lang w:val="en-GB" w:eastAsia="en-GB"/>
            </w:rPr>
          </w:pPr>
          <w:hyperlink w:anchor="_Toc120713478" w:history="1">
            <w:r w:rsidR="0069611A" w:rsidRPr="00694B80">
              <w:rPr>
                <w:rStyle w:val="Hyperlink"/>
                <w:noProof/>
              </w:rPr>
              <w:t>Empathy for the perpetrator, demonising or ignoring the victim</w:t>
            </w:r>
            <w:r w:rsidR="0069611A">
              <w:rPr>
                <w:noProof/>
                <w:webHidden/>
              </w:rPr>
              <w:tab/>
            </w:r>
            <w:r w:rsidR="0069611A">
              <w:rPr>
                <w:noProof/>
                <w:webHidden/>
              </w:rPr>
              <w:fldChar w:fldCharType="begin"/>
            </w:r>
            <w:r w:rsidR="0069611A">
              <w:rPr>
                <w:noProof/>
                <w:webHidden/>
              </w:rPr>
              <w:instrText xml:space="preserve"> PAGEREF _Toc120713478 \h </w:instrText>
            </w:r>
            <w:r w:rsidR="0069611A">
              <w:rPr>
                <w:noProof/>
                <w:webHidden/>
              </w:rPr>
            </w:r>
            <w:r w:rsidR="0069611A">
              <w:rPr>
                <w:noProof/>
                <w:webHidden/>
              </w:rPr>
              <w:fldChar w:fldCharType="separate"/>
            </w:r>
            <w:r w:rsidR="00AC4EBA">
              <w:rPr>
                <w:noProof/>
                <w:webHidden/>
              </w:rPr>
              <w:t>59</w:t>
            </w:r>
            <w:r w:rsidR="0069611A">
              <w:rPr>
                <w:noProof/>
                <w:webHidden/>
              </w:rPr>
              <w:fldChar w:fldCharType="end"/>
            </w:r>
          </w:hyperlink>
        </w:p>
        <w:p w14:paraId="2A026F5A" w14:textId="6F33F281" w:rsidR="0069611A" w:rsidRDefault="00000000">
          <w:pPr>
            <w:pStyle w:val="TOC3"/>
            <w:tabs>
              <w:tab w:val="right" w:leader="dot" w:pos="9911"/>
            </w:tabs>
            <w:rPr>
              <w:rFonts w:asciiTheme="minorHAnsi" w:hAnsiTheme="minorHAnsi"/>
              <w:b w:val="0"/>
              <w:noProof/>
              <w:color w:val="auto"/>
              <w:sz w:val="22"/>
              <w:lang w:val="en-GB" w:eastAsia="en-GB"/>
            </w:rPr>
          </w:pPr>
          <w:hyperlink w:anchor="_Toc120713479" w:history="1">
            <w:r w:rsidR="0069611A" w:rsidRPr="00694B80">
              <w:rPr>
                <w:rStyle w:val="Hyperlink"/>
                <w:rFonts w:cs="Open Sans"/>
                <w:noProof/>
              </w:rPr>
              <w:t>Disablist and other bigoted language and phrasing in discussing the perpetrators</w:t>
            </w:r>
            <w:r w:rsidR="0069611A">
              <w:rPr>
                <w:noProof/>
                <w:webHidden/>
              </w:rPr>
              <w:tab/>
            </w:r>
            <w:r w:rsidR="0069611A">
              <w:rPr>
                <w:noProof/>
                <w:webHidden/>
              </w:rPr>
              <w:fldChar w:fldCharType="begin"/>
            </w:r>
            <w:r w:rsidR="0069611A">
              <w:rPr>
                <w:noProof/>
                <w:webHidden/>
              </w:rPr>
              <w:instrText xml:space="preserve"> PAGEREF _Toc120713479 \h </w:instrText>
            </w:r>
            <w:r w:rsidR="0069611A">
              <w:rPr>
                <w:noProof/>
                <w:webHidden/>
              </w:rPr>
            </w:r>
            <w:r w:rsidR="0069611A">
              <w:rPr>
                <w:noProof/>
                <w:webHidden/>
              </w:rPr>
              <w:fldChar w:fldCharType="separate"/>
            </w:r>
            <w:r w:rsidR="00AC4EBA">
              <w:rPr>
                <w:noProof/>
                <w:webHidden/>
              </w:rPr>
              <w:t>64</w:t>
            </w:r>
            <w:r w:rsidR="0069611A">
              <w:rPr>
                <w:noProof/>
                <w:webHidden/>
              </w:rPr>
              <w:fldChar w:fldCharType="end"/>
            </w:r>
          </w:hyperlink>
        </w:p>
        <w:p w14:paraId="3A76A424" w14:textId="7A6C1A82" w:rsidR="0069611A" w:rsidRDefault="00000000">
          <w:pPr>
            <w:pStyle w:val="TOC3"/>
            <w:tabs>
              <w:tab w:val="right" w:leader="dot" w:pos="9911"/>
            </w:tabs>
            <w:rPr>
              <w:rFonts w:asciiTheme="minorHAnsi" w:hAnsiTheme="minorHAnsi"/>
              <w:b w:val="0"/>
              <w:noProof/>
              <w:color w:val="auto"/>
              <w:sz w:val="22"/>
              <w:lang w:val="en-GB" w:eastAsia="en-GB"/>
            </w:rPr>
          </w:pPr>
          <w:hyperlink w:anchor="_Toc120713480" w:history="1">
            <w:r w:rsidR="0069611A" w:rsidRPr="00694B80">
              <w:rPr>
                <w:rStyle w:val="Hyperlink"/>
                <w:noProof/>
              </w:rPr>
              <w:t>Accidental implications</w:t>
            </w:r>
            <w:r w:rsidR="0069611A">
              <w:rPr>
                <w:noProof/>
                <w:webHidden/>
              </w:rPr>
              <w:tab/>
            </w:r>
            <w:r w:rsidR="0069611A">
              <w:rPr>
                <w:noProof/>
                <w:webHidden/>
              </w:rPr>
              <w:fldChar w:fldCharType="begin"/>
            </w:r>
            <w:r w:rsidR="0069611A">
              <w:rPr>
                <w:noProof/>
                <w:webHidden/>
              </w:rPr>
              <w:instrText xml:space="preserve"> PAGEREF _Toc120713480 \h </w:instrText>
            </w:r>
            <w:r w:rsidR="0069611A">
              <w:rPr>
                <w:noProof/>
                <w:webHidden/>
              </w:rPr>
            </w:r>
            <w:r w:rsidR="0069611A">
              <w:rPr>
                <w:noProof/>
                <w:webHidden/>
              </w:rPr>
              <w:fldChar w:fldCharType="separate"/>
            </w:r>
            <w:r w:rsidR="00AC4EBA">
              <w:rPr>
                <w:noProof/>
                <w:webHidden/>
              </w:rPr>
              <w:t>68</w:t>
            </w:r>
            <w:r w:rsidR="0069611A">
              <w:rPr>
                <w:noProof/>
                <w:webHidden/>
              </w:rPr>
              <w:fldChar w:fldCharType="end"/>
            </w:r>
          </w:hyperlink>
        </w:p>
        <w:p w14:paraId="7483C7C0" w14:textId="1AA91905" w:rsidR="0069611A" w:rsidRDefault="00000000">
          <w:pPr>
            <w:pStyle w:val="TOC3"/>
            <w:tabs>
              <w:tab w:val="right" w:leader="dot" w:pos="9911"/>
            </w:tabs>
            <w:rPr>
              <w:rFonts w:asciiTheme="minorHAnsi" w:hAnsiTheme="minorHAnsi"/>
              <w:b w:val="0"/>
              <w:noProof/>
              <w:color w:val="auto"/>
              <w:sz w:val="22"/>
              <w:lang w:val="en-GB" w:eastAsia="en-GB"/>
            </w:rPr>
          </w:pPr>
          <w:hyperlink w:anchor="_Toc120713481" w:history="1">
            <w:r w:rsidR="0069611A" w:rsidRPr="00694B80">
              <w:rPr>
                <w:rStyle w:val="Hyperlink"/>
                <w:noProof/>
              </w:rPr>
              <w:t>Emphasising vulnerability</w:t>
            </w:r>
            <w:r w:rsidR="0069611A">
              <w:rPr>
                <w:noProof/>
                <w:webHidden/>
              </w:rPr>
              <w:tab/>
            </w:r>
            <w:r w:rsidR="0069611A">
              <w:rPr>
                <w:noProof/>
                <w:webHidden/>
              </w:rPr>
              <w:fldChar w:fldCharType="begin"/>
            </w:r>
            <w:r w:rsidR="0069611A">
              <w:rPr>
                <w:noProof/>
                <w:webHidden/>
              </w:rPr>
              <w:instrText xml:space="preserve"> PAGEREF _Toc120713481 \h </w:instrText>
            </w:r>
            <w:r w:rsidR="0069611A">
              <w:rPr>
                <w:noProof/>
                <w:webHidden/>
              </w:rPr>
            </w:r>
            <w:r w:rsidR="0069611A">
              <w:rPr>
                <w:noProof/>
                <w:webHidden/>
              </w:rPr>
              <w:fldChar w:fldCharType="separate"/>
            </w:r>
            <w:r w:rsidR="00AC4EBA">
              <w:rPr>
                <w:noProof/>
                <w:webHidden/>
              </w:rPr>
              <w:t>70</w:t>
            </w:r>
            <w:r w:rsidR="0069611A">
              <w:rPr>
                <w:noProof/>
                <w:webHidden/>
              </w:rPr>
              <w:fldChar w:fldCharType="end"/>
            </w:r>
          </w:hyperlink>
        </w:p>
        <w:p w14:paraId="7E93064F" w14:textId="5E2375F0" w:rsidR="0069611A" w:rsidRDefault="00000000">
          <w:pPr>
            <w:pStyle w:val="TOC3"/>
            <w:tabs>
              <w:tab w:val="right" w:leader="dot" w:pos="9911"/>
            </w:tabs>
            <w:rPr>
              <w:rFonts w:asciiTheme="minorHAnsi" w:hAnsiTheme="minorHAnsi"/>
              <w:b w:val="0"/>
              <w:noProof/>
              <w:color w:val="auto"/>
              <w:sz w:val="22"/>
              <w:lang w:val="en-GB" w:eastAsia="en-GB"/>
            </w:rPr>
          </w:pPr>
          <w:hyperlink w:anchor="_Toc120713482" w:history="1">
            <w:r w:rsidR="0069611A" w:rsidRPr="00694B80">
              <w:rPr>
                <w:rStyle w:val="Hyperlink"/>
                <w:noProof/>
              </w:rPr>
              <w:t>Victim is a “foot note” in their own story.</w:t>
            </w:r>
            <w:r w:rsidR="0069611A">
              <w:rPr>
                <w:noProof/>
                <w:webHidden/>
              </w:rPr>
              <w:tab/>
            </w:r>
            <w:r w:rsidR="0069611A">
              <w:rPr>
                <w:noProof/>
                <w:webHidden/>
              </w:rPr>
              <w:fldChar w:fldCharType="begin"/>
            </w:r>
            <w:r w:rsidR="0069611A">
              <w:rPr>
                <w:noProof/>
                <w:webHidden/>
              </w:rPr>
              <w:instrText xml:space="preserve"> PAGEREF _Toc120713482 \h </w:instrText>
            </w:r>
            <w:r w:rsidR="0069611A">
              <w:rPr>
                <w:noProof/>
                <w:webHidden/>
              </w:rPr>
            </w:r>
            <w:r w:rsidR="0069611A">
              <w:rPr>
                <w:noProof/>
                <w:webHidden/>
              </w:rPr>
              <w:fldChar w:fldCharType="separate"/>
            </w:r>
            <w:r w:rsidR="00AC4EBA">
              <w:rPr>
                <w:noProof/>
                <w:webHidden/>
              </w:rPr>
              <w:t>73</w:t>
            </w:r>
            <w:r w:rsidR="0069611A">
              <w:rPr>
                <w:noProof/>
                <w:webHidden/>
              </w:rPr>
              <w:fldChar w:fldCharType="end"/>
            </w:r>
          </w:hyperlink>
        </w:p>
        <w:p w14:paraId="696604C0" w14:textId="207460C6" w:rsidR="0069611A" w:rsidRDefault="00000000">
          <w:pPr>
            <w:pStyle w:val="TOC2"/>
            <w:tabs>
              <w:tab w:val="right" w:leader="dot" w:pos="9911"/>
            </w:tabs>
            <w:rPr>
              <w:rFonts w:asciiTheme="minorHAnsi" w:hAnsiTheme="minorHAnsi"/>
              <w:b w:val="0"/>
              <w:noProof/>
              <w:color w:val="auto"/>
              <w:sz w:val="22"/>
              <w:lang w:val="en-GB" w:eastAsia="en-GB"/>
            </w:rPr>
          </w:pPr>
          <w:hyperlink w:anchor="_Toc120713483" w:history="1">
            <w:r w:rsidR="0069611A" w:rsidRPr="00694B80">
              <w:rPr>
                <w:rStyle w:val="Hyperlink"/>
                <w:noProof/>
              </w:rPr>
              <w:t>Cases involving Disabled victims, harassment, and suicide</w:t>
            </w:r>
            <w:r w:rsidR="0069611A">
              <w:rPr>
                <w:noProof/>
                <w:webHidden/>
              </w:rPr>
              <w:tab/>
            </w:r>
            <w:r w:rsidR="0069611A">
              <w:rPr>
                <w:noProof/>
                <w:webHidden/>
              </w:rPr>
              <w:fldChar w:fldCharType="begin"/>
            </w:r>
            <w:r w:rsidR="0069611A">
              <w:rPr>
                <w:noProof/>
                <w:webHidden/>
              </w:rPr>
              <w:instrText xml:space="preserve"> PAGEREF _Toc120713483 \h </w:instrText>
            </w:r>
            <w:r w:rsidR="0069611A">
              <w:rPr>
                <w:noProof/>
                <w:webHidden/>
              </w:rPr>
            </w:r>
            <w:r w:rsidR="0069611A">
              <w:rPr>
                <w:noProof/>
                <w:webHidden/>
              </w:rPr>
              <w:fldChar w:fldCharType="separate"/>
            </w:r>
            <w:r w:rsidR="00AC4EBA">
              <w:rPr>
                <w:noProof/>
                <w:webHidden/>
              </w:rPr>
              <w:t>79</w:t>
            </w:r>
            <w:r w:rsidR="0069611A">
              <w:rPr>
                <w:noProof/>
                <w:webHidden/>
              </w:rPr>
              <w:fldChar w:fldCharType="end"/>
            </w:r>
          </w:hyperlink>
        </w:p>
        <w:p w14:paraId="09D123ED" w14:textId="4B24DB95" w:rsidR="0069611A" w:rsidRDefault="00000000">
          <w:pPr>
            <w:pStyle w:val="TOC1"/>
            <w:tabs>
              <w:tab w:val="right" w:leader="dot" w:pos="9911"/>
            </w:tabs>
            <w:rPr>
              <w:rFonts w:asciiTheme="minorHAnsi" w:hAnsiTheme="minorHAnsi"/>
              <w:b w:val="0"/>
              <w:noProof/>
              <w:color w:val="auto"/>
              <w:sz w:val="22"/>
              <w:lang w:val="en-GB" w:eastAsia="en-GB"/>
            </w:rPr>
          </w:pPr>
          <w:hyperlink w:anchor="_Toc120713484" w:history="1">
            <w:r w:rsidR="0069611A" w:rsidRPr="00694B80">
              <w:rPr>
                <w:rStyle w:val="Hyperlink"/>
                <w:noProof/>
              </w:rPr>
              <w:t>Conclusion</w:t>
            </w:r>
            <w:r w:rsidR="0069611A">
              <w:rPr>
                <w:noProof/>
                <w:webHidden/>
              </w:rPr>
              <w:tab/>
            </w:r>
            <w:r w:rsidR="0069611A">
              <w:rPr>
                <w:noProof/>
                <w:webHidden/>
              </w:rPr>
              <w:fldChar w:fldCharType="begin"/>
            </w:r>
            <w:r w:rsidR="0069611A">
              <w:rPr>
                <w:noProof/>
                <w:webHidden/>
              </w:rPr>
              <w:instrText xml:space="preserve"> PAGEREF _Toc120713484 \h </w:instrText>
            </w:r>
            <w:r w:rsidR="0069611A">
              <w:rPr>
                <w:noProof/>
                <w:webHidden/>
              </w:rPr>
            </w:r>
            <w:r w:rsidR="0069611A">
              <w:rPr>
                <w:noProof/>
                <w:webHidden/>
              </w:rPr>
              <w:fldChar w:fldCharType="separate"/>
            </w:r>
            <w:r w:rsidR="00AC4EBA">
              <w:rPr>
                <w:noProof/>
                <w:webHidden/>
              </w:rPr>
              <w:t>85</w:t>
            </w:r>
            <w:r w:rsidR="0069611A">
              <w:rPr>
                <w:noProof/>
                <w:webHidden/>
              </w:rPr>
              <w:fldChar w:fldCharType="end"/>
            </w:r>
          </w:hyperlink>
        </w:p>
        <w:p w14:paraId="375BFD56" w14:textId="482CBFF3" w:rsidR="0069611A" w:rsidRDefault="00000000">
          <w:pPr>
            <w:pStyle w:val="TOC2"/>
            <w:tabs>
              <w:tab w:val="right" w:leader="dot" w:pos="9911"/>
            </w:tabs>
            <w:rPr>
              <w:rFonts w:asciiTheme="minorHAnsi" w:hAnsiTheme="minorHAnsi"/>
              <w:b w:val="0"/>
              <w:noProof/>
              <w:color w:val="auto"/>
              <w:sz w:val="22"/>
              <w:lang w:val="en-GB" w:eastAsia="en-GB"/>
            </w:rPr>
          </w:pPr>
          <w:hyperlink w:anchor="_Toc120713485" w:history="1">
            <w:r w:rsidR="0069611A" w:rsidRPr="00694B80">
              <w:rPr>
                <w:rStyle w:val="Hyperlink"/>
                <w:noProof/>
              </w:rPr>
              <w:t>Next Steps</w:t>
            </w:r>
            <w:r w:rsidR="0069611A">
              <w:rPr>
                <w:noProof/>
                <w:webHidden/>
              </w:rPr>
              <w:tab/>
            </w:r>
            <w:r w:rsidR="0069611A">
              <w:rPr>
                <w:noProof/>
                <w:webHidden/>
              </w:rPr>
              <w:fldChar w:fldCharType="begin"/>
            </w:r>
            <w:r w:rsidR="0069611A">
              <w:rPr>
                <w:noProof/>
                <w:webHidden/>
              </w:rPr>
              <w:instrText xml:space="preserve"> PAGEREF _Toc120713485 \h </w:instrText>
            </w:r>
            <w:r w:rsidR="0069611A">
              <w:rPr>
                <w:noProof/>
                <w:webHidden/>
              </w:rPr>
            </w:r>
            <w:r w:rsidR="0069611A">
              <w:rPr>
                <w:noProof/>
                <w:webHidden/>
              </w:rPr>
              <w:fldChar w:fldCharType="separate"/>
            </w:r>
            <w:r w:rsidR="00AC4EBA">
              <w:rPr>
                <w:noProof/>
                <w:webHidden/>
              </w:rPr>
              <w:t>86</w:t>
            </w:r>
            <w:r w:rsidR="0069611A">
              <w:rPr>
                <w:noProof/>
                <w:webHidden/>
              </w:rPr>
              <w:fldChar w:fldCharType="end"/>
            </w:r>
          </w:hyperlink>
        </w:p>
        <w:p w14:paraId="39C81878" w14:textId="5F129598" w:rsidR="006F3B4C" w:rsidRDefault="006F3B4C" w:rsidP="006F3B4C">
          <w:pPr>
            <w:spacing w:after="0" w:line="276" w:lineRule="auto"/>
            <w:rPr>
              <w:rFonts w:cs="Open Sans"/>
              <w:bCs/>
              <w:noProof/>
            </w:rPr>
          </w:pPr>
          <w:r w:rsidRPr="00D06C62">
            <w:rPr>
              <w:rFonts w:cs="Open Sans"/>
              <w:bCs/>
              <w:noProof/>
            </w:rPr>
            <w:fldChar w:fldCharType="end"/>
          </w:r>
        </w:p>
      </w:sdtContent>
    </w:sdt>
    <w:p w14:paraId="6366681D" w14:textId="0AD0A451" w:rsidR="006F3B4C" w:rsidRDefault="006F3B4C">
      <w:r>
        <w:br w:type="page"/>
      </w:r>
    </w:p>
    <w:p w14:paraId="5983F0A7" w14:textId="4B88FF35" w:rsidR="006F3B4C" w:rsidRPr="00A727E0" w:rsidRDefault="006F3B4C" w:rsidP="006F3B4C">
      <w:pPr>
        <w:pStyle w:val="Heading2"/>
        <w:jc w:val="center"/>
        <w:rPr>
          <w:rFonts w:cs="Open Sans"/>
        </w:rPr>
      </w:pPr>
      <w:bookmarkStart w:id="4" w:name="_Toc120713451"/>
      <w:r w:rsidRPr="00A727E0">
        <w:rPr>
          <w:rFonts w:cs="Open Sans"/>
        </w:rPr>
        <w:lastRenderedPageBreak/>
        <w:t>With Thanks to</w:t>
      </w:r>
      <w:bookmarkEnd w:id="4"/>
    </w:p>
    <w:p w14:paraId="35B4160D" w14:textId="1E70D233" w:rsidR="006F3B4C" w:rsidRPr="00A727E0" w:rsidRDefault="006F3B4C" w:rsidP="006F3B4C">
      <w:pPr>
        <w:pStyle w:val="Content"/>
        <w:rPr>
          <w:rFonts w:cs="Open Sans"/>
        </w:rPr>
      </w:pPr>
      <w:r w:rsidRPr="00A727E0">
        <w:rPr>
          <w:rFonts w:cs="Open Sans"/>
        </w:rPr>
        <w:t>During the research for this report, the existing resources below were invaluable</w:t>
      </w:r>
      <w:r w:rsidR="005739DD">
        <w:rPr>
          <w:rFonts w:cs="Open Sans"/>
        </w:rPr>
        <w:t xml:space="preserve"> in locating news reports and additional information</w:t>
      </w:r>
      <w:r w:rsidRPr="00A727E0">
        <w:rPr>
          <w:rFonts w:cs="Open Sans"/>
        </w:rPr>
        <w:t xml:space="preserve">, and Inclusion London </w:t>
      </w:r>
      <w:r>
        <w:rPr>
          <w:rFonts w:cs="Open Sans"/>
        </w:rPr>
        <w:t>is</w:t>
      </w:r>
      <w:r w:rsidRPr="00A727E0">
        <w:rPr>
          <w:rFonts w:cs="Open Sans"/>
        </w:rPr>
        <w:t xml:space="preserve"> grateful to those who set-up and continue to maintain these websites. Their content can be of a</w:t>
      </w:r>
      <w:r>
        <w:rPr>
          <w:rFonts w:cs="Open Sans"/>
        </w:rPr>
        <w:t xml:space="preserve"> deeply</w:t>
      </w:r>
      <w:r w:rsidRPr="00A727E0">
        <w:rPr>
          <w:rFonts w:cs="Open Sans"/>
        </w:rPr>
        <w:t xml:space="preserve"> upsetting nature, and it is no small </w:t>
      </w:r>
      <w:r w:rsidR="00F612F2">
        <w:rPr>
          <w:rFonts w:cs="Open Sans"/>
        </w:rPr>
        <w:t>task</w:t>
      </w:r>
      <w:r w:rsidRPr="00A727E0">
        <w:rPr>
          <w:rFonts w:cs="Open Sans"/>
        </w:rPr>
        <w:t xml:space="preserve"> that these continue to be updated.</w:t>
      </w:r>
    </w:p>
    <w:p w14:paraId="58BED354" w14:textId="77777777" w:rsidR="006F3B4C" w:rsidRPr="00A727E0" w:rsidRDefault="006F3B4C" w:rsidP="006F3B4C">
      <w:pPr>
        <w:pStyle w:val="Content"/>
        <w:rPr>
          <w:rFonts w:cs="Open Sans"/>
        </w:rPr>
      </w:pPr>
    </w:p>
    <w:p w14:paraId="2BBE18DB" w14:textId="77777777" w:rsidR="006F3B4C" w:rsidRPr="00A727E0" w:rsidRDefault="006F3B4C" w:rsidP="006F3B4C">
      <w:pPr>
        <w:pStyle w:val="Content"/>
        <w:rPr>
          <w:rFonts w:cs="Open Sans"/>
        </w:rPr>
      </w:pPr>
      <w:r w:rsidRPr="00A727E0">
        <w:rPr>
          <w:rFonts w:cs="Open Sans"/>
          <w:b/>
          <w:bCs/>
        </w:rPr>
        <w:t xml:space="preserve">The Disability Day of Mourning Memorial </w:t>
      </w:r>
      <w:r w:rsidRPr="00A727E0">
        <w:rPr>
          <w:rFonts w:cs="Open Sans"/>
        </w:rPr>
        <w:t xml:space="preserve">- </w:t>
      </w:r>
      <w:hyperlink r:id="rId16" w:history="1">
        <w:r w:rsidRPr="00A727E0">
          <w:rPr>
            <w:rStyle w:val="Hyperlink"/>
            <w:rFonts w:cs="Open Sans"/>
          </w:rPr>
          <w:t>https://disability-memorial.org/</w:t>
        </w:r>
      </w:hyperlink>
      <w:r w:rsidRPr="00A727E0">
        <w:rPr>
          <w:rFonts w:cs="Open Sans"/>
        </w:rPr>
        <w:t xml:space="preserve"> </w:t>
      </w:r>
    </w:p>
    <w:p w14:paraId="36CC4D25" w14:textId="548EF968" w:rsidR="006F3B4C" w:rsidRPr="00A727E0" w:rsidRDefault="006F3B4C" w:rsidP="006F3B4C">
      <w:pPr>
        <w:pStyle w:val="Content"/>
        <w:rPr>
          <w:rFonts w:cs="Open Sans"/>
        </w:rPr>
      </w:pPr>
      <w:r w:rsidRPr="00A727E0">
        <w:rPr>
          <w:rFonts w:cs="Open Sans"/>
        </w:rPr>
        <w:t>A memorial to the people with disabilities who were victims of filicide. Active cataloging of cases started in mid-2014; this site contains cases from 1980 to the present.</w:t>
      </w:r>
    </w:p>
    <w:p w14:paraId="791A0C6E" w14:textId="77777777" w:rsidR="006F3B4C" w:rsidRPr="00A727E0" w:rsidRDefault="006F3B4C" w:rsidP="006F3B4C">
      <w:pPr>
        <w:pStyle w:val="Content"/>
        <w:rPr>
          <w:rFonts w:cs="Open Sans"/>
        </w:rPr>
      </w:pPr>
      <w:r w:rsidRPr="00A727E0">
        <w:rPr>
          <w:rFonts w:cs="Open Sans"/>
          <w:b/>
          <w:bCs/>
        </w:rPr>
        <w:t xml:space="preserve">Autism Memorial - </w:t>
      </w:r>
      <w:hyperlink r:id="rId17" w:history="1">
        <w:r w:rsidRPr="00A727E0">
          <w:rPr>
            <w:rStyle w:val="Hyperlink"/>
            <w:rFonts w:cs="Open Sans"/>
          </w:rPr>
          <w:t>https://autismmemorial.wordpress.com/</w:t>
        </w:r>
      </w:hyperlink>
      <w:r w:rsidRPr="00A727E0">
        <w:rPr>
          <w:rFonts w:cs="Open Sans"/>
        </w:rPr>
        <w:t xml:space="preserve"> </w:t>
      </w:r>
    </w:p>
    <w:p w14:paraId="775BD05E" w14:textId="0DCEA95B" w:rsidR="006F3B4C" w:rsidRPr="00A727E0" w:rsidRDefault="006F3B4C" w:rsidP="006F3B4C">
      <w:pPr>
        <w:pStyle w:val="Content"/>
        <w:rPr>
          <w:rFonts w:cs="Open Sans"/>
        </w:rPr>
      </w:pPr>
      <w:r w:rsidRPr="00A727E0">
        <w:rPr>
          <w:rFonts w:cs="Open Sans"/>
        </w:rPr>
        <w:t>A website dedicated to remembering those autistic people who died because of malpractice, lack of resources or support, or outright murder. Occasionally, a news story will be widely covered, but most cases receive very little memorial. This site is here because everyone should be valued, and everyone should be remembered.</w:t>
      </w:r>
    </w:p>
    <w:p w14:paraId="2846232B" w14:textId="77777777" w:rsidR="006F3B4C" w:rsidRDefault="006F3B4C" w:rsidP="006F3B4C">
      <w:pPr>
        <w:pStyle w:val="Content"/>
        <w:rPr>
          <w:rFonts w:cs="Open Sans"/>
        </w:rPr>
      </w:pPr>
      <w:r w:rsidRPr="00A727E0">
        <w:rPr>
          <w:rFonts w:cs="Open Sans"/>
          <w:b/>
          <w:bCs/>
        </w:rPr>
        <w:t>Memorial Annex</w:t>
      </w:r>
      <w:r w:rsidRPr="00A727E0">
        <w:rPr>
          <w:rFonts w:cs="Open Sans"/>
        </w:rPr>
        <w:t xml:space="preserve"> - </w:t>
      </w:r>
      <w:hyperlink r:id="rId18" w:history="1">
        <w:r w:rsidRPr="00A727E0">
          <w:rPr>
            <w:rStyle w:val="Hyperlink"/>
            <w:rFonts w:cs="Open Sans"/>
          </w:rPr>
          <w:t>https://memorialannex.wordpress.com/</w:t>
        </w:r>
      </w:hyperlink>
      <w:r w:rsidRPr="00A727E0">
        <w:rPr>
          <w:rFonts w:cs="Open Sans"/>
        </w:rPr>
        <w:t xml:space="preserve"> </w:t>
      </w:r>
    </w:p>
    <w:p w14:paraId="2E61AC28" w14:textId="39F75C44" w:rsidR="009E2F5E" w:rsidRDefault="006F3B4C" w:rsidP="00242F5F">
      <w:pPr>
        <w:pStyle w:val="Content"/>
        <w:rPr>
          <w:rFonts w:cs="Open Sans"/>
        </w:rPr>
      </w:pPr>
      <w:r>
        <w:rPr>
          <w:rFonts w:cs="Open Sans"/>
        </w:rPr>
        <w:t>A partner site to Autism Memorial, creating a memorial of Disabled victims of murder, malpractice, lack of resources or support.</w:t>
      </w:r>
      <w:r w:rsidR="009E2F5E">
        <w:rPr>
          <w:rFonts w:cs="Open Sans"/>
        </w:rPr>
        <w:br w:type="page"/>
      </w:r>
    </w:p>
    <w:p w14:paraId="15EC467E" w14:textId="73ED8C39" w:rsidR="009E2F5E" w:rsidRDefault="009E2F5E" w:rsidP="009E2F5E">
      <w:pPr>
        <w:pStyle w:val="Heading2"/>
      </w:pPr>
      <w:bookmarkStart w:id="5" w:name="_Toc120713452"/>
      <w:r>
        <w:lastRenderedPageBreak/>
        <w:t>Ableism and Disablism</w:t>
      </w:r>
      <w:bookmarkEnd w:id="5"/>
    </w:p>
    <w:p w14:paraId="571CE71F" w14:textId="77777777" w:rsidR="009E2F5E" w:rsidRDefault="009E2F5E" w:rsidP="009E2F5E"/>
    <w:p w14:paraId="1EEC9456" w14:textId="693CA7C5" w:rsidR="009E2F5E" w:rsidRDefault="009E2F5E" w:rsidP="00B57DD4">
      <w:pPr>
        <w:spacing w:before="240" w:after="240" w:line="360" w:lineRule="auto"/>
      </w:pPr>
      <w:r>
        <w:t xml:space="preserve">We use these terms throughout this report and would like to take this page to briefly explain </w:t>
      </w:r>
      <w:r w:rsidR="009C65AD">
        <w:t>them</w:t>
      </w:r>
      <w:r>
        <w:t>.</w:t>
      </w:r>
      <w:r w:rsidR="00A17774">
        <w:t xml:space="preserve"> Some people </w:t>
      </w:r>
      <w:r w:rsidR="00B0196D">
        <w:t>use</w:t>
      </w:r>
      <w:r w:rsidR="00A17774">
        <w:t xml:space="preserve"> these terms</w:t>
      </w:r>
      <w:r w:rsidR="00B0196D">
        <w:t xml:space="preserve"> </w:t>
      </w:r>
      <w:r w:rsidR="0022711D">
        <w:t>interchangeably</w:t>
      </w:r>
      <w:r w:rsidR="00B0196D">
        <w:t>;</w:t>
      </w:r>
      <w:r w:rsidR="0022711D">
        <w:t xml:space="preserve"> others</w:t>
      </w:r>
      <w:r w:rsidR="00B0196D">
        <w:t xml:space="preserve"> </w:t>
      </w:r>
      <w:r w:rsidR="0022711D">
        <w:t>are reducing the use of the word ableism in favour of disablism</w:t>
      </w:r>
      <w:r w:rsidR="00F612F2">
        <w:t>,</w:t>
      </w:r>
      <w:r w:rsidR="0022711D">
        <w:t xml:space="preserve"> as they believe the former </w:t>
      </w:r>
      <w:r w:rsidR="00F41B4D">
        <w:t>inadvertently implies that oppression is caused by or linked to ability.</w:t>
      </w:r>
    </w:p>
    <w:p w14:paraId="08A35818" w14:textId="387F5CD5" w:rsidR="00221AC5" w:rsidRDefault="00DF7792" w:rsidP="00B57DD4">
      <w:pPr>
        <w:spacing w:before="240" w:after="240" w:line="360" w:lineRule="auto"/>
      </w:pPr>
      <w:r>
        <w:t>Other people and organisations have suggested there are subtle differences between the two</w:t>
      </w:r>
      <w:r w:rsidR="00FF53B6">
        <w:t xml:space="preserve">, </w:t>
      </w:r>
      <w:r w:rsidR="00241AA1">
        <w:t>which</w:t>
      </w:r>
      <w:r w:rsidR="00FF53B6">
        <w:t xml:space="preserve"> we will explain below.</w:t>
      </w:r>
    </w:p>
    <w:p w14:paraId="1D4E0B26" w14:textId="77777777" w:rsidR="009E2F5E" w:rsidRDefault="009E2F5E" w:rsidP="009E2F5E"/>
    <w:p w14:paraId="035A769D" w14:textId="738AA066" w:rsidR="009E2F5E" w:rsidRDefault="009E2F5E" w:rsidP="00B57DD4">
      <w:pPr>
        <w:pStyle w:val="Heading3"/>
        <w:spacing w:before="240" w:after="240" w:line="360" w:lineRule="auto"/>
      </w:pPr>
      <w:bookmarkStart w:id="6" w:name="_Toc120713453"/>
      <w:r>
        <w:t>Ableism</w:t>
      </w:r>
      <w:bookmarkEnd w:id="6"/>
    </w:p>
    <w:p w14:paraId="198DB744" w14:textId="04670D71" w:rsidR="009E2F5E" w:rsidRDefault="00CB239F" w:rsidP="00B57DD4">
      <w:pPr>
        <w:spacing w:before="240" w:after="240" w:line="360" w:lineRule="auto"/>
      </w:pPr>
      <w:r>
        <w:t xml:space="preserve">Ableism </w:t>
      </w:r>
      <w:r w:rsidR="00893315">
        <w:t>can describe</w:t>
      </w:r>
      <w:r w:rsidR="00FE40EB">
        <w:t xml:space="preserve"> when discrimination favours non-Disabled people over Disabled people. </w:t>
      </w:r>
    </w:p>
    <w:p w14:paraId="78C52F1C" w14:textId="77777777" w:rsidR="00465F6D" w:rsidRDefault="00465F6D" w:rsidP="00B57DD4">
      <w:pPr>
        <w:spacing w:before="240" w:after="240" w:line="360" w:lineRule="auto"/>
      </w:pPr>
    </w:p>
    <w:p w14:paraId="72432889" w14:textId="4C9E2CCE" w:rsidR="00465F6D" w:rsidRDefault="00465F6D" w:rsidP="00B57DD4">
      <w:pPr>
        <w:pStyle w:val="Heading3"/>
        <w:spacing w:before="240" w:after="240" w:line="360" w:lineRule="auto"/>
      </w:pPr>
      <w:bookmarkStart w:id="7" w:name="_Toc120713454"/>
      <w:r>
        <w:t>Disablism</w:t>
      </w:r>
      <w:bookmarkEnd w:id="7"/>
    </w:p>
    <w:p w14:paraId="6CC0C21F" w14:textId="1902A9BE" w:rsidR="00465F6D" w:rsidRDefault="0051786B" w:rsidP="00B57DD4">
      <w:pPr>
        <w:spacing w:before="240" w:after="240" w:line="360" w:lineRule="auto"/>
      </w:pPr>
      <w:r>
        <w:t xml:space="preserve">Disablism </w:t>
      </w:r>
      <w:r w:rsidR="00893315">
        <w:t>can describe</w:t>
      </w:r>
      <w:r>
        <w:t xml:space="preserve"> discrimination and/or prejudice against Disabled people.</w:t>
      </w:r>
    </w:p>
    <w:p w14:paraId="07D5178A" w14:textId="77777777" w:rsidR="0051786B" w:rsidRDefault="0051786B" w:rsidP="00B57DD4">
      <w:pPr>
        <w:spacing w:before="240" w:after="240" w:line="360" w:lineRule="auto"/>
      </w:pPr>
    </w:p>
    <w:p w14:paraId="22618A74" w14:textId="687D8085" w:rsidR="001A4A81" w:rsidRDefault="0051786B" w:rsidP="00B57DD4">
      <w:pPr>
        <w:spacing w:before="240" w:after="240" w:line="360" w:lineRule="auto"/>
      </w:pPr>
      <w:r>
        <w:t>The differences are slight</w:t>
      </w:r>
      <w:r w:rsidR="001A4A81">
        <w:t xml:space="preserve">, </w:t>
      </w:r>
      <w:r w:rsidR="00241AA1">
        <w:t>and o</w:t>
      </w:r>
      <w:r w:rsidR="001A4A81">
        <w:t>ften ableism and</w:t>
      </w:r>
      <w:r w:rsidR="00FE40EB">
        <w:t xml:space="preserve"> disablism </w:t>
      </w:r>
      <w:r w:rsidR="001A4A81">
        <w:t>are both present when we talk about disability discrimination</w:t>
      </w:r>
      <w:r w:rsidR="00DF5665">
        <w:t xml:space="preserve"> as “two sides of the </w:t>
      </w:r>
      <w:r w:rsidR="00DF5665">
        <w:lastRenderedPageBreak/>
        <w:t>same coin</w:t>
      </w:r>
      <w:r w:rsidR="00DF5665" w:rsidDel="004B6615">
        <w:t>”</w:t>
      </w:r>
      <w:r w:rsidR="001A4A81" w:rsidDel="004B6615">
        <w:t>.</w:t>
      </w:r>
      <w:r w:rsidR="00B63FD7">
        <w:t xml:space="preserve"> </w:t>
      </w:r>
      <w:r w:rsidR="001A4A81">
        <w:t>Think of it as the subtle difference between choosing between two potential candidates, one with a learning disability and one without.</w:t>
      </w:r>
    </w:p>
    <w:p w14:paraId="71879268" w14:textId="2EFF8928" w:rsidR="001A4A81" w:rsidRDefault="0032786D" w:rsidP="00B57DD4">
      <w:pPr>
        <w:spacing w:before="240" w:after="240" w:line="360" w:lineRule="auto"/>
      </w:pPr>
      <w:r>
        <w:t>Ableism is favouring the candidate without a learning disability because “they’ll pick up the job faster”.</w:t>
      </w:r>
      <w:r w:rsidR="00DF5665">
        <w:t xml:space="preserve"> </w:t>
      </w:r>
    </w:p>
    <w:p w14:paraId="20B57F33" w14:textId="6CFD89FF" w:rsidR="00B63FD7" w:rsidRDefault="0032786D" w:rsidP="00B57DD4">
      <w:pPr>
        <w:spacing w:before="240" w:after="240" w:line="360" w:lineRule="auto"/>
      </w:pPr>
      <w:r>
        <w:t xml:space="preserve">Disablism is discriminating against the candidate with a learning disability because “they’ll take longer to train”. </w:t>
      </w:r>
    </w:p>
    <w:p w14:paraId="433C3C85" w14:textId="3724A7AD" w:rsidR="006F3B4C" w:rsidRDefault="00CB239F" w:rsidP="00B57DD4">
      <w:pPr>
        <w:spacing w:before="240" w:after="240" w:line="360" w:lineRule="auto"/>
      </w:pPr>
      <w:r>
        <w:t xml:space="preserve">Throughout the report, we will primarily use the word </w:t>
      </w:r>
      <w:r>
        <w:rPr>
          <w:b/>
          <w:bCs/>
        </w:rPr>
        <w:t>disablism</w:t>
      </w:r>
      <w:r>
        <w:t xml:space="preserve"> as much of the context is around discrimination or prejudice against Disabled people as opposed to examples of favouring non-Disabled people.</w:t>
      </w:r>
    </w:p>
    <w:p w14:paraId="108956B1" w14:textId="34369FA1" w:rsidR="00132FCB" w:rsidRDefault="00132FCB">
      <w:r>
        <w:br w:type="page"/>
      </w:r>
    </w:p>
    <w:p w14:paraId="18C83ADD" w14:textId="0E76C389" w:rsidR="006F3B4C" w:rsidRPr="00D06C62" w:rsidRDefault="006F3B4C" w:rsidP="006F3B4C">
      <w:pPr>
        <w:pStyle w:val="Heading1"/>
        <w:rPr>
          <w:rFonts w:cs="Open Sans"/>
        </w:rPr>
      </w:pPr>
      <w:bookmarkStart w:id="8" w:name="_Toc120713455"/>
      <w:r w:rsidRPr="00D06C62">
        <w:rPr>
          <w:rFonts w:cs="Open Sans"/>
        </w:rPr>
        <w:lastRenderedPageBreak/>
        <w:t>Looking at the numbers: an overview of the cases</w:t>
      </w:r>
      <w:bookmarkEnd w:id="8"/>
    </w:p>
    <w:p w14:paraId="5486EBDA" w14:textId="0FB8946C" w:rsidR="006F3B4C" w:rsidRDefault="0069611A" w:rsidP="00EF582A">
      <w:pPr>
        <w:pStyle w:val="Heading2"/>
      </w:pPr>
      <w:bookmarkStart w:id="9" w:name="_Toc120713456"/>
      <w:r>
        <w:t>The pressures journalists are under and missing information in crime reports</w:t>
      </w:r>
      <w:bookmarkEnd w:id="9"/>
    </w:p>
    <w:p w14:paraId="0491FD12" w14:textId="77777777" w:rsidR="008A4F22" w:rsidRDefault="008A4F22" w:rsidP="00EF582A"/>
    <w:p w14:paraId="0E4EA027" w14:textId="0FD36E5A" w:rsidR="003778B6" w:rsidRPr="001E3BD1" w:rsidRDefault="005112B4" w:rsidP="001E3BD1">
      <w:pPr>
        <w:pStyle w:val="Content"/>
        <w:rPr>
          <w:rFonts w:cs="Open Sans"/>
        </w:rPr>
      </w:pPr>
      <w:r w:rsidRPr="001E3BD1">
        <w:rPr>
          <w:rFonts w:cs="Open Sans"/>
        </w:rPr>
        <w:t>While</w:t>
      </w:r>
      <w:r w:rsidR="00406E35">
        <w:rPr>
          <w:rFonts w:cs="Open Sans"/>
        </w:rPr>
        <w:t xml:space="preserve"> </w:t>
      </w:r>
      <w:r w:rsidR="00F612F2">
        <w:rPr>
          <w:rFonts w:cs="Open Sans"/>
        </w:rPr>
        <w:t xml:space="preserve">information is </w:t>
      </w:r>
      <w:r w:rsidR="00B93DBC">
        <w:rPr>
          <w:rFonts w:cs="Open Sans"/>
        </w:rPr>
        <w:t>more</w:t>
      </w:r>
      <w:r w:rsidR="00F612F2">
        <w:rPr>
          <w:rFonts w:cs="Open Sans"/>
        </w:rPr>
        <w:t xml:space="preserve"> readily available than it was years ago</w:t>
      </w:r>
      <w:r w:rsidR="008A4F22" w:rsidRPr="001E3BD1">
        <w:rPr>
          <w:rFonts w:cs="Open Sans"/>
        </w:rPr>
        <w:t>, journalists and the media</w:t>
      </w:r>
      <w:r w:rsidR="00B93DBC">
        <w:rPr>
          <w:rFonts w:cs="Open Sans"/>
        </w:rPr>
        <w:t xml:space="preserve"> can</w:t>
      </w:r>
      <w:r w:rsidR="008A4F22" w:rsidRPr="001E3BD1">
        <w:rPr>
          <w:rFonts w:cs="Open Sans"/>
        </w:rPr>
        <w:t xml:space="preserve"> still face obstacles in getting </w:t>
      </w:r>
      <w:r w:rsidR="00B93DBC">
        <w:rPr>
          <w:rFonts w:cs="Open Sans"/>
        </w:rPr>
        <w:t>the facts of crimes</w:t>
      </w:r>
      <w:r w:rsidR="008A4F22" w:rsidRPr="001E3BD1">
        <w:rPr>
          <w:rFonts w:cs="Open Sans"/>
        </w:rPr>
        <w:t xml:space="preserve">, particularly from the police. </w:t>
      </w:r>
    </w:p>
    <w:p w14:paraId="2C0C362D" w14:textId="67497226" w:rsidR="00EF582A" w:rsidRDefault="00E22FA0" w:rsidP="001E3BD1">
      <w:pPr>
        <w:pStyle w:val="Content"/>
        <w:rPr>
          <w:rFonts w:cs="Open Sans"/>
        </w:rPr>
      </w:pPr>
      <w:r>
        <w:rPr>
          <w:rFonts w:cs="Open Sans"/>
        </w:rPr>
        <w:t xml:space="preserve">There have been </w:t>
      </w:r>
      <w:r w:rsidR="003778B6" w:rsidRPr="001E3BD1">
        <w:rPr>
          <w:rFonts w:cs="Open Sans"/>
        </w:rPr>
        <w:t>examples</w:t>
      </w:r>
      <w:r>
        <w:rPr>
          <w:rFonts w:cs="Open Sans"/>
        </w:rPr>
        <w:t xml:space="preserve"> over the years</w:t>
      </w:r>
      <w:r w:rsidR="003778B6" w:rsidRPr="001E3BD1">
        <w:rPr>
          <w:rFonts w:cs="Open Sans"/>
        </w:rPr>
        <w:t xml:space="preserve"> of</w:t>
      </w:r>
      <w:r w:rsidR="008A4F22" w:rsidRPr="001E3BD1">
        <w:rPr>
          <w:rFonts w:cs="Open Sans"/>
        </w:rPr>
        <w:t xml:space="preserve"> police refusing to discuss ‘low level crimes’ with </w:t>
      </w:r>
      <w:r w:rsidR="003778B6" w:rsidRPr="001E3BD1">
        <w:rPr>
          <w:rFonts w:cs="Open Sans"/>
        </w:rPr>
        <w:t>journalist</w:t>
      </w:r>
      <w:r w:rsidR="008A4F22" w:rsidRPr="001E3BD1">
        <w:rPr>
          <w:rFonts w:cs="Open Sans"/>
        </w:rPr>
        <w:t>s</w:t>
      </w:r>
      <w:r w:rsidR="008A4F22" w:rsidRPr="00694031">
        <w:rPr>
          <w:rFonts w:cs="Open Sans"/>
          <w:vertAlign w:val="superscript"/>
        </w:rPr>
        <w:footnoteReference w:id="5"/>
      </w:r>
      <w:r w:rsidR="00347558" w:rsidRPr="001E3BD1">
        <w:rPr>
          <w:rFonts w:cs="Open Sans"/>
        </w:rPr>
        <w:t xml:space="preserve">, journalists being removed </w:t>
      </w:r>
      <w:r w:rsidR="00C029E1" w:rsidRPr="001E3BD1">
        <w:rPr>
          <w:rFonts w:cs="Open Sans"/>
        </w:rPr>
        <w:t>from crimes scenes or threatened</w:t>
      </w:r>
      <w:r w:rsidR="00C029E1" w:rsidRPr="00694031">
        <w:rPr>
          <w:rFonts w:cs="Open Sans"/>
          <w:vertAlign w:val="superscript"/>
        </w:rPr>
        <w:footnoteReference w:id="6"/>
      </w:r>
      <w:r w:rsidR="00C029E1" w:rsidRPr="001E3BD1">
        <w:rPr>
          <w:rFonts w:cs="Open Sans"/>
        </w:rPr>
        <w:t xml:space="preserve">, </w:t>
      </w:r>
      <w:r w:rsidR="008E04A1" w:rsidRPr="001E3BD1">
        <w:rPr>
          <w:rFonts w:cs="Open Sans"/>
        </w:rPr>
        <w:t>a general lack of disclosure even upon request</w:t>
      </w:r>
      <w:r w:rsidR="008E04A1" w:rsidRPr="00694031">
        <w:rPr>
          <w:rFonts w:cs="Open Sans"/>
          <w:vertAlign w:val="superscript"/>
        </w:rPr>
        <w:footnoteReference w:id="7"/>
      </w:r>
      <w:r w:rsidR="008E04A1" w:rsidRPr="001E3BD1">
        <w:rPr>
          <w:rFonts w:cs="Open Sans"/>
        </w:rPr>
        <w:t>,</w:t>
      </w:r>
      <w:r w:rsidR="006B71A5" w:rsidRPr="001E3BD1">
        <w:rPr>
          <w:rFonts w:cs="Open Sans"/>
        </w:rPr>
        <w:t xml:space="preserve"> examples of</w:t>
      </w:r>
      <w:r w:rsidR="008E04A1" w:rsidRPr="001E3BD1">
        <w:rPr>
          <w:rFonts w:cs="Open Sans"/>
        </w:rPr>
        <w:t xml:space="preserve"> police source</w:t>
      </w:r>
      <w:r w:rsidR="00562A1A" w:rsidRPr="001E3BD1">
        <w:rPr>
          <w:rFonts w:cs="Open Sans"/>
        </w:rPr>
        <w:t>s</w:t>
      </w:r>
      <w:r w:rsidR="008E04A1" w:rsidRPr="001E3BD1">
        <w:rPr>
          <w:rFonts w:cs="Open Sans"/>
        </w:rPr>
        <w:t xml:space="preserve"> </w:t>
      </w:r>
      <w:r w:rsidR="006B71A5" w:rsidRPr="001E3BD1">
        <w:rPr>
          <w:rFonts w:cs="Open Sans"/>
        </w:rPr>
        <w:t>perpetrating</w:t>
      </w:r>
      <w:r w:rsidR="00654414" w:rsidRPr="001E3BD1">
        <w:rPr>
          <w:rFonts w:cs="Open Sans"/>
        </w:rPr>
        <w:t xml:space="preserve"> institutional bigotries and biases</w:t>
      </w:r>
      <w:r w:rsidR="008B3B6A" w:rsidRPr="00694031">
        <w:rPr>
          <w:rFonts w:cs="Open Sans"/>
          <w:vertAlign w:val="superscript"/>
        </w:rPr>
        <w:footnoteReference w:id="8"/>
      </w:r>
      <w:r w:rsidR="00D832EC" w:rsidRPr="001E3BD1">
        <w:rPr>
          <w:rFonts w:cs="Open Sans"/>
        </w:rPr>
        <w:t>, and the growing tensions in the relationships between policing and journalism</w:t>
      </w:r>
      <w:r w:rsidR="00D832EC" w:rsidRPr="00694031">
        <w:rPr>
          <w:rFonts w:cs="Open Sans"/>
          <w:vertAlign w:val="superscript"/>
        </w:rPr>
        <w:footnoteReference w:id="9"/>
      </w:r>
      <w:r w:rsidR="006B71A5" w:rsidRPr="001E3BD1">
        <w:rPr>
          <w:rFonts w:cs="Open Sans"/>
        </w:rPr>
        <w:t>.</w:t>
      </w:r>
    </w:p>
    <w:p w14:paraId="3FE58F48" w14:textId="34670F78" w:rsidR="0069611A" w:rsidRPr="001E3BD1" w:rsidRDefault="0069611A" w:rsidP="001E3BD1">
      <w:pPr>
        <w:pStyle w:val="Content"/>
        <w:rPr>
          <w:rFonts w:cs="Open Sans"/>
        </w:rPr>
      </w:pPr>
      <w:r>
        <w:rPr>
          <w:rFonts w:cs="Open Sans"/>
        </w:rPr>
        <w:t>Also, journalism is a fast-moving field of work and there can be a lot of pressure to produce stories quickly, written in a certain way, or including certain pieces of information and not others</w:t>
      </w:r>
      <w:r>
        <w:rPr>
          <w:rStyle w:val="FootnoteReference"/>
          <w:rFonts w:cs="Open Sans"/>
        </w:rPr>
        <w:footnoteReference w:id="10"/>
      </w:r>
      <w:r>
        <w:rPr>
          <w:rFonts w:cs="Open Sans"/>
        </w:rPr>
        <w:t xml:space="preserve">; when this happens there is a risk of mistakes being made, the story missing key information, or </w:t>
      </w:r>
      <w:r>
        <w:rPr>
          <w:rFonts w:cs="Open Sans"/>
        </w:rPr>
        <w:lastRenderedPageBreak/>
        <w:t xml:space="preserve">interviews being done to a standard below what journalists might do </w:t>
      </w:r>
      <w:r w:rsidR="007829E2">
        <w:rPr>
          <w:rFonts w:cs="Open Sans"/>
        </w:rPr>
        <w:t>without external pressures</w:t>
      </w:r>
      <w:r>
        <w:rPr>
          <w:rStyle w:val="FootnoteReference"/>
          <w:rFonts w:cs="Open Sans"/>
        </w:rPr>
        <w:footnoteReference w:id="11"/>
      </w:r>
      <w:r>
        <w:rPr>
          <w:rFonts w:cs="Open Sans"/>
        </w:rPr>
        <w:t xml:space="preserve">. </w:t>
      </w:r>
    </w:p>
    <w:p w14:paraId="0ED4E884" w14:textId="349EE89C" w:rsidR="006B71A5" w:rsidRPr="001E3BD1" w:rsidRDefault="00823216" w:rsidP="001E3BD1">
      <w:pPr>
        <w:pStyle w:val="Content"/>
        <w:rPr>
          <w:rFonts w:cs="Open Sans"/>
        </w:rPr>
      </w:pPr>
      <w:r>
        <w:rPr>
          <w:rFonts w:cs="Open Sans"/>
        </w:rPr>
        <w:t>We</w:t>
      </w:r>
      <w:r w:rsidR="004F39B5" w:rsidRPr="001E3BD1">
        <w:rPr>
          <w:rFonts w:cs="Open Sans"/>
        </w:rPr>
        <w:t xml:space="preserve"> were mindful of this context while exploring reports and suspect that it contributes to the lack of information in some areas; however, this context </w:t>
      </w:r>
      <w:r>
        <w:rPr>
          <w:rFonts w:cs="Open Sans"/>
        </w:rPr>
        <w:t>applies to</w:t>
      </w:r>
      <w:r w:rsidR="00530538" w:rsidRPr="001E3BD1">
        <w:rPr>
          <w:rFonts w:cs="Open Sans"/>
        </w:rPr>
        <w:t xml:space="preserve"> the facts </w:t>
      </w:r>
      <w:r w:rsidR="00E22FA0">
        <w:rPr>
          <w:rFonts w:cs="Open Sans"/>
        </w:rPr>
        <w:t>of the crimes</w:t>
      </w:r>
      <w:r w:rsidR="00530538" w:rsidRPr="001E3BD1">
        <w:rPr>
          <w:rFonts w:cs="Open Sans"/>
        </w:rPr>
        <w:t xml:space="preserve"> and not to the language chosen to discuss Disabled people</w:t>
      </w:r>
      <w:r w:rsidR="00E22FA0">
        <w:rPr>
          <w:rFonts w:cs="Open Sans"/>
        </w:rPr>
        <w:t xml:space="preserve"> in the media. This means the latter half</w:t>
      </w:r>
      <w:r w:rsidR="00530538" w:rsidRPr="001E3BD1">
        <w:rPr>
          <w:rFonts w:cs="Open Sans"/>
        </w:rPr>
        <w:t xml:space="preserve"> of this report </w:t>
      </w:r>
      <w:r w:rsidR="00E22FA0">
        <w:rPr>
          <w:rFonts w:cs="Open Sans"/>
        </w:rPr>
        <w:t>is</w:t>
      </w:r>
      <w:r w:rsidR="00530538" w:rsidRPr="001E3BD1">
        <w:rPr>
          <w:rFonts w:cs="Open Sans"/>
        </w:rPr>
        <w:t xml:space="preserve"> unaffected</w:t>
      </w:r>
      <w:r w:rsidR="00E22FA0">
        <w:rPr>
          <w:rFonts w:cs="Open Sans"/>
        </w:rPr>
        <w:t xml:space="preserve"> by these issues</w:t>
      </w:r>
      <w:r w:rsidR="00530538" w:rsidRPr="001E3BD1">
        <w:rPr>
          <w:rFonts w:cs="Open Sans"/>
        </w:rPr>
        <w:t>.</w:t>
      </w:r>
    </w:p>
    <w:p w14:paraId="4ED9018D" w14:textId="6480D470" w:rsidR="00D07B9B" w:rsidRDefault="00D07B9B" w:rsidP="00A425C7">
      <w:pPr>
        <w:pStyle w:val="Heading2"/>
        <w:spacing w:before="240" w:after="240" w:line="360" w:lineRule="auto"/>
      </w:pPr>
      <w:bookmarkStart w:id="10" w:name="_Toc120713457"/>
      <w:r>
        <w:t>The problem with Google</w:t>
      </w:r>
      <w:bookmarkEnd w:id="10"/>
    </w:p>
    <w:p w14:paraId="12284053" w14:textId="54324120" w:rsidR="00D07B9B" w:rsidRDefault="00D07B9B" w:rsidP="00A425C7">
      <w:pPr>
        <w:spacing w:before="240" w:after="240" w:line="360" w:lineRule="auto"/>
      </w:pPr>
      <w:r>
        <w:t>Google.com is the main “go to” for searching</w:t>
      </w:r>
      <w:r w:rsidR="00E22FA0">
        <w:t xml:space="preserve"> online,</w:t>
      </w:r>
      <w:r>
        <w:t xml:space="preserve"> and this comes with its own issues. </w:t>
      </w:r>
      <w:r w:rsidR="006211BB">
        <w:t xml:space="preserve">There is growing research </w:t>
      </w:r>
      <w:r w:rsidR="003E2E4E">
        <w:t>into the</w:t>
      </w:r>
      <w:r w:rsidR="006211BB">
        <w:t xml:space="preserve"> biases</w:t>
      </w:r>
      <w:r w:rsidR="003E2E4E">
        <w:t xml:space="preserve"> which</w:t>
      </w:r>
      <w:r w:rsidR="006211BB">
        <w:t xml:space="preserve"> exist within the algorithms</w:t>
      </w:r>
      <w:r w:rsidR="009E25C4">
        <w:t xml:space="preserve"> used by </w:t>
      </w:r>
      <w:r w:rsidR="009E25C4" w:rsidDel="007173AA">
        <w:t>Google</w:t>
      </w:r>
      <w:r w:rsidR="007173AA">
        <w:t>,</w:t>
      </w:r>
      <w:r w:rsidR="006211BB">
        <w:t xml:space="preserve"> </w:t>
      </w:r>
      <w:r w:rsidR="00F94A77">
        <w:t xml:space="preserve">and this affects </w:t>
      </w:r>
      <w:r w:rsidR="00C6237F">
        <w:t>which</w:t>
      </w:r>
      <w:r w:rsidR="00F94A77">
        <w:t xml:space="preserve"> websites they prioritise in search results</w:t>
      </w:r>
      <w:r w:rsidR="00C6237F">
        <w:t xml:space="preserve"> and which ones they de</w:t>
      </w:r>
      <w:r w:rsidR="003E2E4E">
        <w:t>-</w:t>
      </w:r>
      <w:r w:rsidR="00C6237F">
        <w:t>prioritise</w:t>
      </w:r>
      <w:r w:rsidR="00F94A77">
        <w:rPr>
          <w:rStyle w:val="FootnoteReference"/>
        </w:rPr>
        <w:footnoteReference w:id="12"/>
      </w:r>
      <w:r w:rsidR="003E2E4E">
        <w:t>.</w:t>
      </w:r>
    </w:p>
    <w:p w14:paraId="4AAEC2F7" w14:textId="36E258B6" w:rsidR="00651701" w:rsidRDefault="002F2EE3" w:rsidP="00A425C7">
      <w:pPr>
        <w:spacing w:before="240" w:after="240" w:line="360" w:lineRule="auto"/>
      </w:pPr>
      <w:r>
        <w:t>This can make finding information about topics frustrating and favours some websites over others. However, as with many of the points in this report, this would</w:t>
      </w:r>
      <w:r w:rsidR="007D5639">
        <w:t xml:space="preserve"> </w:t>
      </w:r>
      <w:r w:rsidR="00BD6BAF">
        <w:t>be</w:t>
      </w:r>
      <w:r>
        <w:t xml:space="preserve"> the </w:t>
      </w:r>
      <w:r w:rsidR="00E22FA0">
        <w:t>primary</w:t>
      </w:r>
      <w:r>
        <w:t xml:space="preserve"> tool an average member of the public would use to locate informatio</w:t>
      </w:r>
      <w:r w:rsidR="007D5639">
        <w:t>n online.</w:t>
      </w:r>
    </w:p>
    <w:p w14:paraId="69315026" w14:textId="4C3ED0CB" w:rsidR="003C3852" w:rsidRDefault="002F2EE3" w:rsidP="005A6EA2">
      <w:pPr>
        <w:spacing w:before="240" w:after="240" w:line="360" w:lineRule="auto"/>
      </w:pPr>
      <w:r>
        <w:t>Therefore, Inclusion London acknowledge the algorithmic biases embedded in Google search results, but</w:t>
      </w:r>
      <w:r w:rsidR="003C3852">
        <w:t>, for this report, that they exist is a part of the problem.</w:t>
      </w:r>
    </w:p>
    <w:p w14:paraId="5712F38B" w14:textId="4BAE961D" w:rsidR="006F3B4C" w:rsidRPr="00D06C62" w:rsidRDefault="006F3B4C" w:rsidP="006F3B4C">
      <w:pPr>
        <w:pStyle w:val="Heading2"/>
        <w:rPr>
          <w:rFonts w:cs="Open Sans"/>
        </w:rPr>
      </w:pPr>
      <w:bookmarkStart w:id="11" w:name="_Toc120713458"/>
      <w:r w:rsidRPr="00D06C62">
        <w:rPr>
          <w:rFonts w:cs="Open Sans"/>
        </w:rPr>
        <w:lastRenderedPageBreak/>
        <w:t>Location</w:t>
      </w:r>
      <w:bookmarkEnd w:id="11"/>
    </w:p>
    <w:p w14:paraId="51F410DC" w14:textId="77777777" w:rsidR="00CB4F46" w:rsidRDefault="006F3B4C" w:rsidP="0052587D">
      <w:pPr>
        <w:pStyle w:val="Content"/>
        <w:rPr>
          <w:rFonts w:cs="Open Sans"/>
        </w:rPr>
      </w:pPr>
      <w:r w:rsidRPr="00D06C62">
        <w:rPr>
          <w:rFonts w:cs="Open Sans"/>
        </w:rPr>
        <w:t xml:space="preserve">With a sample of </w:t>
      </w:r>
      <w:r>
        <w:rPr>
          <w:rFonts w:cs="Open Sans"/>
        </w:rPr>
        <w:t xml:space="preserve">300, in consideration of which areas might get more </w:t>
      </w:r>
      <w:r w:rsidR="00CB4F46">
        <w:rPr>
          <w:rFonts w:cs="Open Sans"/>
        </w:rPr>
        <w:t xml:space="preserve">media </w:t>
      </w:r>
      <w:r>
        <w:rPr>
          <w:rFonts w:cs="Open Sans"/>
        </w:rPr>
        <w:t>attention than others</w:t>
      </w:r>
      <w:r w:rsidRPr="00D06C62">
        <w:rPr>
          <w:rFonts w:cs="Open Sans"/>
        </w:rPr>
        <w:t>, meaningful pattern analysis for location is</w:t>
      </w:r>
      <w:r>
        <w:rPr>
          <w:rFonts w:cs="Open Sans"/>
        </w:rPr>
        <w:t xml:space="preserve"> unreliable. </w:t>
      </w:r>
    </w:p>
    <w:p w14:paraId="0D16042D" w14:textId="0DE00E66" w:rsidR="006F3B4C" w:rsidRPr="00D06C62" w:rsidRDefault="00EC0A8C" w:rsidP="0052587D">
      <w:pPr>
        <w:pStyle w:val="Content"/>
        <w:rPr>
          <w:rFonts w:cs="Open Sans"/>
        </w:rPr>
      </w:pPr>
      <w:r>
        <w:rPr>
          <w:rFonts w:cs="Open Sans"/>
        </w:rPr>
        <w:t>Areas</w:t>
      </w:r>
      <w:r w:rsidR="006F3B4C" w:rsidRPr="00D06C62">
        <w:rPr>
          <w:rFonts w:cs="Open Sans"/>
        </w:rPr>
        <w:t xml:space="preserve"> w</w:t>
      </w:r>
      <w:r w:rsidR="00496A45">
        <w:rPr>
          <w:rFonts w:cs="Open Sans"/>
        </w:rPr>
        <w:t>ith</w:t>
      </w:r>
      <w:r w:rsidR="006F3B4C">
        <w:rPr>
          <w:rFonts w:cs="Open Sans"/>
        </w:rPr>
        <w:t xml:space="preserve"> 5 or more</w:t>
      </w:r>
      <w:r w:rsidR="006F3B4C" w:rsidRPr="00D06C62">
        <w:rPr>
          <w:rFonts w:cs="Open Sans"/>
        </w:rPr>
        <w:t xml:space="preserve"> cases </w:t>
      </w:r>
      <w:r w:rsidR="00496A45">
        <w:rPr>
          <w:rFonts w:cs="Open Sans"/>
        </w:rPr>
        <w:t>were</w:t>
      </w:r>
      <w:r w:rsidR="006F3B4C" w:rsidRPr="00D06C62">
        <w:rPr>
          <w:rFonts w:cs="Open Sans"/>
        </w:rPr>
        <w:t>:</w:t>
      </w:r>
    </w:p>
    <w:p w14:paraId="20AADC4F" w14:textId="3519ADA9" w:rsidR="006F3B4C" w:rsidRPr="00D06C62" w:rsidRDefault="006F3B4C" w:rsidP="00911CEA">
      <w:pPr>
        <w:pStyle w:val="Content"/>
        <w:numPr>
          <w:ilvl w:val="0"/>
          <w:numId w:val="2"/>
        </w:numPr>
        <w:rPr>
          <w:rFonts w:cs="Open Sans"/>
        </w:rPr>
      </w:pPr>
      <w:r>
        <w:rPr>
          <w:rFonts w:cs="Open Sans"/>
        </w:rPr>
        <w:t>33</w:t>
      </w:r>
      <w:r w:rsidR="002C4ACE">
        <w:rPr>
          <w:rFonts w:cs="Open Sans"/>
        </w:rPr>
        <w:t xml:space="preserve"> (11%)</w:t>
      </w:r>
      <w:r>
        <w:rPr>
          <w:rFonts w:cs="Open Sans"/>
        </w:rPr>
        <w:t xml:space="preserve"> cases</w:t>
      </w:r>
      <w:r w:rsidRPr="00D06C62">
        <w:rPr>
          <w:rFonts w:cs="Open Sans"/>
        </w:rPr>
        <w:t xml:space="preserve"> in London, though these were across multiple boroughs. </w:t>
      </w:r>
    </w:p>
    <w:p w14:paraId="55D291BF" w14:textId="3ACD5B20" w:rsidR="006F3B4C" w:rsidRPr="00D06C62" w:rsidRDefault="006F3B4C" w:rsidP="00911CEA">
      <w:pPr>
        <w:pStyle w:val="Content"/>
        <w:numPr>
          <w:ilvl w:val="0"/>
          <w:numId w:val="2"/>
        </w:numPr>
        <w:rPr>
          <w:rFonts w:cs="Open Sans"/>
        </w:rPr>
      </w:pPr>
      <w:r>
        <w:rPr>
          <w:rFonts w:cs="Open Sans"/>
        </w:rPr>
        <w:t>11</w:t>
      </w:r>
      <w:r w:rsidRPr="00D06C62">
        <w:rPr>
          <w:rFonts w:cs="Open Sans"/>
        </w:rPr>
        <w:t xml:space="preserve"> </w:t>
      </w:r>
      <w:r w:rsidR="00CB5938">
        <w:rPr>
          <w:rFonts w:cs="Open Sans"/>
        </w:rPr>
        <w:t>(</w:t>
      </w:r>
      <w:r w:rsidR="00591BA1">
        <w:rPr>
          <w:rFonts w:cs="Open Sans"/>
        </w:rPr>
        <w:t>3.7</w:t>
      </w:r>
      <w:r w:rsidR="00CB5938">
        <w:rPr>
          <w:rFonts w:cs="Open Sans"/>
        </w:rPr>
        <w:t xml:space="preserve">%) </w:t>
      </w:r>
      <w:r w:rsidRPr="00D06C62">
        <w:rPr>
          <w:rFonts w:cs="Open Sans"/>
        </w:rPr>
        <w:t>cases in Manchester.</w:t>
      </w:r>
    </w:p>
    <w:p w14:paraId="0A2E3E6E" w14:textId="35830365" w:rsidR="006F3B4C" w:rsidRPr="00D06C62" w:rsidRDefault="006F3B4C" w:rsidP="00911CEA">
      <w:pPr>
        <w:pStyle w:val="Content"/>
        <w:numPr>
          <w:ilvl w:val="0"/>
          <w:numId w:val="2"/>
        </w:numPr>
        <w:rPr>
          <w:rFonts w:cs="Open Sans"/>
        </w:rPr>
      </w:pPr>
      <w:r>
        <w:rPr>
          <w:rFonts w:cs="Open Sans"/>
        </w:rPr>
        <w:t xml:space="preserve">6 </w:t>
      </w:r>
      <w:r w:rsidR="00CB5938">
        <w:rPr>
          <w:rFonts w:cs="Open Sans"/>
        </w:rPr>
        <w:t xml:space="preserve">(2%) </w:t>
      </w:r>
      <w:r>
        <w:rPr>
          <w:rFonts w:cs="Open Sans"/>
        </w:rPr>
        <w:t>cases in Liverpool.</w:t>
      </w:r>
    </w:p>
    <w:p w14:paraId="2B1DC6F9" w14:textId="4351939F" w:rsidR="006F3B4C" w:rsidRPr="00D06C62" w:rsidRDefault="006F3B4C" w:rsidP="00911CEA">
      <w:pPr>
        <w:pStyle w:val="Content"/>
        <w:numPr>
          <w:ilvl w:val="0"/>
          <w:numId w:val="2"/>
        </w:numPr>
        <w:rPr>
          <w:rFonts w:cs="Open Sans"/>
        </w:rPr>
      </w:pPr>
      <w:r>
        <w:rPr>
          <w:rFonts w:cs="Open Sans"/>
        </w:rPr>
        <w:t xml:space="preserve">5 </w:t>
      </w:r>
      <w:r w:rsidR="00CB5938">
        <w:rPr>
          <w:rFonts w:cs="Open Sans"/>
        </w:rPr>
        <w:t>(</w:t>
      </w:r>
      <w:r w:rsidR="00591BA1">
        <w:rPr>
          <w:rFonts w:cs="Open Sans"/>
        </w:rPr>
        <w:t>1.7</w:t>
      </w:r>
      <w:r w:rsidR="00CB5938">
        <w:rPr>
          <w:rFonts w:cs="Open Sans"/>
        </w:rPr>
        <w:t xml:space="preserve">%) </w:t>
      </w:r>
      <w:r>
        <w:rPr>
          <w:rFonts w:cs="Open Sans"/>
        </w:rPr>
        <w:t>cases in Cardiff, Fife, and Leeds.</w:t>
      </w:r>
    </w:p>
    <w:p w14:paraId="7A087C39" w14:textId="3DAC14DD" w:rsidR="006F3B4C" w:rsidRPr="00D06C62" w:rsidRDefault="006F3B4C" w:rsidP="0052587D">
      <w:pPr>
        <w:pStyle w:val="Content"/>
        <w:rPr>
          <w:rFonts w:cs="Open Sans"/>
        </w:rPr>
      </w:pPr>
      <w:r>
        <w:rPr>
          <w:rFonts w:cs="Open Sans"/>
        </w:rPr>
        <w:t xml:space="preserve">Locations across the UK were included, </w:t>
      </w:r>
      <w:r w:rsidR="00E22359">
        <w:rPr>
          <w:rFonts w:cs="Open Sans"/>
        </w:rPr>
        <w:t xml:space="preserve">as were </w:t>
      </w:r>
      <w:r>
        <w:rPr>
          <w:rFonts w:cs="Open Sans"/>
        </w:rPr>
        <w:t>2 online crimes.</w:t>
      </w:r>
    </w:p>
    <w:p w14:paraId="3292963C" w14:textId="77777777" w:rsidR="006F3B4C" w:rsidRPr="00D06C62" w:rsidRDefault="006F3B4C" w:rsidP="0052587D">
      <w:pPr>
        <w:pStyle w:val="Content"/>
        <w:rPr>
          <w:rFonts w:cs="Open Sans"/>
        </w:rPr>
      </w:pPr>
    </w:p>
    <w:p w14:paraId="3C9A5BA1" w14:textId="139BF3BB" w:rsidR="006F3B4C" w:rsidRPr="00D06C62" w:rsidRDefault="006F3B4C" w:rsidP="0052587D">
      <w:pPr>
        <w:pStyle w:val="Heading2"/>
        <w:spacing w:before="240" w:after="240" w:line="360" w:lineRule="auto"/>
        <w:rPr>
          <w:rFonts w:cs="Open Sans"/>
        </w:rPr>
      </w:pPr>
      <w:bookmarkStart w:id="12" w:name="_Toc120713459"/>
      <w:r w:rsidRPr="00D06C62">
        <w:rPr>
          <w:rFonts w:cs="Open Sans"/>
        </w:rPr>
        <w:t>Year Crime Occurred</w:t>
      </w:r>
      <w:bookmarkEnd w:id="12"/>
    </w:p>
    <w:p w14:paraId="3C703B4B" w14:textId="77777777" w:rsidR="00B93DBC" w:rsidRDefault="006F3B4C" w:rsidP="00657920">
      <w:pPr>
        <w:pStyle w:val="Content"/>
        <w:rPr>
          <w:rFonts w:cs="Open Sans"/>
        </w:rPr>
      </w:pPr>
      <w:r w:rsidRPr="00D06C62">
        <w:rPr>
          <w:rFonts w:cs="Open Sans"/>
        </w:rPr>
        <w:t xml:space="preserve">While journalists have undoubtedly reported on crimes against Disabled people since </w:t>
      </w:r>
      <w:r w:rsidR="00530862">
        <w:rPr>
          <w:rFonts w:cs="Open Sans"/>
        </w:rPr>
        <w:t>reporting began</w:t>
      </w:r>
      <w:r w:rsidRPr="00D06C62">
        <w:rPr>
          <w:rFonts w:cs="Open Sans"/>
        </w:rPr>
        <w:t>, we had to choose a cut-off</w:t>
      </w:r>
      <w:r w:rsidR="00CB4F46">
        <w:rPr>
          <w:rFonts w:cs="Open Sans"/>
        </w:rPr>
        <w:t xml:space="preserve"> date</w:t>
      </w:r>
      <w:r w:rsidRPr="00D06C62">
        <w:rPr>
          <w:rFonts w:cs="Open Sans"/>
        </w:rPr>
        <w:t xml:space="preserve">. </w:t>
      </w:r>
    </w:p>
    <w:p w14:paraId="65D9381B" w14:textId="4C7CA924" w:rsidR="006F3B4C" w:rsidRPr="00D06C62" w:rsidRDefault="003D5D7F" w:rsidP="00657920">
      <w:pPr>
        <w:pStyle w:val="Content"/>
        <w:rPr>
          <w:rFonts w:cs="Open Sans"/>
        </w:rPr>
      </w:pPr>
      <w:r>
        <w:rPr>
          <w:rFonts w:cs="Open Sans"/>
        </w:rPr>
        <w:t>Disability</w:t>
      </w:r>
      <w:r w:rsidR="006F3B4C" w:rsidRPr="00D06C62">
        <w:rPr>
          <w:rFonts w:cs="Open Sans"/>
        </w:rPr>
        <w:t xml:space="preserve"> hate crime </w:t>
      </w:r>
      <w:r w:rsidR="00CB4F46">
        <w:rPr>
          <w:rFonts w:cs="Open Sans"/>
        </w:rPr>
        <w:t xml:space="preserve">formally </w:t>
      </w:r>
      <w:r w:rsidR="006F3B4C" w:rsidRPr="00D06C62">
        <w:rPr>
          <w:rFonts w:cs="Open Sans"/>
        </w:rPr>
        <w:t xml:space="preserve">came into law </w:t>
      </w:r>
      <w:r w:rsidR="00B93DBC">
        <w:rPr>
          <w:rFonts w:cs="Open Sans"/>
        </w:rPr>
        <w:t>with</w:t>
      </w:r>
      <w:r w:rsidR="006F3B4C" w:rsidRPr="00D06C62">
        <w:rPr>
          <w:rFonts w:cs="Open Sans"/>
        </w:rPr>
        <w:t xml:space="preserve"> </w:t>
      </w:r>
      <w:r w:rsidR="00822E5E">
        <w:rPr>
          <w:rFonts w:cs="Open Sans"/>
        </w:rPr>
        <w:t xml:space="preserve">the Criminal Justice Act </w:t>
      </w:r>
      <w:r w:rsidR="00E22359">
        <w:rPr>
          <w:rFonts w:cs="Open Sans"/>
        </w:rPr>
        <w:t>of 2003</w:t>
      </w:r>
      <w:r w:rsidR="006F3B4C" w:rsidRPr="00D06C62">
        <w:rPr>
          <w:rFonts w:cs="Open Sans"/>
        </w:rPr>
        <w:t>, so we in</w:t>
      </w:r>
      <w:r w:rsidR="006F3B4C">
        <w:rPr>
          <w:rFonts w:cs="Open Sans"/>
        </w:rPr>
        <w:t>cluded</w:t>
      </w:r>
      <w:r w:rsidR="006F3B4C" w:rsidRPr="00D06C62">
        <w:rPr>
          <w:rFonts w:cs="Open Sans"/>
        </w:rPr>
        <w:t xml:space="preserve"> crimes reported from 2005 onwards. As our interest was </w:t>
      </w:r>
      <w:r>
        <w:rPr>
          <w:rFonts w:cs="Open Sans"/>
        </w:rPr>
        <w:t>both</w:t>
      </w:r>
      <w:r w:rsidR="006F3B4C" w:rsidRPr="00D06C62">
        <w:rPr>
          <w:rFonts w:cs="Open Sans"/>
        </w:rPr>
        <w:t xml:space="preserve"> in crimes against Disabled people generally</w:t>
      </w:r>
      <w:r w:rsidR="00822E5E">
        <w:rPr>
          <w:rFonts w:cs="Open Sans"/>
        </w:rPr>
        <w:t>,</w:t>
      </w:r>
      <w:r w:rsidR="006F3B4C" w:rsidRPr="00D06C62">
        <w:rPr>
          <w:rFonts w:cs="Open Sans"/>
        </w:rPr>
        <w:t xml:space="preserve"> and Disabled hate crimes specifically, it made sense to choose a date after </w:t>
      </w:r>
      <w:r w:rsidR="00B93DBC">
        <w:rPr>
          <w:rFonts w:cs="Open Sans"/>
        </w:rPr>
        <w:t>d</w:t>
      </w:r>
      <w:r w:rsidR="006F3B4C" w:rsidRPr="00D06C62">
        <w:rPr>
          <w:rFonts w:cs="Open Sans"/>
        </w:rPr>
        <w:t>isability hate crime was recogni</w:t>
      </w:r>
      <w:r>
        <w:rPr>
          <w:rFonts w:cs="Open Sans"/>
        </w:rPr>
        <w:t>s</w:t>
      </w:r>
      <w:r w:rsidR="006F3B4C" w:rsidRPr="00D06C62">
        <w:rPr>
          <w:rFonts w:cs="Open Sans"/>
        </w:rPr>
        <w:t>ed in law.</w:t>
      </w:r>
    </w:p>
    <w:p w14:paraId="2A929B0D" w14:textId="332E644B" w:rsidR="00757B39" w:rsidRDefault="006F3B4C" w:rsidP="00657920">
      <w:pPr>
        <w:pStyle w:val="Content"/>
        <w:rPr>
          <w:rFonts w:cs="Open Sans"/>
        </w:rPr>
      </w:pPr>
      <w:r w:rsidRPr="00D06C62">
        <w:rPr>
          <w:rFonts w:cs="Open Sans"/>
        </w:rPr>
        <w:lastRenderedPageBreak/>
        <w:t xml:space="preserve">Of the </w:t>
      </w:r>
      <w:r>
        <w:rPr>
          <w:rFonts w:cs="Open Sans"/>
        </w:rPr>
        <w:t>300</w:t>
      </w:r>
      <w:r w:rsidRPr="00D06C62">
        <w:rPr>
          <w:rFonts w:cs="Open Sans"/>
        </w:rPr>
        <w:t xml:space="preserve"> cases, </w:t>
      </w:r>
      <w:r>
        <w:rPr>
          <w:rFonts w:cs="Open Sans"/>
        </w:rPr>
        <w:t>4</w:t>
      </w:r>
      <w:r w:rsidR="00D572C0">
        <w:rPr>
          <w:rFonts w:cs="Open Sans"/>
        </w:rPr>
        <w:t>8 (</w:t>
      </w:r>
      <w:r w:rsidR="00A94249">
        <w:rPr>
          <w:rFonts w:cs="Open Sans"/>
        </w:rPr>
        <w:t>16%)</w:t>
      </w:r>
      <w:r w:rsidRPr="00D06C62">
        <w:rPr>
          <w:rFonts w:cs="Open Sans"/>
        </w:rPr>
        <w:t xml:space="preserve"> </w:t>
      </w:r>
      <w:r w:rsidR="003D5D7F">
        <w:rPr>
          <w:rFonts w:cs="Open Sans"/>
        </w:rPr>
        <w:t>occurred</w:t>
      </w:r>
      <w:r w:rsidRPr="00D06C62">
        <w:rPr>
          <w:rFonts w:cs="Open Sans"/>
        </w:rPr>
        <w:t xml:space="preserve"> </w:t>
      </w:r>
      <w:r w:rsidR="003D5D7F">
        <w:rPr>
          <w:rFonts w:cs="Open Sans"/>
        </w:rPr>
        <w:t>before</w:t>
      </w:r>
      <w:r w:rsidRPr="00D06C62">
        <w:rPr>
          <w:rFonts w:cs="Open Sans"/>
        </w:rPr>
        <w:t xml:space="preserve"> 2012 and </w:t>
      </w:r>
      <w:r>
        <w:rPr>
          <w:rFonts w:cs="Open Sans"/>
        </w:rPr>
        <w:t>2</w:t>
      </w:r>
      <w:r w:rsidR="00255923">
        <w:rPr>
          <w:rFonts w:cs="Open Sans"/>
        </w:rPr>
        <w:t>5</w:t>
      </w:r>
      <w:r w:rsidR="00757B39">
        <w:rPr>
          <w:rFonts w:cs="Open Sans"/>
        </w:rPr>
        <w:t>2</w:t>
      </w:r>
      <w:r w:rsidR="00A94249">
        <w:rPr>
          <w:rFonts w:cs="Open Sans"/>
        </w:rPr>
        <w:t xml:space="preserve"> (</w:t>
      </w:r>
      <w:r w:rsidR="00DA00E1">
        <w:rPr>
          <w:rFonts w:cs="Open Sans"/>
        </w:rPr>
        <w:t>84%)</w:t>
      </w:r>
      <w:r w:rsidRPr="00D06C62">
        <w:rPr>
          <w:rFonts w:cs="Open Sans"/>
        </w:rPr>
        <w:t xml:space="preserve"> occurred </w:t>
      </w:r>
      <w:r w:rsidR="00757B39">
        <w:rPr>
          <w:rFonts w:cs="Open Sans"/>
        </w:rPr>
        <w:t>during or after</w:t>
      </w:r>
      <w:r w:rsidRPr="00D06C62">
        <w:rPr>
          <w:rFonts w:cs="Open Sans"/>
        </w:rPr>
        <w:t xml:space="preserve"> 2012, with </w:t>
      </w:r>
      <w:r>
        <w:rPr>
          <w:rFonts w:cs="Open Sans"/>
        </w:rPr>
        <w:t>1</w:t>
      </w:r>
      <w:r w:rsidR="00757B39">
        <w:rPr>
          <w:rFonts w:cs="Open Sans"/>
        </w:rPr>
        <w:t>34 (45%)</w:t>
      </w:r>
      <w:r w:rsidRPr="00D06C62">
        <w:rPr>
          <w:rFonts w:cs="Open Sans"/>
        </w:rPr>
        <w:t xml:space="preserve"> of the cases </w:t>
      </w:r>
      <w:r w:rsidR="00CF0D78">
        <w:rPr>
          <w:rFonts w:cs="Open Sans"/>
        </w:rPr>
        <w:t>happening</w:t>
      </w:r>
      <w:r w:rsidR="00CF0D78" w:rsidRPr="00D06C62">
        <w:rPr>
          <w:rFonts w:cs="Open Sans"/>
        </w:rPr>
        <w:t xml:space="preserve"> </w:t>
      </w:r>
      <w:r w:rsidRPr="00D06C62">
        <w:rPr>
          <w:rFonts w:cs="Open Sans"/>
        </w:rPr>
        <w:t xml:space="preserve">in the last 5 years. </w:t>
      </w:r>
    </w:p>
    <w:p w14:paraId="33AD5C53" w14:textId="09F320DE" w:rsidR="009437CC" w:rsidRDefault="00822E5E" w:rsidP="00657920">
      <w:pPr>
        <w:pStyle w:val="Content"/>
        <w:rPr>
          <w:rFonts w:cs="Open Sans"/>
        </w:rPr>
      </w:pPr>
      <w:r>
        <w:rPr>
          <w:rFonts w:cs="Open Sans"/>
        </w:rPr>
        <w:t>T</w:t>
      </w:r>
      <w:r w:rsidR="006F3B4C" w:rsidRPr="00D06C62">
        <w:rPr>
          <w:rFonts w:cs="Open Sans"/>
        </w:rPr>
        <w:t xml:space="preserve">his may </w:t>
      </w:r>
      <w:r w:rsidR="00B93DBC">
        <w:rPr>
          <w:rFonts w:cs="Open Sans"/>
        </w:rPr>
        <w:t xml:space="preserve">be </w:t>
      </w:r>
      <w:r w:rsidR="006F3B4C" w:rsidRPr="00D06C62">
        <w:rPr>
          <w:rFonts w:cs="Open Sans"/>
        </w:rPr>
        <w:t>surpris</w:t>
      </w:r>
      <w:r w:rsidR="00B93DBC">
        <w:rPr>
          <w:rFonts w:cs="Open Sans"/>
        </w:rPr>
        <w:t>ing at first</w:t>
      </w:r>
      <w:r w:rsidR="006F3B4C" w:rsidRPr="00D06C62">
        <w:rPr>
          <w:rFonts w:cs="Open Sans"/>
        </w:rPr>
        <w:t>, especially as it might not seem many cases in recent years received the widespread coverage that those in the past did.</w:t>
      </w:r>
      <w:r w:rsidR="00757B39">
        <w:rPr>
          <w:rFonts w:cs="Open Sans"/>
        </w:rPr>
        <w:t xml:space="preserve"> There are </w:t>
      </w:r>
      <w:r w:rsidR="003D5D7F">
        <w:rPr>
          <w:rFonts w:cs="Open Sans"/>
        </w:rPr>
        <w:t>some</w:t>
      </w:r>
      <w:r w:rsidR="00C51BB9">
        <w:rPr>
          <w:rFonts w:cs="Open Sans"/>
        </w:rPr>
        <w:t xml:space="preserve"> </w:t>
      </w:r>
      <w:r w:rsidR="00757B39">
        <w:rPr>
          <w:rFonts w:cs="Open Sans"/>
        </w:rPr>
        <w:t xml:space="preserve">cases </w:t>
      </w:r>
      <w:r w:rsidR="0040166E">
        <w:rPr>
          <w:rFonts w:cs="Open Sans"/>
        </w:rPr>
        <w:t xml:space="preserve">of </w:t>
      </w:r>
      <w:r w:rsidR="00757B39">
        <w:rPr>
          <w:rFonts w:cs="Open Sans"/>
        </w:rPr>
        <w:t>Disability hate crime</w:t>
      </w:r>
      <w:r w:rsidR="0040166E">
        <w:rPr>
          <w:rFonts w:cs="Open Sans"/>
        </w:rPr>
        <w:t>s</w:t>
      </w:r>
      <w:r w:rsidR="00757B39">
        <w:rPr>
          <w:rFonts w:cs="Open Sans"/>
        </w:rPr>
        <w:t xml:space="preserve"> which </w:t>
      </w:r>
      <w:r w:rsidR="00D44C80">
        <w:rPr>
          <w:rFonts w:cs="Open Sans"/>
        </w:rPr>
        <w:t>have remained, rightly and understandably, in the public consciousness</w:t>
      </w:r>
      <w:r w:rsidR="003D5D7F">
        <w:rPr>
          <w:rFonts w:cs="Open Sans"/>
        </w:rPr>
        <w:t xml:space="preserve"> over many years</w:t>
      </w:r>
      <w:r>
        <w:rPr>
          <w:rFonts w:cs="Open Sans"/>
        </w:rPr>
        <w:t xml:space="preserve">. </w:t>
      </w:r>
      <w:r w:rsidR="0040166E">
        <w:rPr>
          <w:rFonts w:cs="Open Sans"/>
        </w:rPr>
        <w:t>By comparison, r</w:t>
      </w:r>
      <w:r w:rsidR="00C51BB9">
        <w:rPr>
          <w:rFonts w:cs="Open Sans"/>
        </w:rPr>
        <w:t xml:space="preserve">ecalling recent examples of disability hate crime which received national attention can be more </w:t>
      </w:r>
      <w:r w:rsidR="0040166E">
        <w:rPr>
          <w:rFonts w:cs="Open Sans"/>
        </w:rPr>
        <w:t>difficult</w:t>
      </w:r>
      <w:r w:rsidR="00C51BB9">
        <w:rPr>
          <w:rFonts w:cs="Open Sans"/>
        </w:rPr>
        <w:t>.</w:t>
      </w:r>
    </w:p>
    <w:p w14:paraId="19746416" w14:textId="4C1AABC2" w:rsidR="006E054A" w:rsidRDefault="007F2B6F" w:rsidP="00657920">
      <w:pPr>
        <w:pStyle w:val="Content"/>
        <w:rPr>
          <w:rFonts w:cs="Open Sans"/>
        </w:rPr>
      </w:pPr>
      <w:r>
        <w:rPr>
          <w:rFonts w:cs="Open Sans"/>
        </w:rPr>
        <w:t>However,</w:t>
      </w:r>
      <w:r w:rsidR="006F3B4C" w:rsidRPr="00D06C62">
        <w:rPr>
          <w:rFonts w:cs="Open Sans"/>
        </w:rPr>
        <w:t xml:space="preserve"> this </w:t>
      </w:r>
      <w:r w:rsidR="003D5D7F">
        <w:rPr>
          <w:rFonts w:cs="Open Sans"/>
        </w:rPr>
        <w:t xml:space="preserve">interpretation </w:t>
      </w:r>
      <w:r w:rsidR="006F3B4C" w:rsidRPr="00D06C62">
        <w:rPr>
          <w:rFonts w:cs="Open Sans"/>
        </w:rPr>
        <w:t>may</w:t>
      </w:r>
      <w:r w:rsidR="003D5D7F">
        <w:rPr>
          <w:rFonts w:cs="Open Sans"/>
        </w:rPr>
        <w:t xml:space="preserve"> actually</w:t>
      </w:r>
      <w:r w:rsidR="006F3B4C" w:rsidRPr="00D06C62">
        <w:rPr>
          <w:rFonts w:cs="Open Sans"/>
        </w:rPr>
        <w:t xml:space="preserve"> be down to the increased access to news coverage</w:t>
      </w:r>
      <w:r w:rsidR="00C51BB9">
        <w:rPr>
          <w:rFonts w:cs="Open Sans"/>
        </w:rPr>
        <w:t>,</w:t>
      </w:r>
      <w:r w:rsidR="006F3B4C" w:rsidRPr="00D06C62">
        <w:rPr>
          <w:rFonts w:cs="Open Sans"/>
        </w:rPr>
        <w:t xml:space="preserve"> the volume of news available online</w:t>
      </w:r>
      <w:r w:rsidR="00C51BB9">
        <w:rPr>
          <w:rFonts w:cs="Open Sans"/>
        </w:rPr>
        <w:t>, and th</w:t>
      </w:r>
      <w:r w:rsidR="0093134E">
        <w:rPr>
          <w:rFonts w:cs="Open Sans"/>
        </w:rPr>
        <w:t xml:space="preserve">e </w:t>
      </w:r>
      <w:r w:rsidR="00B1629B">
        <w:rPr>
          <w:rFonts w:cs="Open Sans"/>
        </w:rPr>
        <w:t>ever-increasing</w:t>
      </w:r>
      <w:r w:rsidR="0093134E">
        <w:rPr>
          <w:rFonts w:cs="Open Sans"/>
        </w:rPr>
        <w:t xml:space="preserve"> turnover of news stories within those online spaces. </w:t>
      </w:r>
    </w:p>
    <w:p w14:paraId="594A5001" w14:textId="2FC61FBC" w:rsidR="006F3B4C" w:rsidRDefault="009B1BC0" w:rsidP="00657920">
      <w:pPr>
        <w:pStyle w:val="Content"/>
        <w:rPr>
          <w:rFonts w:cs="Open Sans"/>
        </w:rPr>
      </w:pPr>
      <w:r>
        <w:rPr>
          <w:rFonts w:cs="Open Sans"/>
        </w:rPr>
        <w:t xml:space="preserve">Estimates of where people </w:t>
      </w:r>
      <w:r w:rsidR="00B1629B">
        <w:rPr>
          <w:rFonts w:cs="Open Sans"/>
        </w:rPr>
        <w:t>access</w:t>
      </w:r>
      <w:r>
        <w:rPr>
          <w:rFonts w:cs="Open Sans"/>
        </w:rPr>
        <w:t xml:space="preserve"> their news s</w:t>
      </w:r>
      <w:r w:rsidR="006E054A">
        <w:rPr>
          <w:rFonts w:cs="Open Sans"/>
        </w:rPr>
        <w:t xml:space="preserve">uggest that </w:t>
      </w:r>
      <w:r w:rsidR="00B1629B">
        <w:rPr>
          <w:rFonts w:cs="Open Sans"/>
        </w:rPr>
        <w:t>‘T</w:t>
      </w:r>
      <w:r>
        <w:rPr>
          <w:rFonts w:cs="Open Sans"/>
        </w:rPr>
        <w:t xml:space="preserve">elevision </w:t>
      </w:r>
      <w:r w:rsidR="00B1629B">
        <w:rPr>
          <w:rFonts w:cs="Open Sans"/>
        </w:rPr>
        <w:t>O</w:t>
      </w:r>
      <w:r>
        <w:rPr>
          <w:rFonts w:cs="Open Sans"/>
        </w:rPr>
        <w:t>nly</w:t>
      </w:r>
      <w:r w:rsidR="00B1629B">
        <w:rPr>
          <w:rFonts w:cs="Open Sans"/>
        </w:rPr>
        <w:t>’</w:t>
      </w:r>
      <w:r>
        <w:rPr>
          <w:rFonts w:cs="Open Sans"/>
        </w:rPr>
        <w:t xml:space="preserve"> remain</w:t>
      </w:r>
      <w:r w:rsidR="006E054A">
        <w:rPr>
          <w:rFonts w:cs="Open Sans"/>
        </w:rPr>
        <w:t>s</w:t>
      </w:r>
      <w:r>
        <w:rPr>
          <w:rFonts w:cs="Open Sans"/>
        </w:rPr>
        <w:t xml:space="preserve"> </w:t>
      </w:r>
      <w:r w:rsidR="003D5D7F">
        <w:rPr>
          <w:rFonts w:cs="Open Sans"/>
        </w:rPr>
        <w:t xml:space="preserve">only </w:t>
      </w:r>
      <w:r w:rsidR="00D90077">
        <w:rPr>
          <w:rFonts w:cs="Open Sans"/>
        </w:rPr>
        <w:t>slightl</w:t>
      </w:r>
      <w:r>
        <w:rPr>
          <w:rFonts w:cs="Open Sans"/>
        </w:rPr>
        <w:t>y ahead of “Any Internet”</w:t>
      </w:r>
      <w:r>
        <w:rPr>
          <w:rStyle w:val="FootnoteReference"/>
          <w:rFonts w:cs="Open Sans"/>
        </w:rPr>
        <w:footnoteReference w:id="13"/>
      </w:r>
      <w:r w:rsidR="006E054A">
        <w:rPr>
          <w:rFonts w:cs="Open Sans"/>
        </w:rPr>
        <w:t>,</w:t>
      </w:r>
      <w:r w:rsidR="00D90077">
        <w:rPr>
          <w:rFonts w:cs="Open Sans"/>
        </w:rPr>
        <w:t xml:space="preserve"> </w:t>
      </w:r>
      <w:r w:rsidR="004C05A8">
        <w:rPr>
          <w:rFonts w:cs="Open Sans"/>
        </w:rPr>
        <w:t>with social media growing to the third most frequently used source of news</w:t>
      </w:r>
      <w:r w:rsidR="0045075E">
        <w:rPr>
          <w:rStyle w:val="FootnoteReference"/>
          <w:rFonts w:cs="Open Sans"/>
        </w:rPr>
        <w:footnoteReference w:id="14"/>
      </w:r>
      <w:r w:rsidR="0045075E">
        <w:rPr>
          <w:rFonts w:cs="Open Sans"/>
        </w:rPr>
        <w:t xml:space="preserve"> across all age groups. Younger consumers of news are more likely to get </w:t>
      </w:r>
      <w:r w:rsidR="006E054A">
        <w:rPr>
          <w:rFonts w:cs="Open Sans"/>
        </w:rPr>
        <w:t>most of</w:t>
      </w:r>
      <w:r w:rsidR="0045075E">
        <w:rPr>
          <w:rFonts w:cs="Open Sans"/>
        </w:rPr>
        <w:t xml:space="preserve"> their news from social media or other internet sources, but the internet has become </w:t>
      </w:r>
      <w:r w:rsidR="006E054A">
        <w:rPr>
          <w:rFonts w:cs="Open Sans"/>
        </w:rPr>
        <w:t>a primary source</w:t>
      </w:r>
      <w:r w:rsidR="00955915">
        <w:rPr>
          <w:rFonts w:cs="Open Sans"/>
        </w:rPr>
        <w:t xml:space="preserve"> for all age </w:t>
      </w:r>
      <w:r w:rsidR="00955915" w:rsidDel="00181A88">
        <w:rPr>
          <w:rFonts w:cs="Open Sans"/>
        </w:rPr>
        <w:t>groups</w:t>
      </w:r>
      <w:r w:rsidR="00181A88">
        <w:rPr>
          <w:rFonts w:cs="Open Sans"/>
        </w:rPr>
        <w:t>,</w:t>
      </w:r>
      <w:r w:rsidR="00955915">
        <w:rPr>
          <w:rFonts w:cs="Open Sans"/>
        </w:rPr>
        <w:t xml:space="preserve"> albeit sometimes alongside television.</w:t>
      </w:r>
    </w:p>
    <w:p w14:paraId="7CA291B8" w14:textId="20A0AC8A" w:rsidR="00955915" w:rsidRDefault="00955915" w:rsidP="00657920">
      <w:pPr>
        <w:pStyle w:val="Content"/>
        <w:rPr>
          <w:rFonts w:cs="Open Sans"/>
        </w:rPr>
      </w:pPr>
      <w:r>
        <w:rPr>
          <w:rFonts w:cs="Open Sans"/>
        </w:rPr>
        <w:lastRenderedPageBreak/>
        <w:t xml:space="preserve">Internet engagement hinges on engagement </w:t>
      </w:r>
      <w:r w:rsidR="003D5D7F">
        <w:rPr>
          <w:rFonts w:cs="Open Sans"/>
        </w:rPr>
        <w:t xml:space="preserve">— </w:t>
      </w:r>
      <w:r>
        <w:rPr>
          <w:rFonts w:cs="Open Sans"/>
        </w:rPr>
        <w:t>clicks, video watches, shares, and likes</w:t>
      </w:r>
      <w:r w:rsidR="003D5D7F">
        <w:rPr>
          <w:rFonts w:cs="Open Sans"/>
        </w:rPr>
        <w:t xml:space="preserve"> —</w:t>
      </w:r>
      <w:r>
        <w:rPr>
          <w:rFonts w:cs="Open Sans"/>
        </w:rPr>
        <w:t xml:space="preserve"> and this has altered the way </w:t>
      </w:r>
      <w:r w:rsidR="003D5D7F">
        <w:rPr>
          <w:rFonts w:cs="Open Sans"/>
        </w:rPr>
        <w:t>we report news</w:t>
      </w:r>
      <w:r>
        <w:rPr>
          <w:rFonts w:cs="Open Sans"/>
        </w:rPr>
        <w:t xml:space="preserve"> and how we engage with it</w:t>
      </w:r>
      <w:r w:rsidR="005E5133">
        <w:rPr>
          <w:rStyle w:val="FootnoteReference"/>
          <w:rFonts w:cs="Open Sans"/>
        </w:rPr>
        <w:footnoteReference w:id="15"/>
      </w:r>
      <w:r>
        <w:rPr>
          <w:rFonts w:cs="Open Sans"/>
        </w:rPr>
        <w:t xml:space="preserve">. </w:t>
      </w:r>
    </w:p>
    <w:p w14:paraId="12EC1B4B" w14:textId="0519EBF5" w:rsidR="006F3B4C" w:rsidRPr="00D06C62" w:rsidRDefault="006F3B4C" w:rsidP="00657920">
      <w:pPr>
        <w:pStyle w:val="Content"/>
        <w:rPr>
          <w:rFonts w:cs="Open Sans"/>
        </w:rPr>
      </w:pPr>
      <w:r w:rsidRPr="00D06C62">
        <w:rPr>
          <w:rFonts w:cs="Open Sans"/>
        </w:rPr>
        <w:t xml:space="preserve">Even as someone working </w:t>
      </w:r>
      <w:r w:rsidR="00B93DBC">
        <w:rPr>
          <w:rFonts w:cs="Open Sans"/>
        </w:rPr>
        <w:t>in</w:t>
      </w:r>
      <w:r w:rsidR="003D5D7F">
        <w:rPr>
          <w:rFonts w:cs="Open Sans"/>
        </w:rPr>
        <w:t xml:space="preserve"> disability hate crime</w:t>
      </w:r>
      <w:r w:rsidRPr="00D06C62">
        <w:rPr>
          <w:rFonts w:cs="Open Sans"/>
        </w:rPr>
        <w:t xml:space="preserve">, there were cases with significant coverage which I had not heard of before I specifically searched. The </w:t>
      </w:r>
      <w:r w:rsidR="00AF7D8E">
        <w:rPr>
          <w:rFonts w:cs="Open Sans"/>
        </w:rPr>
        <w:t xml:space="preserve">changing nature of news reporting and how we access it can, </w:t>
      </w:r>
      <w:r w:rsidR="00CD30A6">
        <w:rPr>
          <w:rFonts w:cs="Open Sans"/>
        </w:rPr>
        <w:t>unfortunately, lead</w:t>
      </w:r>
      <w:r w:rsidRPr="00D06C62">
        <w:rPr>
          <w:rFonts w:cs="Open Sans"/>
        </w:rPr>
        <w:t xml:space="preserve"> to </w:t>
      </w:r>
      <w:r w:rsidR="005C6745">
        <w:rPr>
          <w:rFonts w:cs="Open Sans"/>
        </w:rPr>
        <w:t>even</w:t>
      </w:r>
      <w:r w:rsidRPr="00D06C62">
        <w:rPr>
          <w:rFonts w:cs="Open Sans"/>
        </w:rPr>
        <w:t xml:space="preserve"> horrific crimes getting</w:t>
      </w:r>
      <w:r w:rsidR="005C6745">
        <w:rPr>
          <w:rFonts w:cs="Open Sans"/>
        </w:rPr>
        <w:t xml:space="preserve"> missed</w:t>
      </w:r>
      <w:r w:rsidR="00CD30A6">
        <w:rPr>
          <w:rFonts w:cs="Open Sans"/>
        </w:rPr>
        <w:t>.</w:t>
      </w:r>
    </w:p>
    <w:p w14:paraId="06DFD96D" w14:textId="77777777" w:rsidR="006F3B4C" w:rsidRPr="00D06C62" w:rsidRDefault="006F3B4C" w:rsidP="006F3B4C">
      <w:pPr>
        <w:pStyle w:val="Content"/>
        <w:rPr>
          <w:rFonts w:cs="Open Sans"/>
        </w:rPr>
      </w:pPr>
    </w:p>
    <w:p w14:paraId="546C8AA0" w14:textId="11EF791A" w:rsidR="006F3B4C" w:rsidRPr="00D06C62" w:rsidRDefault="006F3B4C" w:rsidP="00911CEA">
      <w:pPr>
        <w:pStyle w:val="Heading2"/>
        <w:spacing w:before="240" w:after="240" w:line="360" w:lineRule="auto"/>
        <w:rPr>
          <w:rFonts w:cs="Open Sans"/>
        </w:rPr>
      </w:pPr>
      <w:bookmarkStart w:id="13" w:name="_Toc120713460"/>
      <w:r w:rsidRPr="00D06C62">
        <w:rPr>
          <w:rFonts w:cs="Open Sans"/>
        </w:rPr>
        <w:t xml:space="preserve">Types of </w:t>
      </w:r>
      <w:r w:rsidR="004F10C9">
        <w:rPr>
          <w:rFonts w:cs="Open Sans"/>
        </w:rPr>
        <w:t>Acts and / or Crimes</w:t>
      </w:r>
      <w:bookmarkEnd w:id="13"/>
    </w:p>
    <w:p w14:paraId="5B8971D0" w14:textId="0266A391" w:rsidR="00CC262A" w:rsidRDefault="006F3B4C" w:rsidP="00657920">
      <w:pPr>
        <w:pStyle w:val="Content"/>
        <w:rPr>
          <w:rFonts w:cs="Open Sans"/>
        </w:rPr>
      </w:pPr>
      <w:r w:rsidRPr="00D06C62">
        <w:rPr>
          <w:rFonts w:cs="Open Sans"/>
        </w:rPr>
        <w:t xml:space="preserve">As discussed in the introduction, </w:t>
      </w:r>
      <w:r w:rsidR="00A513BE">
        <w:rPr>
          <w:rFonts w:cs="Open Sans"/>
        </w:rPr>
        <w:t xml:space="preserve">we included reports of </w:t>
      </w:r>
      <w:r w:rsidRPr="00D06C62">
        <w:rPr>
          <w:rFonts w:cs="Open Sans"/>
        </w:rPr>
        <w:t>a wide range</w:t>
      </w:r>
      <w:r w:rsidR="004C5ECA">
        <w:rPr>
          <w:rFonts w:cs="Open Sans"/>
        </w:rPr>
        <w:t xml:space="preserve"> </w:t>
      </w:r>
      <w:r w:rsidR="00CD30A6">
        <w:rPr>
          <w:rFonts w:cs="Open Sans"/>
        </w:rPr>
        <w:t xml:space="preserve">of </w:t>
      </w:r>
      <w:r w:rsidR="004C5ECA">
        <w:rPr>
          <w:rFonts w:cs="Open Sans"/>
        </w:rPr>
        <w:t>acts and crimes</w:t>
      </w:r>
      <w:r w:rsidRPr="00D06C62">
        <w:rPr>
          <w:rFonts w:cs="Open Sans"/>
        </w:rPr>
        <w:t xml:space="preserve"> across the </w:t>
      </w:r>
      <w:r>
        <w:rPr>
          <w:rFonts w:cs="Open Sans"/>
        </w:rPr>
        <w:t>300</w:t>
      </w:r>
      <w:r w:rsidRPr="00D06C62">
        <w:rPr>
          <w:rFonts w:cs="Open Sans"/>
        </w:rPr>
        <w:t xml:space="preserve"> cases. </w:t>
      </w:r>
    </w:p>
    <w:p w14:paraId="2A345F53" w14:textId="5C7A9707" w:rsidR="00CC262A" w:rsidRDefault="009611F3" w:rsidP="00657920">
      <w:pPr>
        <w:pStyle w:val="Content"/>
        <w:rPr>
          <w:rFonts w:cs="Open Sans"/>
        </w:rPr>
      </w:pPr>
      <w:r>
        <w:rPr>
          <w:rFonts w:cs="Open Sans"/>
        </w:rPr>
        <w:t xml:space="preserve">We have not </w:t>
      </w:r>
      <w:r w:rsidR="0092265F">
        <w:rPr>
          <w:rFonts w:cs="Open Sans"/>
        </w:rPr>
        <w:t>label</w:t>
      </w:r>
      <w:r w:rsidR="000041DC">
        <w:rPr>
          <w:rFonts w:cs="Open Sans"/>
        </w:rPr>
        <w:t>l</w:t>
      </w:r>
      <w:r w:rsidR="0092265F">
        <w:rPr>
          <w:rFonts w:cs="Open Sans"/>
        </w:rPr>
        <w:t>ed</w:t>
      </w:r>
      <w:r>
        <w:rPr>
          <w:rFonts w:cs="Open Sans"/>
        </w:rPr>
        <w:t xml:space="preserve"> this section specifically as “crimes” because we used </w:t>
      </w:r>
      <w:r w:rsidR="00F23274">
        <w:rPr>
          <w:rFonts w:cs="Open Sans"/>
        </w:rPr>
        <w:t>general, non-legal terms</w:t>
      </w:r>
      <w:r>
        <w:rPr>
          <w:rFonts w:cs="Open Sans"/>
        </w:rPr>
        <w:t xml:space="preserve"> to categorise case</w:t>
      </w:r>
      <w:r w:rsidR="00DD3A80">
        <w:rPr>
          <w:rFonts w:cs="Open Sans"/>
        </w:rPr>
        <w:t>s</w:t>
      </w:r>
      <w:r>
        <w:rPr>
          <w:rFonts w:cs="Open Sans"/>
        </w:rPr>
        <w:t>.</w:t>
      </w:r>
      <w:r w:rsidR="003B3109">
        <w:rPr>
          <w:rFonts w:cs="Open Sans"/>
        </w:rPr>
        <w:t xml:space="preserve"> There are different </w:t>
      </w:r>
      <w:r w:rsidR="00DD3A80">
        <w:rPr>
          <w:rFonts w:cs="Open Sans"/>
        </w:rPr>
        <w:t xml:space="preserve">criminal </w:t>
      </w:r>
      <w:r w:rsidR="003B3109">
        <w:rPr>
          <w:rFonts w:cs="Open Sans"/>
        </w:rPr>
        <w:t>offenses within each category which a crime c</w:t>
      </w:r>
      <w:r w:rsidR="00DF60B4">
        <w:rPr>
          <w:rFonts w:cs="Open Sans"/>
        </w:rPr>
        <w:t>ould</w:t>
      </w:r>
      <w:r w:rsidR="003B3109">
        <w:rPr>
          <w:rFonts w:cs="Open Sans"/>
        </w:rPr>
        <w:t xml:space="preserve"> be charged as</w:t>
      </w:r>
      <w:r w:rsidR="00DD3A80">
        <w:rPr>
          <w:rFonts w:cs="Open Sans"/>
        </w:rPr>
        <w:t>,</w:t>
      </w:r>
      <w:r w:rsidR="00113F08">
        <w:rPr>
          <w:rFonts w:cs="Open Sans"/>
        </w:rPr>
        <w:t xml:space="preserve"> and the exact offense prosecuted was not always reported</w:t>
      </w:r>
      <w:r w:rsidR="00DD3A80">
        <w:rPr>
          <w:rFonts w:cs="Open Sans"/>
        </w:rPr>
        <w:t>. Neither</w:t>
      </w:r>
      <w:r w:rsidR="00F23274">
        <w:rPr>
          <w:rFonts w:cs="Open Sans"/>
        </w:rPr>
        <w:t xml:space="preserve"> could court transcripts or summary judgments regularly be located.</w:t>
      </w:r>
      <w:r w:rsidR="00190505">
        <w:rPr>
          <w:rFonts w:cs="Open Sans"/>
        </w:rPr>
        <w:t xml:space="preserve"> </w:t>
      </w:r>
    </w:p>
    <w:p w14:paraId="18EFEA1D" w14:textId="3A3C27BB" w:rsidR="004C5ECA" w:rsidRDefault="00DD3A80" w:rsidP="00657920">
      <w:pPr>
        <w:pStyle w:val="Content"/>
        <w:rPr>
          <w:rFonts w:cs="Open Sans"/>
        </w:rPr>
      </w:pPr>
      <w:r>
        <w:rPr>
          <w:rFonts w:cs="Open Sans"/>
        </w:rPr>
        <w:t>We felt that l</w:t>
      </w:r>
      <w:r w:rsidR="00190505">
        <w:rPr>
          <w:rFonts w:cs="Open Sans"/>
        </w:rPr>
        <w:t xml:space="preserve">eaving </w:t>
      </w:r>
      <w:r w:rsidR="00D462A9">
        <w:rPr>
          <w:rFonts w:cs="Open Sans"/>
        </w:rPr>
        <w:t xml:space="preserve">out </w:t>
      </w:r>
      <w:r w:rsidR="00CC262A">
        <w:rPr>
          <w:rFonts w:cs="Open Sans"/>
        </w:rPr>
        <w:t xml:space="preserve">categorisation </w:t>
      </w:r>
      <w:r>
        <w:rPr>
          <w:rFonts w:cs="Open Sans"/>
        </w:rPr>
        <w:t>entirely</w:t>
      </w:r>
      <w:r w:rsidR="000041DC">
        <w:rPr>
          <w:rFonts w:cs="Open Sans"/>
        </w:rPr>
        <w:t xml:space="preserve"> </w:t>
      </w:r>
      <w:r w:rsidR="00190505">
        <w:rPr>
          <w:rFonts w:cs="Open Sans"/>
        </w:rPr>
        <w:t xml:space="preserve">would have </w:t>
      </w:r>
      <w:r w:rsidR="00CC262A">
        <w:rPr>
          <w:rFonts w:cs="Open Sans"/>
        </w:rPr>
        <w:t>omitted</w:t>
      </w:r>
      <w:r w:rsidR="00190505">
        <w:rPr>
          <w:rFonts w:cs="Open Sans"/>
        </w:rPr>
        <w:t xml:space="preserve"> </w:t>
      </w:r>
      <w:r w:rsidR="00CC262A">
        <w:rPr>
          <w:rFonts w:cs="Open Sans"/>
        </w:rPr>
        <w:t xml:space="preserve">information </w:t>
      </w:r>
      <w:r>
        <w:rPr>
          <w:rFonts w:cs="Open Sans"/>
        </w:rPr>
        <w:t>of importance to</w:t>
      </w:r>
      <w:r w:rsidR="00190505">
        <w:rPr>
          <w:rFonts w:cs="Open Sans"/>
        </w:rPr>
        <w:t xml:space="preserve"> the report</w:t>
      </w:r>
      <w:r>
        <w:rPr>
          <w:rFonts w:cs="Open Sans"/>
        </w:rPr>
        <w:t xml:space="preserve">; for this </w:t>
      </w:r>
      <w:r w:rsidR="00B93DBC">
        <w:rPr>
          <w:rFonts w:cs="Open Sans"/>
        </w:rPr>
        <w:t>reason,</w:t>
      </w:r>
      <w:r w:rsidR="00190505">
        <w:rPr>
          <w:rFonts w:cs="Open Sans"/>
        </w:rPr>
        <w:t xml:space="preserve"> we </w:t>
      </w:r>
      <w:r w:rsidR="00CC262A">
        <w:rPr>
          <w:rFonts w:cs="Open Sans"/>
        </w:rPr>
        <w:t>chose</w:t>
      </w:r>
      <w:r w:rsidR="00190505">
        <w:rPr>
          <w:rFonts w:cs="Open Sans"/>
        </w:rPr>
        <w:t xml:space="preserve"> to </w:t>
      </w:r>
      <w:r w:rsidR="00190505">
        <w:rPr>
          <w:rFonts w:cs="Open Sans"/>
        </w:rPr>
        <w:lastRenderedPageBreak/>
        <w:t xml:space="preserve">categorise acts and crimes </w:t>
      </w:r>
      <w:r w:rsidR="00CC262A">
        <w:rPr>
          <w:rFonts w:cs="Open Sans"/>
        </w:rPr>
        <w:t>more generally</w:t>
      </w:r>
      <w:r w:rsidR="00190505">
        <w:rPr>
          <w:rFonts w:cs="Open Sans"/>
        </w:rPr>
        <w:t>.</w:t>
      </w:r>
      <w:r>
        <w:rPr>
          <w:rFonts w:cs="Open Sans"/>
        </w:rPr>
        <w:t xml:space="preserve"> Some cases involved multiple acts.</w:t>
      </w:r>
    </w:p>
    <w:p w14:paraId="630EF7C3" w14:textId="02EA01E2" w:rsidR="006F3B4C" w:rsidRDefault="006F3B4C" w:rsidP="00880BCC">
      <w:pPr>
        <w:pStyle w:val="Content"/>
        <w:rPr>
          <w:rFonts w:cs="Open Sans"/>
        </w:rPr>
      </w:pPr>
      <w:r w:rsidRPr="00D06C62">
        <w:rPr>
          <w:rFonts w:cs="Open Sans"/>
        </w:rPr>
        <w:t xml:space="preserve">The </w:t>
      </w:r>
      <w:r>
        <w:rPr>
          <w:rFonts w:cs="Open Sans"/>
        </w:rPr>
        <w:t>five</w:t>
      </w:r>
      <w:r w:rsidRPr="00D06C62">
        <w:rPr>
          <w:rFonts w:cs="Open Sans"/>
        </w:rPr>
        <w:t xml:space="preserve"> most common </w:t>
      </w:r>
      <w:r w:rsidR="00190505">
        <w:rPr>
          <w:rFonts w:cs="Open Sans"/>
        </w:rPr>
        <w:t>categories</w:t>
      </w:r>
      <w:r w:rsidR="00DD3A80">
        <w:rPr>
          <w:rFonts w:cs="Open Sans"/>
        </w:rPr>
        <w:t xml:space="preserve"> tagged</w:t>
      </w:r>
      <w:r w:rsidR="00190505">
        <w:rPr>
          <w:rFonts w:cs="Open Sans"/>
        </w:rPr>
        <w:t xml:space="preserve"> </w:t>
      </w:r>
      <w:r w:rsidRPr="00D06C62">
        <w:rPr>
          <w:rFonts w:cs="Open Sans"/>
        </w:rPr>
        <w:t>were:</w:t>
      </w:r>
    </w:p>
    <w:p w14:paraId="5043D34C" w14:textId="3E7E0ED0" w:rsidR="006F3B4C" w:rsidRDefault="006F3B4C" w:rsidP="001673A3">
      <w:pPr>
        <w:pStyle w:val="Content"/>
        <w:numPr>
          <w:ilvl w:val="0"/>
          <w:numId w:val="3"/>
        </w:numPr>
        <w:rPr>
          <w:rFonts w:cs="Open Sans"/>
        </w:rPr>
      </w:pPr>
      <w:r>
        <w:rPr>
          <w:rFonts w:cs="Open Sans"/>
        </w:rPr>
        <w:t>Murder</w:t>
      </w:r>
      <w:r w:rsidR="00DF60B4">
        <w:rPr>
          <w:rFonts w:cs="Open Sans"/>
        </w:rPr>
        <w:t>.</w:t>
      </w:r>
    </w:p>
    <w:p w14:paraId="550DF42F" w14:textId="32C60363" w:rsidR="006F3B4C" w:rsidRDefault="000841C9" w:rsidP="001673A3">
      <w:pPr>
        <w:pStyle w:val="Content"/>
        <w:numPr>
          <w:ilvl w:val="0"/>
          <w:numId w:val="3"/>
        </w:numPr>
        <w:rPr>
          <w:rFonts w:cs="Open Sans"/>
        </w:rPr>
      </w:pPr>
      <w:r>
        <w:rPr>
          <w:rFonts w:cs="Open Sans"/>
        </w:rPr>
        <w:t xml:space="preserve">Physical </w:t>
      </w:r>
      <w:r w:rsidR="006F3B4C">
        <w:rPr>
          <w:rFonts w:cs="Open Sans"/>
        </w:rPr>
        <w:t>Assault</w:t>
      </w:r>
      <w:r w:rsidR="00DF60B4">
        <w:rPr>
          <w:rFonts w:cs="Open Sans"/>
        </w:rPr>
        <w:t>.</w:t>
      </w:r>
    </w:p>
    <w:p w14:paraId="135D864B" w14:textId="691DD7D9" w:rsidR="006F3B4C" w:rsidRDefault="006F3B4C" w:rsidP="001673A3">
      <w:pPr>
        <w:pStyle w:val="Content"/>
        <w:numPr>
          <w:ilvl w:val="0"/>
          <w:numId w:val="3"/>
        </w:numPr>
        <w:rPr>
          <w:rFonts w:cs="Open Sans"/>
        </w:rPr>
      </w:pPr>
      <w:r>
        <w:rPr>
          <w:rFonts w:cs="Open Sans"/>
        </w:rPr>
        <w:t>Harassment</w:t>
      </w:r>
      <w:r w:rsidR="000841C9">
        <w:rPr>
          <w:rFonts w:cs="Open Sans"/>
        </w:rPr>
        <w:t>.</w:t>
      </w:r>
    </w:p>
    <w:p w14:paraId="05F5AF36" w14:textId="1F73DFCA" w:rsidR="006F3B4C" w:rsidRDefault="006F3B4C" w:rsidP="001673A3">
      <w:pPr>
        <w:pStyle w:val="Content"/>
        <w:numPr>
          <w:ilvl w:val="0"/>
          <w:numId w:val="3"/>
        </w:numPr>
        <w:rPr>
          <w:rFonts w:cs="Open Sans"/>
        </w:rPr>
      </w:pPr>
      <w:r>
        <w:rPr>
          <w:rFonts w:cs="Open Sans"/>
        </w:rPr>
        <w:t>Abuse and Neglect</w:t>
      </w:r>
      <w:r w:rsidR="00DF60B4">
        <w:rPr>
          <w:rFonts w:cs="Open Sans"/>
        </w:rPr>
        <w:t>.</w:t>
      </w:r>
    </w:p>
    <w:p w14:paraId="3D4F546D" w14:textId="55D9C17A" w:rsidR="006F3B4C" w:rsidRPr="00D06C62" w:rsidRDefault="006F3B4C" w:rsidP="001673A3">
      <w:pPr>
        <w:pStyle w:val="Content"/>
        <w:numPr>
          <w:ilvl w:val="0"/>
          <w:numId w:val="3"/>
        </w:numPr>
        <w:rPr>
          <w:rFonts w:cs="Open Sans"/>
        </w:rPr>
      </w:pPr>
      <w:r>
        <w:rPr>
          <w:rFonts w:cs="Open Sans"/>
        </w:rPr>
        <w:t>Sexual Assault and Rape</w:t>
      </w:r>
      <w:r w:rsidR="00DF60B4">
        <w:rPr>
          <w:rFonts w:cs="Open Sans"/>
        </w:rPr>
        <w:t>.</w:t>
      </w:r>
    </w:p>
    <w:p w14:paraId="2766C113" w14:textId="77777777" w:rsidR="006F3B4C" w:rsidRPr="00D06C62" w:rsidRDefault="006F3B4C" w:rsidP="00880BCC">
      <w:pPr>
        <w:pStyle w:val="Content"/>
        <w:rPr>
          <w:rFonts w:cs="Open Sans"/>
        </w:rPr>
      </w:pPr>
    </w:p>
    <w:p w14:paraId="54EF41B1" w14:textId="133FEEBE" w:rsidR="006F3B4C" w:rsidRPr="00D06C62" w:rsidRDefault="006F3B4C" w:rsidP="00657920">
      <w:pPr>
        <w:pStyle w:val="Content"/>
        <w:rPr>
          <w:rFonts w:cs="Open Sans"/>
        </w:rPr>
      </w:pPr>
      <w:r w:rsidRPr="00D06C62">
        <w:rPr>
          <w:rFonts w:cs="Open Sans"/>
        </w:rPr>
        <w:t xml:space="preserve">Even from those </w:t>
      </w:r>
      <w:r>
        <w:rPr>
          <w:rFonts w:cs="Open Sans"/>
        </w:rPr>
        <w:t>five</w:t>
      </w:r>
      <w:r w:rsidR="009E4C05">
        <w:rPr>
          <w:rFonts w:cs="Open Sans"/>
        </w:rPr>
        <w:t xml:space="preserve"> categories</w:t>
      </w:r>
      <w:r w:rsidRPr="00D06C62">
        <w:rPr>
          <w:rFonts w:cs="Open Sans"/>
        </w:rPr>
        <w:t>, it is apparent that violent acts are involved in a large proportion of crimes against Disabled people reported</w:t>
      </w:r>
      <w:r w:rsidR="009E7920">
        <w:rPr>
          <w:rFonts w:cs="Open Sans"/>
        </w:rPr>
        <w:t xml:space="preserve"> in the media</w:t>
      </w:r>
      <w:r w:rsidRPr="00D06C62">
        <w:rPr>
          <w:rFonts w:cs="Open Sans"/>
        </w:rPr>
        <w:t xml:space="preserve">. Cyber-harm, by comparison, was reported in 2 out of </w:t>
      </w:r>
      <w:r>
        <w:rPr>
          <w:rFonts w:cs="Open Sans"/>
        </w:rPr>
        <w:t>300</w:t>
      </w:r>
      <w:r w:rsidRPr="00D06C62">
        <w:rPr>
          <w:rFonts w:cs="Open Sans"/>
        </w:rPr>
        <w:t xml:space="preserve"> cases </w:t>
      </w:r>
      <w:r w:rsidR="00DD3A80">
        <w:rPr>
          <w:rFonts w:cs="Open Sans"/>
        </w:rPr>
        <w:t>from our sample</w:t>
      </w:r>
      <w:r w:rsidRPr="00D06C62">
        <w:rPr>
          <w:rFonts w:cs="Open Sans"/>
        </w:rPr>
        <w:t xml:space="preserve">. </w:t>
      </w:r>
    </w:p>
    <w:p w14:paraId="06B91851" w14:textId="18AE9910" w:rsidR="004F0978" w:rsidRDefault="006F3B4C" w:rsidP="00657920">
      <w:pPr>
        <w:pStyle w:val="Content"/>
        <w:rPr>
          <w:rFonts w:cs="Open Sans"/>
        </w:rPr>
      </w:pPr>
      <w:r w:rsidRPr="00D06C62">
        <w:rPr>
          <w:rFonts w:cs="Open Sans"/>
        </w:rPr>
        <w:t xml:space="preserve">Of the </w:t>
      </w:r>
      <w:r>
        <w:rPr>
          <w:rFonts w:cs="Open Sans"/>
        </w:rPr>
        <w:t>300</w:t>
      </w:r>
      <w:r w:rsidRPr="00D06C62">
        <w:rPr>
          <w:rFonts w:cs="Open Sans"/>
        </w:rPr>
        <w:t xml:space="preserve"> cases, </w:t>
      </w:r>
      <w:r w:rsidR="00A0272A">
        <w:rPr>
          <w:rFonts w:cs="Open Sans"/>
        </w:rPr>
        <w:t>263</w:t>
      </w:r>
      <w:r w:rsidRPr="00D06C62">
        <w:rPr>
          <w:rFonts w:cs="Open Sans"/>
        </w:rPr>
        <w:t xml:space="preserve"> had details of physical violence against the victim reported in </w:t>
      </w:r>
      <w:r w:rsidR="0094612C">
        <w:rPr>
          <w:rFonts w:cs="Open Sans"/>
        </w:rPr>
        <w:t>one or more news articles</w:t>
      </w:r>
      <w:r w:rsidRPr="00D06C62">
        <w:rPr>
          <w:rFonts w:cs="Open Sans"/>
        </w:rPr>
        <w:t xml:space="preserve">. </w:t>
      </w:r>
      <w:r w:rsidR="00A0272A">
        <w:rPr>
          <w:rFonts w:cs="Open Sans"/>
        </w:rPr>
        <w:t>37</w:t>
      </w:r>
      <w:r w:rsidRPr="00D06C62">
        <w:rPr>
          <w:rFonts w:cs="Open Sans"/>
        </w:rPr>
        <w:t xml:space="preserve"> did not detail any </w:t>
      </w:r>
      <w:r>
        <w:rPr>
          <w:rFonts w:cs="Open Sans"/>
        </w:rPr>
        <w:t xml:space="preserve">specific </w:t>
      </w:r>
      <w:r w:rsidRPr="00D06C62">
        <w:rPr>
          <w:rFonts w:cs="Open Sans"/>
        </w:rPr>
        <w:t>physical violence against the victim</w:t>
      </w:r>
      <w:r w:rsidR="00A0272A">
        <w:rPr>
          <w:rFonts w:cs="Open Sans"/>
        </w:rPr>
        <w:t>.</w:t>
      </w:r>
    </w:p>
    <w:p w14:paraId="2209E4AB" w14:textId="2A7B760A" w:rsidR="006F3B4C" w:rsidRPr="00D06C62" w:rsidRDefault="00DD3A80" w:rsidP="00657920">
      <w:pPr>
        <w:pStyle w:val="Content"/>
        <w:rPr>
          <w:rFonts w:cs="Open Sans"/>
        </w:rPr>
      </w:pPr>
      <w:r>
        <w:rPr>
          <w:rFonts w:cs="Open Sans"/>
        </w:rPr>
        <w:t>This</w:t>
      </w:r>
      <w:r w:rsidR="006F3B4C" w:rsidRPr="00D06C62">
        <w:rPr>
          <w:rFonts w:cs="Open Sans"/>
        </w:rPr>
        <w:t xml:space="preserve"> is not to downplay the impact that non-physically violent crime can have on victims, as th</w:t>
      </w:r>
      <w:r>
        <w:rPr>
          <w:rFonts w:cs="Open Sans"/>
        </w:rPr>
        <w:t>ose crimes</w:t>
      </w:r>
      <w:r w:rsidR="006F3B4C" w:rsidRPr="00D06C62">
        <w:rPr>
          <w:rFonts w:cs="Open Sans"/>
        </w:rPr>
        <w:t xml:space="preserve"> can cause </w:t>
      </w:r>
      <w:r w:rsidR="004F0978">
        <w:rPr>
          <w:rFonts w:cs="Open Sans"/>
        </w:rPr>
        <w:t xml:space="preserve">considerable and long-term </w:t>
      </w:r>
      <w:r w:rsidR="006F3B4C" w:rsidRPr="00D06C62">
        <w:rPr>
          <w:rFonts w:cs="Open Sans"/>
        </w:rPr>
        <w:t>harm. It is simply to reinforce that when we are considering the cases later in the report which have evidence of being a hate crime, this is the context from which we are drawing the cases.</w:t>
      </w:r>
    </w:p>
    <w:p w14:paraId="4BE16599" w14:textId="5570ECE4" w:rsidR="006F3B4C" w:rsidRDefault="006F3B4C" w:rsidP="00880BCC">
      <w:pPr>
        <w:pStyle w:val="Content"/>
        <w:rPr>
          <w:rFonts w:cs="Open Sans"/>
        </w:rPr>
      </w:pPr>
      <w:r w:rsidRPr="00D06C62">
        <w:rPr>
          <w:rFonts w:cs="Open Sans"/>
        </w:rPr>
        <w:lastRenderedPageBreak/>
        <w:t>Of course, some stories make the news while others do not. The old saying in journalism of “if it bleeds, it leads</w:t>
      </w:r>
      <w:r w:rsidR="00DD3A80">
        <w:rPr>
          <w:rFonts w:cs="Open Sans"/>
        </w:rPr>
        <w:t>”</w:t>
      </w:r>
      <w:r w:rsidR="00016367">
        <w:rPr>
          <w:rStyle w:val="FootnoteReference"/>
          <w:rFonts w:cs="Open Sans"/>
        </w:rPr>
        <w:footnoteReference w:id="16"/>
      </w:r>
      <w:r w:rsidRPr="00D06C62">
        <w:rPr>
          <w:rFonts w:cs="Open Sans"/>
        </w:rPr>
        <w:t xml:space="preserve"> refers to the fact that news stories which are violent</w:t>
      </w:r>
      <w:r w:rsidR="00C64CB3">
        <w:rPr>
          <w:rFonts w:cs="Open Sans"/>
        </w:rPr>
        <w:t>,</w:t>
      </w:r>
      <w:r w:rsidRPr="00D06C62">
        <w:rPr>
          <w:rFonts w:cs="Open Sans"/>
        </w:rPr>
        <w:t xml:space="preserve"> disturbing</w:t>
      </w:r>
      <w:r w:rsidR="00C64CB3">
        <w:rPr>
          <w:rFonts w:cs="Open Sans"/>
        </w:rPr>
        <w:t>, or involve conflict</w:t>
      </w:r>
      <w:r w:rsidR="006760E5">
        <w:rPr>
          <w:rFonts w:cs="Open Sans"/>
        </w:rPr>
        <w:t xml:space="preserve"> or</w:t>
      </w:r>
      <w:r w:rsidR="00C64CB3">
        <w:rPr>
          <w:rFonts w:cs="Open Sans"/>
        </w:rPr>
        <w:t xml:space="preserve"> death</w:t>
      </w:r>
      <w:r w:rsidRPr="00D06C62">
        <w:rPr>
          <w:rFonts w:cs="Open Sans"/>
        </w:rPr>
        <w:t xml:space="preserve"> will sell more copies (or in the modern day, get more clicks) than those which </w:t>
      </w:r>
      <w:r w:rsidR="00B93DBC" w:rsidRPr="00D06C62">
        <w:rPr>
          <w:rFonts w:cs="Open Sans"/>
        </w:rPr>
        <w:t>are not</w:t>
      </w:r>
      <w:r w:rsidRPr="00D06C62">
        <w:rPr>
          <w:rFonts w:cs="Open Sans"/>
        </w:rPr>
        <w:t xml:space="preserve">. This skews </w:t>
      </w:r>
      <w:r w:rsidR="00D9684D">
        <w:rPr>
          <w:rFonts w:cs="Open Sans"/>
        </w:rPr>
        <w:t>the</w:t>
      </w:r>
      <w:r w:rsidRPr="00D06C62">
        <w:rPr>
          <w:rFonts w:cs="Open Sans"/>
        </w:rPr>
        <w:t xml:space="preserve"> </w:t>
      </w:r>
      <w:r w:rsidR="006760E5">
        <w:rPr>
          <w:rFonts w:cs="Open Sans"/>
        </w:rPr>
        <w:t>stories</w:t>
      </w:r>
      <w:r w:rsidRPr="00D06C62">
        <w:rPr>
          <w:rFonts w:cs="Open Sans"/>
        </w:rPr>
        <w:t xml:space="preserve"> which make the news; the violent crimes are more likely to be reported. </w:t>
      </w:r>
    </w:p>
    <w:p w14:paraId="21037D38" w14:textId="29057BFD" w:rsidR="006F3B4C" w:rsidRPr="00D06C62" w:rsidRDefault="006F3B4C" w:rsidP="00880BCC">
      <w:pPr>
        <w:pStyle w:val="Content"/>
        <w:rPr>
          <w:rFonts w:cs="Open Sans"/>
        </w:rPr>
      </w:pPr>
      <w:r w:rsidRPr="00D06C62">
        <w:rPr>
          <w:rFonts w:cs="Open Sans"/>
        </w:rPr>
        <w:t xml:space="preserve">So, that </w:t>
      </w:r>
      <w:r>
        <w:rPr>
          <w:rFonts w:cs="Open Sans"/>
        </w:rPr>
        <w:t xml:space="preserve">more than </w:t>
      </w:r>
      <w:r w:rsidRPr="00D06C62">
        <w:rPr>
          <w:rFonts w:cs="Open Sans"/>
        </w:rPr>
        <w:t xml:space="preserve">4 out of 5 of the cases reported in the news involved physical violence is not a surprise, nor is it an accurate representation </w:t>
      </w:r>
      <w:r w:rsidR="0007367D">
        <w:rPr>
          <w:rFonts w:cs="Open Sans"/>
        </w:rPr>
        <w:t xml:space="preserve">of </w:t>
      </w:r>
      <w:r w:rsidRPr="00D06C62">
        <w:rPr>
          <w:rFonts w:cs="Open Sans"/>
        </w:rPr>
        <w:t xml:space="preserve">crimes against Disabled people overall. There will be thousands of crimes against Disabled people each year which </w:t>
      </w:r>
      <w:r w:rsidR="00E26683">
        <w:rPr>
          <w:rFonts w:cs="Open Sans"/>
        </w:rPr>
        <w:t xml:space="preserve">are </w:t>
      </w:r>
      <w:r w:rsidRPr="00D06C62">
        <w:rPr>
          <w:rFonts w:cs="Open Sans"/>
        </w:rPr>
        <w:t>never</w:t>
      </w:r>
      <w:r w:rsidR="00E26683">
        <w:rPr>
          <w:rFonts w:cs="Open Sans"/>
        </w:rPr>
        <w:t xml:space="preserve"> reported, let alone</w:t>
      </w:r>
      <w:r w:rsidRPr="00D06C62">
        <w:rPr>
          <w:rFonts w:cs="Open Sans"/>
        </w:rPr>
        <w:t xml:space="preserve"> make the news.</w:t>
      </w:r>
    </w:p>
    <w:p w14:paraId="57A44EAC" w14:textId="2C6EFBC4" w:rsidR="006F3B4C" w:rsidRPr="00D06C62" w:rsidRDefault="006F3B4C" w:rsidP="00880BCC">
      <w:pPr>
        <w:pStyle w:val="Content"/>
        <w:rPr>
          <w:rFonts w:cs="Open Sans"/>
        </w:rPr>
      </w:pPr>
      <w:r w:rsidRPr="00D06C62">
        <w:rPr>
          <w:rFonts w:cs="Open Sans"/>
        </w:rPr>
        <w:t>This does not mean the information is not meaningful</w:t>
      </w:r>
      <w:r w:rsidR="00DD3A80">
        <w:rPr>
          <w:rFonts w:cs="Open Sans"/>
        </w:rPr>
        <w:t>, particularly for Inclusion London’s purposes.</w:t>
      </w:r>
    </w:p>
    <w:p w14:paraId="480B7E65" w14:textId="3D862609" w:rsidR="00651701" w:rsidRPr="00D06C62" w:rsidRDefault="006F3B4C" w:rsidP="00880BCC">
      <w:pPr>
        <w:pStyle w:val="Content"/>
        <w:rPr>
          <w:rFonts w:cs="Open Sans"/>
        </w:rPr>
      </w:pPr>
      <w:r w:rsidRPr="00D06C62">
        <w:rPr>
          <w:rFonts w:cs="Open Sans"/>
        </w:rPr>
        <w:t>The topics of how crimes are reported</w:t>
      </w:r>
      <w:r w:rsidR="00DD3A80">
        <w:rPr>
          <w:rFonts w:cs="Open Sans"/>
        </w:rPr>
        <w:t>, the language used to write about Disabled victims</w:t>
      </w:r>
      <w:r w:rsidRPr="00D06C62">
        <w:rPr>
          <w:rFonts w:cs="Open Sans"/>
        </w:rPr>
        <w:t>, whether the</w:t>
      </w:r>
      <w:r w:rsidR="00DD3A80">
        <w:rPr>
          <w:rFonts w:cs="Open Sans"/>
        </w:rPr>
        <w:t xml:space="preserve"> crimes</w:t>
      </w:r>
      <w:r w:rsidRPr="00D06C62">
        <w:rPr>
          <w:rFonts w:cs="Open Sans"/>
        </w:rPr>
        <w:t xml:space="preserve"> are identified as hate crimes, and the media coverage in general, are not affected by the skew. </w:t>
      </w:r>
    </w:p>
    <w:p w14:paraId="58FA7B00" w14:textId="77777777" w:rsidR="006F3B4C" w:rsidRPr="00D06C62" w:rsidRDefault="006F3B4C" w:rsidP="006F3B4C">
      <w:pPr>
        <w:pStyle w:val="Content"/>
        <w:rPr>
          <w:rFonts w:cs="Open Sans"/>
        </w:rPr>
      </w:pPr>
      <w:r w:rsidRPr="00D06C62">
        <w:rPr>
          <w:rFonts w:cs="Open Sans"/>
        </w:rPr>
        <w:t xml:space="preserve"> </w:t>
      </w:r>
    </w:p>
    <w:p w14:paraId="674D9D57" w14:textId="00255AB0" w:rsidR="006F3B4C" w:rsidRPr="00D06C62" w:rsidRDefault="006F3B4C" w:rsidP="006F3B4C">
      <w:pPr>
        <w:pStyle w:val="Heading2"/>
        <w:rPr>
          <w:rFonts w:cs="Open Sans"/>
        </w:rPr>
      </w:pPr>
      <w:bookmarkStart w:id="14" w:name="_Toc120713461"/>
      <w:r w:rsidRPr="00D06C62">
        <w:rPr>
          <w:rFonts w:cs="Open Sans"/>
        </w:rPr>
        <w:t>Other Crime Details</w:t>
      </w:r>
      <w:bookmarkEnd w:id="14"/>
    </w:p>
    <w:p w14:paraId="279A1369" w14:textId="06FA4760" w:rsidR="006F3B4C" w:rsidRPr="00D06C62" w:rsidRDefault="006F3B4C" w:rsidP="006F3B4C">
      <w:pPr>
        <w:pStyle w:val="Content"/>
        <w:rPr>
          <w:rFonts w:cs="Open Sans"/>
        </w:rPr>
      </w:pPr>
      <w:r>
        <w:rPr>
          <w:rFonts w:cs="Open Sans"/>
        </w:rPr>
        <w:t>184</w:t>
      </w:r>
      <w:r w:rsidRPr="00D06C62">
        <w:rPr>
          <w:rFonts w:cs="Open Sans"/>
        </w:rPr>
        <w:t xml:space="preserve"> cases involved a single perpetrator, and </w:t>
      </w:r>
      <w:r>
        <w:rPr>
          <w:rFonts w:cs="Open Sans"/>
        </w:rPr>
        <w:t>116</w:t>
      </w:r>
      <w:r w:rsidRPr="00D06C62">
        <w:rPr>
          <w:rFonts w:cs="Open Sans"/>
        </w:rPr>
        <w:t xml:space="preserve"> involved multiple perpetrators. </w:t>
      </w:r>
      <w:r>
        <w:rPr>
          <w:rFonts w:cs="Open Sans"/>
        </w:rPr>
        <w:t>41</w:t>
      </w:r>
      <w:r w:rsidRPr="00D06C62">
        <w:rPr>
          <w:rFonts w:cs="Open Sans"/>
        </w:rPr>
        <w:t xml:space="preserve"> of the</w:t>
      </w:r>
      <w:r>
        <w:rPr>
          <w:rFonts w:cs="Open Sans"/>
        </w:rPr>
        <w:t xml:space="preserve"> 147</w:t>
      </w:r>
      <w:r w:rsidRPr="00D06C62">
        <w:rPr>
          <w:rFonts w:cs="Open Sans"/>
        </w:rPr>
        <w:t xml:space="preserve"> murders were carried out by multiple perpetrators</w:t>
      </w:r>
      <w:r>
        <w:rPr>
          <w:rFonts w:cs="Open Sans"/>
        </w:rPr>
        <w:t xml:space="preserve">, </w:t>
      </w:r>
      <w:r w:rsidR="00DD3A80">
        <w:rPr>
          <w:rFonts w:cs="Open Sans"/>
        </w:rPr>
        <w:t xml:space="preserve">making up </w:t>
      </w:r>
      <w:r>
        <w:rPr>
          <w:rFonts w:cs="Open Sans"/>
        </w:rPr>
        <w:t>28% of murders reviewed.</w:t>
      </w:r>
    </w:p>
    <w:p w14:paraId="33547387" w14:textId="77777777" w:rsidR="006F3B4C" w:rsidRPr="00D06C62" w:rsidRDefault="006F3B4C" w:rsidP="006F3B4C">
      <w:pPr>
        <w:pStyle w:val="Content"/>
        <w:rPr>
          <w:rFonts w:cs="Open Sans"/>
        </w:rPr>
      </w:pPr>
      <w:r>
        <w:rPr>
          <w:rFonts w:cs="Open Sans"/>
        </w:rPr>
        <w:lastRenderedPageBreak/>
        <w:t>193</w:t>
      </w:r>
      <w:r w:rsidRPr="00D06C62">
        <w:rPr>
          <w:rFonts w:cs="Open Sans"/>
        </w:rPr>
        <w:t xml:space="preserve"> of the cases involved single criminal acts, while </w:t>
      </w:r>
      <w:r>
        <w:rPr>
          <w:rFonts w:cs="Open Sans"/>
        </w:rPr>
        <w:t>107</w:t>
      </w:r>
      <w:r w:rsidRPr="00D06C62">
        <w:rPr>
          <w:rFonts w:cs="Open Sans"/>
        </w:rPr>
        <w:t xml:space="preserve"> involved multiple criminal acts.</w:t>
      </w:r>
    </w:p>
    <w:p w14:paraId="49E0D344" w14:textId="71989C2C" w:rsidR="006F3B4C" w:rsidRDefault="009C2F9D" w:rsidP="006F3B4C">
      <w:pPr>
        <w:pStyle w:val="Content"/>
        <w:rPr>
          <w:rFonts w:cs="Open Sans"/>
        </w:rPr>
      </w:pPr>
      <w:r>
        <w:rPr>
          <w:rFonts w:cs="Open Sans"/>
        </w:rPr>
        <w:t xml:space="preserve">Considering these in combination, the following were </w:t>
      </w:r>
      <w:r w:rsidR="006D4AF0">
        <w:rPr>
          <w:rFonts w:cs="Open Sans"/>
        </w:rPr>
        <w:t>the breakdowns of perpetrator numbers and incident numbers:</w:t>
      </w:r>
    </w:p>
    <w:p w14:paraId="15B8C58A" w14:textId="45EEF70B" w:rsidR="006D4AF0" w:rsidRDefault="006D4AF0" w:rsidP="006D4AF0">
      <w:pPr>
        <w:pStyle w:val="Content"/>
        <w:numPr>
          <w:ilvl w:val="0"/>
          <w:numId w:val="2"/>
        </w:numPr>
        <w:rPr>
          <w:rFonts w:cs="Open Sans"/>
        </w:rPr>
      </w:pPr>
      <w:r>
        <w:rPr>
          <w:rFonts w:cs="Open Sans"/>
        </w:rPr>
        <w:t xml:space="preserve">133 (44%) were </w:t>
      </w:r>
      <w:r w:rsidR="00C459DE">
        <w:rPr>
          <w:rFonts w:cs="Open Sans"/>
        </w:rPr>
        <w:t xml:space="preserve">a </w:t>
      </w:r>
      <w:r>
        <w:rPr>
          <w:rFonts w:cs="Open Sans"/>
        </w:rPr>
        <w:t>single act committed by a single per</w:t>
      </w:r>
      <w:r w:rsidR="00E65759">
        <w:rPr>
          <w:rFonts w:cs="Open Sans"/>
        </w:rPr>
        <w:t>son</w:t>
      </w:r>
      <w:r w:rsidR="00C459DE">
        <w:rPr>
          <w:rFonts w:cs="Open Sans"/>
        </w:rPr>
        <w:t>.</w:t>
      </w:r>
    </w:p>
    <w:p w14:paraId="79B5507E" w14:textId="7B882E52" w:rsidR="006D4AF0" w:rsidRDefault="00E65759" w:rsidP="006D4AF0">
      <w:pPr>
        <w:pStyle w:val="Content"/>
        <w:numPr>
          <w:ilvl w:val="0"/>
          <w:numId w:val="2"/>
        </w:numPr>
        <w:rPr>
          <w:rFonts w:cs="Open Sans"/>
        </w:rPr>
      </w:pPr>
      <w:r>
        <w:rPr>
          <w:rFonts w:cs="Open Sans"/>
        </w:rPr>
        <w:t>51 (17%) were multiple acts committed by a single person</w:t>
      </w:r>
      <w:r w:rsidR="00C459DE">
        <w:rPr>
          <w:rFonts w:cs="Open Sans"/>
        </w:rPr>
        <w:t>.</w:t>
      </w:r>
    </w:p>
    <w:p w14:paraId="07EBB9C1" w14:textId="3265EB03" w:rsidR="00E65759" w:rsidRDefault="00E65759" w:rsidP="006D4AF0">
      <w:pPr>
        <w:pStyle w:val="Content"/>
        <w:numPr>
          <w:ilvl w:val="0"/>
          <w:numId w:val="2"/>
        </w:numPr>
        <w:rPr>
          <w:rFonts w:cs="Open Sans"/>
        </w:rPr>
      </w:pPr>
      <w:r>
        <w:rPr>
          <w:rFonts w:cs="Open Sans"/>
        </w:rPr>
        <w:t>60 (20%) were a single act committed by multiple people</w:t>
      </w:r>
      <w:r w:rsidR="00C459DE">
        <w:rPr>
          <w:rFonts w:cs="Open Sans"/>
        </w:rPr>
        <w:t>.</w:t>
      </w:r>
    </w:p>
    <w:p w14:paraId="4BDFCEE4" w14:textId="0AF5A93C" w:rsidR="00E65759" w:rsidRPr="00D06C62" w:rsidRDefault="00ED7CCD" w:rsidP="006D4AF0">
      <w:pPr>
        <w:pStyle w:val="Content"/>
        <w:numPr>
          <w:ilvl w:val="0"/>
          <w:numId w:val="2"/>
        </w:numPr>
        <w:rPr>
          <w:rFonts w:cs="Open Sans"/>
        </w:rPr>
      </w:pPr>
      <w:r>
        <w:rPr>
          <w:rFonts w:cs="Open Sans"/>
        </w:rPr>
        <w:t>56 (19%) were multiple acts committed by multiple people</w:t>
      </w:r>
      <w:r w:rsidR="00C459DE">
        <w:rPr>
          <w:rFonts w:cs="Open Sans"/>
        </w:rPr>
        <w:t>.</w:t>
      </w:r>
    </w:p>
    <w:p w14:paraId="5115ADA5" w14:textId="56446117" w:rsidR="006F3B4C" w:rsidRDefault="00C459DE" w:rsidP="006F3B4C">
      <w:pPr>
        <w:pStyle w:val="Content"/>
        <w:rPr>
          <w:rFonts w:cs="Open Sans"/>
        </w:rPr>
      </w:pPr>
      <w:r>
        <w:rPr>
          <w:rFonts w:cs="Open Sans"/>
        </w:rPr>
        <w:t>There are, again, limits to the information which journalists would receive for cases; a murder that seemed to come out of nowhere could have been pre-dated by abuse, assault, or other acts which no-one outside of the victim and perpetrator knew about, especially if no physical evidence remained.</w:t>
      </w:r>
    </w:p>
    <w:p w14:paraId="4397CB78" w14:textId="31659795" w:rsidR="00651701" w:rsidRDefault="00651701">
      <w:pPr>
        <w:rPr>
          <w:rFonts w:eastAsiaTheme="minorEastAsia" w:cs="Open Sans"/>
          <w:color w:val="000000" w:themeColor="text1"/>
          <w:lang w:val="en-US"/>
        </w:rPr>
      </w:pPr>
      <w:r>
        <w:rPr>
          <w:rFonts w:cs="Open Sans"/>
        </w:rPr>
        <w:br w:type="page"/>
      </w:r>
    </w:p>
    <w:p w14:paraId="2174F291" w14:textId="3BD6BC68" w:rsidR="00651701" w:rsidRDefault="00651701" w:rsidP="0063014A">
      <w:pPr>
        <w:pStyle w:val="Heading2"/>
        <w:spacing w:before="240" w:after="240" w:line="360" w:lineRule="auto"/>
        <w:rPr>
          <w:rFonts w:cs="Open Sans"/>
        </w:rPr>
      </w:pPr>
      <w:bookmarkStart w:id="15" w:name="_Toc120713462"/>
      <w:r>
        <w:rPr>
          <w:rFonts w:cs="Open Sans"/>
        </w:rPr>
        <w:lastRenderedPageBreak/>
        <w:t>Victims and relationship to their perpetrators</w:t>
      </w:r>
      <w:bookmarkEnd w:id="15"/>
    </w:p>
    <w:p w14:paraId="3B525CAE" w14:textId="41423A36" w:rsidR="00C459DE" w:rsidRDefault="00651701" w:rsidP="0063014A">
      <w:pPr>
        <w:pStyle w:val="Heading3"/>
        <w:spacing w:before="240" w:after="240" w:line="360" w:lineRule="auto"/>
      </w:pPr>
      <w:bookmarkStart w:id="16" w:name="_Toc120713463"/>
      <w:r>
        <w:t>Demographics</w:t>
      </w:r>
      <w:bookmarkEnd w:id="16"/>
    </w:p>
    <w:p w14:paraId="5C2D3F10" w14:textId="2FF508F1" w:rsidR="005D2863" w:rsidRDefault="005D2863" w:rsidP="0063014A">
      <w:pPr>
        <w:spacing w:before="240" w:after="240" w:line="360" w:lineRule="auto"/>
      </w:pPr>
      <w:r>
        <w:t xml:space="preserve">This information below should not be taken </w:t>
      </w:r>
      <w:r w:rsidR="005815E0">
        <w:t>as evidence of which demographics of Disabled people are more frequently victims of crime. As previously discussed, there are a variety of factors which can make it more or less likely for a crime to be reported by the media</w:t>
      </w:r>
      <w:r w:rsidR="001D5928">
        <w:t>, particularly institutional</w:t>
      </w:r>
      <w:r w:rsidR="00AF1ADD">
        <w:t xml:space="preserve"> and societal bias</w:t>
      </w:r>
      <w:r w:rsidR="00EE181F">
        <w:t>.</w:t>
      </w:r>
      <w:r w:rsidR="00EE181F">
        <w:rPr>
          <w:rStyle w:val="FootnoteReference"/>
        </w:rPr>
        <w:footnoteReference w:id="17"/>
      </w:r>
    </w:p>
    <w:p w14:paraId="6664D8A5" w14:textId="2A742E4D" w:rsidR="0022399E" w:rsidRDefault="0022399E" w:rsidP="0063014A">
      <w:pPr>
        <w:spacing w:before="240" w:after="240" w:line="360" w:lineRule="auto"/>
      </w:pPr>
      <w:r>
        <w:t>Additionally, due to some cases involving multiple victims and others lacking information regarding the victims demographics, some of the numbers below do not add up to 300.</w:t>
      </w:r>
    </w:p>
    <w:p w14:paraId="7B49CFE1" w14:textId="77777777" w:rsidR="005D2863" w:rsidRPr="005D2863" w:rsidRDefault="005D2863" w:rsidP="0063014A">
      <w:pPr>
        <w:spacing w:before="240" w:after="240" w:line="360" w:lineRule="auto"/>
      </w:pPr>
    </w:p>
    <w:p w14:paraId="765381ED" w14:textId="469606F5" w:rsidR="00651701" w:rsidRDefault="00651701" w:rsidP="0063014A">
      <w:pPr>
        <w:pStyle w:val="Heading4"/>
        <w:spacing w:before="240" w:after="240" w:line="360" w:lineRule="auto"/>
      </w:pPr>
      <w:r>
        <w:t>Age</w:t>
      </w:r>
    </w:p>
    <w:p w14:paraId="5899025E" w14:textId="39AE6DBD" w:rsidR="00651701" w:rsidRDefault="00894EBF" w:rsidP="0063014A">
      <w:pPr>
        <w:spacing w:before="240" w:after="240" w:line="360" w:lineRule="auto"/>
      </w:pPr>
      <w:r>
        <w:t xml:space="preserve">We </w:t>
      </w:r>
      <w:r w:rsidR="00EF5C43">
        <w:t>categorised</w:t>
      </w:r>
      <w:r w:rsidR="00F113C5">
        <w:t xml:space="preserve"> the victims in the cases into six broad age categories. As can be seen elsewhere in this report, not all information was available</w:t>
      </w:r>
      <w:r w:rsidR="002B722E">
        <w:t>, particularly down to months of age,</w:t>
      </w:r>
      <w:r w:rsidR="00F113C5">
        <w:t xml:space="preserve"> and so </w:t>
      </w:r>
      <w:r w:rsidR="004D77AF">
        <w:t xml:space="preserve">a </w:t>
      </w:r>
      <w:r w:rsidR="00EF5C43">
        <w:t>few</w:t>
      </w:r>
      <w:r w:rsidR="00F113C5">
        <w:t xml:space="preserve"> individuals may be in the incorrect age category according to standardised usage</w:t>
      </w:r>
      <w:r w:rsidR="00EF5C43">
        <w:t xml:space="preserve"> of the terms</w:t>
      </w:r>
      <w:r w:rsidR="00F113C5">
        <w:t>.</w:t>
      </w:r>
    </w:p>
    <w:p w14:paraId="3F3A63D0" w14:textId="37974814" w:rsidR="004D77AF" w:rsidRDefault="004D77AF" w:rsidP="0063014A">
      <w:pPr>
        <w:pStyle w:val="ListParagraph"/>
        <w:numPr>
          <w:ilvl w:val="0"/>
          <w:numId w:val="8"/>
        </w:numPr>
        <w:spacing w:before="240" w:after="240" w:line="360" w:lineRule="auto"/>
      </w:pPr>
      <w:r>
        <w:t xml:space="preserve">7 (2.3%) of victims were </w:t>
      </w:r>
      <w:r w:rsidR="001D5928">
        <w:t>infants.</w:t>
      </w:r>
    </w:p>
    <w:p w14:paraId="3940C5E1" w14:textId="552C7AAE" w:rsidR="004D77AF" w:rsidRDefault="004D77AF" w:rsidP="0063014A">
      <w:pPr>
        <w:pStyle w:val="ListParagraph"/>
        <w:numPr>
          <w:ilvl w:val="0"/>
          <w:numId w:val="8"/>
        </w:numPr>
        <w:spacing w:before="240" w:after="240" w:line="360" w:lineRule="auto"/>
      </w:pPr>
      <w:r>
        <w:t xml:space="preserve">7 (2.3%) </w:t>
      </w:r>
      <w:r w:rsidR="00944919">
        <w:t xml:space="preserve">were </w:t>
      </w:r>
      <w:r w:rsidR="001D5928">
        <w:t>toddlers.</w:t>
      </w:r>
    </w:p>
    <w:p w14:paraId="70BAA013" w14:textId="7F9A56A3" w:rsidR="00944919" w:rsidRDefault="00944919" w:rsidP="0063014A">
      <w:pPr>
        <w:pStyle w:val="ListParagraph"/>
        <w:numPr>
          <w:ilvl w:val="0"/>
          <w:numId w:val="8"/>
        </w:numPr>
        <w:spacing w:before="240" w:after="240" w:line="360" w:lineRule="auto"/>
      </w:pPr>
      <w:r>
        <w:t xml:space="preserve">24 (8.0%) were </w:t>
      </w:r>
      <w:r w:rsidR="001D5928">
        <w:t>children.</w:t>
      </w:r>
    </w:p>
    <w:p w14:paraId="5B4FD51C" w14:textId="4EA0BB72" w:rsidR="00944919" w:rsidRDefault="00944919" w:rsidP="0063014A">
      <w:pPr>
        <w:pStyle w:val="ListParagraph"/>
        <w:numPr>
          <w:ilvl w:val="0"/>
          <w:numId w:val="8"/>
        </w:numPr>
        <w:spacing w:before="240" w:after="240" w:line="360" w:lineRule="auto"/>
      </w:pPr>
      <w:r>
        <w:lastRenderedPageBreak/>
        <w:t>40 (13.</w:t>
      </w:r>
      <w:r w:rsidR="00A91A91">
        <w:t>4</w:t>
      </w:r>
      <w:r>
        <w:t xml:space="preserve">%) were </w:t>
      </w:r>
      <w:r w:rsidR="001D5928">
        <w:t>teenagers.</w:t>
      </w:r>
    </w:p>
    <w:p w14:paraId="5F435B57" w14:textId="53EE3B8C" w:rsidR="00944919" w:rsidRDefault="007473FB" w:rsidP="0063014A">
      <w:pPr>
        <w:pStyle w:val="ListParagraph"/>
        <w:numPr>
          <w:ilvl w:val="0"/>
          <w:numId w:val="8"/>
        </w:numPr>
        <w:spacing w:before="240" w:after="240" w:line="360" w:lineRule="auto"/>
      </w:pPr>
      <w:r>
        <w:t>163 (54.</w:t>
      </w:r>
      <w:r w:rsidR="009D1056">
        <w:t>5</w:t>
      </w:r>
      <w:r>
        <w:t xml:space="preserve">%) were </w:t>
      </w:r>
      <w:r w:rsidR="001D5928">
        <w:t>adults.</w:t>
      </w:r>
    </w:p>
    <w:p w14:paraId="3BCEBCAE" w14:textId="4C08B338" w:rsidR="007473FB" w:rsidRPr="00651701" w:rsidRDefault="007A16F7" w:rsidP="0063014A">
      <w:pPr>
        <w:pStyle w:val="ListParagraph"/>
        <w:numPr>
          <w:ilvl w:val="0"/>
          <w:numId w:val="8"/>
        </w:numPr>
        <w:spacing w:before="240" w:after="240" w:line="360" w:lineRule="auto"/>
      </w:pPr>
      <w:r>
        <w:t>58 (19.</w:t>
      </w:r>
      <w:r w:rsidR="00A91A91">
        <w:t>4</w:t>
      </w:r>
      <w:r>
        <w:t xml:space="preserve">%) were </w:t>
      </w:r>
      <w:r w:rsidR="001D5928">
        <w:t>elderly.</w:t>
      </w:r>
    </w:p>
    <w:p w14:paraId="10203961" w14:textId="77777777" w:rsidR="007A16F7" w:rsidRDefault="007A16F7" w:rsidP="006F3B4C">
      <w:pPr>
        <w:pStyle w:val="Content"/>
        <w:rPr>
          <w:rFonts w:cs="Open Sans"/>
        </w:rPr>
      </w:pPr>
    </w:p>
    <w:p w14:paraId="3017CDF6" w14:textId="26665282" w:rsidR="00DE005E" w:rsidRDefault="00DE005E" w:rsidP="0063014A">
      <w:pPr>
        <w:pStyle w:val="Heading4"/>
        <w:spacing w:before="240" w:after="240" w:line="360" w:lineRule="auto"/>
      </w:pPr>
      <w:r>
        <w:t>Gender</w:t>
      </w:r>
    </w:p>
    <w:p w14:paraId="1DA94AC0" w14:textId="2D1F744E" w:rsidR="00DE005E" w:rsidRDefault="00DE005E" w:rsidP="0063014A">
      <w:pPr>
        <w:spacing w:before="240" w:after="240" w:line="360" w:lineRule="auto"/>
      </w:pPr>
      <w:r>
        <w:t>In this section, there were no reports of victims identified (by themselves or a third-party) as non-binary</w:t>
      </w:r>
      <w:r w:rsidR="00E16150">
        <w:t xml:space="preserve">, agender, </w:t>
      </w:r>
      <w:r w:rsidR="00EF5C43">
        <w:t xml:space="preserve">genderfluid </w:t>
      </w:r>
      <w:r w:rsidR="00E16150">
        <w:t>or otherwise outside of the binary of male and female. It is possible</w:t>
      </w:r>
      <w:r w:rsidR="00A64899">
        <w:t xml:space="preserve">, </w:t>
      </w:r>
      <w:r w:rsidR="00E16150">
        <w:t xml:space="preserve">given our growing </w:t>
      </w:r>
      <w:r w:rsidR="00870FA7">
        <w:t>understanding of the spectrum of gender</w:t>
      </w:r>
      <w:r w:rsidR="00E16150">
        <w:t xml:space="preserve">, that </w:t>
      </w:r>
      <w:r w:rsidR="00870FA7">
        <w:t>some victims did not identify as male or female</w:t>
      </w:r>
      <w:r w:rsidR="006C63C7">
        <w:t>, but we do not have this information.</w:t>
      </w:r>
    </w:p>
    <w:p w14:paraId="16A0766C" w14:textId="4717556F" w:rsidR="006C63C7" w:rsidRDefault="006C63C7" w:rsidP="0063014A">
      <w:pPr>
        <w:pStyle w:val="ListParagraph"/>
        <w:numPr>
          <w:ilvl w:val="0"/>
          <w:numId w:val="8"/>
        </w:numPr>
        <w:spacing w:before="240" w:after="240" w:line="360" w:lineRule="auto"/>
      </w:pPr>
      <w:r>
        <w:t>1</w:t>
      </w:r>
      <w:r w:rsidR="00B235B3">
        <w:t>52 (50.</w:t>
      </w:r>
      <w:r w:rsidR="00A91A91">
        <w:t>8</w:t>
      </w:r>
      <w:r w:rsidR="00B235B3">
        <w:t xml:space="preserve">%) of victims were identified as female in </w:t>
      </w:r>
      <w:r w:rsidR="001D5928">
        <w:t>reports.</w:t>
      </w:r>
    </w:p>
    <w:p w14:paraId="4856C4B3" w14:textId="4A1333A3" w:rsidR="00B235B3" w:rsidRDefault="00B235B3" w:rsidP="0063014A">
      <w:pPr>
        <w:pStyle w:val="ListParagraph"/>
        <w:numPr>
          <w:ilvl w:val="0"/>
          <w:numId w:val="8"/>
        </w:numPr>
        <w:spacing w:before="240" w:after="240" w:line="360" w:lineRule="auto"/>
      </w:pPr>
      <w:r>
        <w:t>140 (</w:t>
      </w:r>
      <w:r w:rsidR="00016EEC">
        <w:t>46.</w:t>
      </w:r>
      <w:r w:rsidR="00A91A91">
        <w:t>8</w:t>
      </w:r>
      <w:r w:rsidR="00016EEC">
        <w:t xml:space="preserve">%) were identified as male in </w:t>
      </w:r>
      <w:r w:rsidR="001D5928">
        <w:t>reports.</w:t>
      </w:r>
    </w:p>
    <w:p w14:paraId="69809018" w14:textId="6505A7ED" w:rsidR="00B76DD7" w:rsidRDefault="00B76DD7" w:rsidP="0063014A">
      <w:pPr>
        <w:pStyle w:val="ListParagraph"/>
        <w:numPr>
          <w:ilvl w:val="0"/>
          <w:numId w:val="8"/>
        </w:numPr>
        <w:spacing w:before="240" w:after="240" w:line="360" w:lineRule="auto"/>
      </w:pPr>
      <w:r>
        <w:t xml:space="preserve">5 </w:t>
      </w:r>
      <w:r w:rsidR="00A873F8">
        <w:t>(</w:t>
      </w:r>
      <w:r w:rsidR="008A239D">
        <w:t xml:space="preserve">1.7%) were crimes involving multiple victims, both male and </w:t>
      </w:r>
      <w:r w:rsidR="001D5928">
        <w:t>female.</w:t>
      </w:r>
    </w:p>
    <w:p w14:paraId="1EFB83CC" w14:textId="1C4B92ED" w:rsidR="00016EEC" w:rsidRPr="00DE005E" w:rsidRDefault="00A873F8" w:rsidP="0063014A">
      <w:pPr>
        <w:pStyle w:val="ListParagraph"/>
        <w:numPr>
          <w:ilvl w:val="0"/>
          <w:numId w:val="8"/>
        </w:numPr>
        <w:spacing w:before="240" w:after="240" w:line="360" w:lineRule="auto"/>
      </w:pPr>
      <w:r>
        <w:t>2</w:t>
      </w:r>
      <w:r w:rsidR="000E7712">
        <w:t xml:space="preserve"> (</w:t>
      </w:r>
      <w:r w:rsidR="00184B0F">
        <w:t>0.7</w:t>
      </w:r>
      <w:r w:rsidR="000E7712">
        <w:t xml:space="preserve">%) had no gender information </w:t>
      </w:r>
      <w:r w:rsidR="00EF5C43">
        <w:t>reported.</w:t>
      </w:r>
    </w:p>
    <w:p w14:paraId="4048DDF8" w14:textId="77777777" w:rsidR="00DE005E" w:rsidRDefault="00DE005E" w:rsidP="0063014A">
      <w:pPr>
        <w:pStyle w:val="Content"/>
        <w:rPr>
          <w:rFonts w:cs="Open Sans"/>
        </w:rPr>
      </w:pPr>
    </w:p>
    <w:p w14:paraId="00F6CC7E" w14:textId="455B7890" w:rsidR="00184B0F" w:rsidRDefault="00184B0F" w:rsidP="0063014A">
      <w:pPr>
        <w:pStyle w:val="Heading4"/>
        <w:spacing w:before="240" w:after="240" w:line="360" w:lineRule="auto"/>
      </w:pPr>
      <w:r>
        <w:t>Race</w:t>
      </w:r>
    </w:p>
    <w:p w14:paraId="27649280" w14:textId="4766066B" w:rsidR="00184B0F" w:rsidRDefault="00184B0F" w:rsidP="0063014A">
      <w:pPr>
        <w:pStyle w:val="Content"/>
        <w:rPr>
          <w:rFonts w:cs="Open Sans"/>
        </w:rPr>
      </w:pPr>
      <w:r>
        <w:rPr>
          <w:rFonts w:cs="Open Sans"/>
        </w:rPr>
        <w:t xml:space="preserve">Again, </w:t>
      </w:r>
      <w:r w:rsidR="00A64899">
        <w:rPr>
          <w:rFonts w:cs="Open Sans"/>
        </w:rPr>
        <w:t xml:space="preserve">the victim’s </w:t>
      </w:r>
      <w:r>
        <w:rPr>
          <w:rFonts w:cs="Open Sans"/>
        </w:rPr>
        <w:t>rac</w:t>
      </w:r>
      <w:r w:rsidR="00A64899">
        <w:rPr>
          <w:rFonts w:cs="Open Sans"/>
        </w:rPr>
        <w:t>ial identity</w:t>
      </w:r>
      <w:r>
        <w:rPr>
          <w:rFonts w:cs="Open Sans"/>
        </w:rPr>
        <w:t xml:space="preserve"> was not always identified in the reports </w:t>
      </w:r>
      <w:r w:rsidR="00174B63">
        <w:rPr>
          <w:rFonts w:cs="Open Sans"/>
        </w:rPr>
        <w:t>and so this section has a large proportion of “Unknown”.</w:t>
      </w:r>
    </w:p>
    <w:p w14:paraId="53911FD1" w14:textId="59932E00" w:rsidR="00304066" w:rsidRDefault="00E41DDA" w:rsidP="0063014A">
      <w:pPr>
        <w:pStyle w:val="ListParagraph"/>
        <w:numPr>
          <w:ilvl w:val="0"/>
          <w:numId w:val="8"/>
        </w:numPr>
        <w:spacing w:before="240" w:after="240" w:line="360" w:lineRule="auto"/>
      </w:pPr>
      <w:r>
        <w:t xml:space="preserve">12 (4.0%) victims were </w:t>
      </w:r>
      <w:r w:rsidR="001D5928">
        <w:t>Asian.</w:t>
      </w:r>
    </w:p>
    <w:p w14:paraId="73D6DCA7" w14:textId="47C7038D" w:rsidR="00E41DDA" w:rsidRDefault="00E41DDA" w:rsidP="0063014A">
      <w:pPr>
        <w:pStyle w:val="ListParagraph"/>
        <w:numPr>
          <w:ilvl w:val="1"/>
          <w:numId w:val="8"/>
        </w:numPr>
        <w:spacing w:before="240" w:after="240" w:line="360" w:lineRule="auto"/>
      </w:pPr>
      <w:r>
        <w:t>8 (2.7%) Asian and male</w:t>
      </w:r>
    </w:p>
    <w:p w14:paraId="07ABBB48" w14:textId="0C6E6DF6" w:rsidR="00E41DDA" w:rsidRDefault="00E41DDA" w:rsidP="0063014A">
      <w:pPr>
        <w:pStyle w:val="ListParagraph"/>
        <w:numPr>
          <w:ilvl w:val="1"/>
          <w:numId w:val="8"/>
        </w:numPr>
        <w:spacing w:before="240" w:after="240" w:line="360" w:lineRule="auto"/>
      </w:pPr>
      <w:r>
        <w:t>4 (</w:t>
      </w:r>
      <w:r w:rsidR="000F31CB">
        <w:t>1.3%) Asian and female</w:t>
      </w:r>
    </w:p>
    <w:p w14:paraId="7B635083" w14:textId="29C917CB" w:rsidR="00174B63" w:rsidRDefault="00BB6B16" w:rsidP="0063014A">
      <w:pPr>
        <w:pStyle w:val="ListParagraph"/>
        <w:numPr>
          <w:ilvl w:val="0"/>
          <w:numId w:val="8"/>
        </w:numPr>
        <w:spacing w:before="240" w:after="240" w:line="360" w:lineRule="auto"/>
      </w:pPr>
      <w:r w:rsidRPr="00BB6B16">
        <w:t xml:space="preserve">8 (2.7%) victims were </w:t>
      </w:r>
      <w:r w:rsidR="001D5928">
        <w:t>Black.</w:t>
      </w:r>
    </w:p>
    <w:p w14:paraId="5361314F" w14:textId="457AC4A9" w:rsidR="005D2863" w:rsidRDefault="005D2863" w:rsidP="0063014A">
      <w:pPr>
        <w:pStyle w:val="ListParagraph"/>
        <w:numPr>
          <w:ilvl w:val="1"/>
          <w:numId w:val="8"/>
        </w:numPr>
        <w:spacing w:before="240" w:after="240" w:line="360" w:lineRule="auto"/>
      </w:pPr>
      <w:r>
        <w:lastRenderedPageBreak/>
        <w:t>6 (2.0%) Black and male</w:t>
      </w:r>
    </w:p>
    <w:p w14:paraId="0E892EAC" w14:textId="7A66BD2E" w:rsidR="005D2863" w:rsidRPr="00BB6B16" w:rsidRDefault="005D2863" w:rsidP="0063014A">
      <w:pPr>
        <w:pStyle w:val="ListParagraph"/>
        <w:numPr>
          <w:ilvl w:val="1"/>
          <w:numId w:val="8"/>
        </w:numPr>
        <w:spacing w:before="240" w:after="240" w:line="360" w:lineRule="auto"/>
      </w:pPr>
      <w:r>
        <w:t>2 (0.7%) Black and female</w:t>
      </w:r>
    </w:p>
    <w:p w14:paraId="3F936071" w14:textId="15F28073" w:rsidR="00BB6B16" w:rsidRDefault="000F31CB" w:rsidP="0063014A">
      <w:pPr>
        <w:pStyle w:val="ListParagraph"/>
        <w:numPr>
          <w:ilvl w:val="0"/>
          <w:numId w:val="8"/>
        </w:numPr>
        <w:spacing w:before="240" w:after="240" w:line="360" w:lineRule="auto"/>
      </w:pPr>
      <w:r>
        <w:t xml:space="preserve">5 (1.7%) were </w:t>
      </w:r>
      <w:r w:rsidR="00EF5C43">
        <w:t>m</w:t>
      </w:r>
      <w:r>
        <w:t xml:space="preserve">ixed </w:t>
      </w:r>
      <w:r w:rsidR="001D5928">
        <w:t>race.</w:t>
      </w:r>
    </w:p>
    <w:p w14:paraId="0E1DD258" w14:textId="0BAFBAFA" w:rsidR="000F31CB" w:rsidRDefault="000F31CB" w:rsidP="0063014A">
      <w:pPr>
        <w:pStyle w:val="ListParagraph"/>
        <w:numPr>
          <w:ilvl w:val="1"/>
          <w:numId w:val="8"/>
        </w:numPr>
        <w:spacing w:before="240" w:after="240" w:line="360" w:lineRule="auto"/>
      </w:pPr>
      <w:r>
        <w:t>2 (0.7%) mixed race and male</w:t>
      </w:r>
    </w:p>
    <w:p w14:paraId="1C6B71B5" w14:textId="679A6231" w:rsidR="000F31CB" w:rsidRDefault="000F31CB" w:rsidP="0063014A">
      <w:pPr>
        <w:pStyle w:val="ListParagraph"/>
        <w:numPr>
          <w:ilvl w:val="1"/>
          <w:numId w:val="8"/>
        </w:numPr>
        <w:spacing w:before="240" w:after="240" w:line="360" w:lineRule="auto"/>
      </w:pPr>
      <w:r>
        <w:t>3 (</w:t>
      </w:r>
      <w:r w:rsidR="007D4D52">
        <w:t>1.0%) mixed race and female</w:t>
      </w:r>
    </w:p>
    <w:p w14:paraId="63FE4578" w14:textId="2B343854" w:rsidR="007D4D52" w:rsidRDefault="00130D8B" w:rsidP="0063014A">
      <w:pPr>
        <w:pStyle w:val="ListParagraph"/>
        <w:numPr>
          <w:ilvl w:val="0"/>
          <w:numId w:val="8"/>
        </w:numPr>
        <w:spacing w:before="240" w:after="240" w:line="360" w:lineRule="auto"/>
      </w:pPr>
      <w:r>
        <w:t xml:space="preserve">200 (66.9%) were </w:t>
      </w:r>
      <w:r w:rsidR="00EF5C43">
        <w:t>w</w:t>
      </w:r>
      <w:r w:rsidR="001D5928">
        <w:t>hite.</w:t>
      </w:r>
    </w:p>
    <w:p w14:paraId="53C0BCE1" w14:textId="550CF5B2" w:rsidR="00C26B60" w:rsidRDefault="00C26B60" w:rsidP="0063014A">
      <w:pPr>
        <w:pStyle w:val="ListParagraph"/>
        <w:numPr>
          <w:ilvl w:val="1"/>
          <w:numId w:val="8"/>
        </w:numPr>
        <w:spacing w:before="240" w:after="240" w:line="360" w:lineRule="auto"/>
      </w:pPr>
      <w:r>
        <w:t>92 (30.8%) white and male</w:t>
      </w:r>
    </w:p>
    <w:p w14:paraId="7BD735BA" w14:textId="539E6CF6" w:rsidR="00C26B60" w:rsidRDefault="00C26B60" w:rsidP="0063014A">
      <w:pPr>
        <w:pStyle w:val="ListParagraph"/>
        <w:numPr>
          <w:ilvl w:val="1"/>
          <w:numId w:val="8"/>
        </w:numPr>
        <w:spacing w:before="240" w:after="240" w:line="360" w:lineRule="auto"/>
      </w:pPr>
      <w:r>
        <w:t>106 (35.5%) white and female</w:t>
      </w:r>
    </w:p>
    <w:p w14:paraId="06B7BF34" w14:textId="529BC059" w:rsidR="00863E50" w:rsidRDefault="00863E50" w:rsidP="0063014A">
      <w:pPr>
        <w:pStyle w:val="ListParagraph"/>
        <w:numPr>
          <w:ilvl w:val="1"/>
          <w:numId w:val="8"/>
        </w:numPr>
        <w:spacing w:before="240" w:after="240" w:line="360" w:lineRule="auto"/>
      </w:pPr>
      <w:r>
        <w:t>2 (0.7%) involved multiple victims, male and female, who were white</w:t>
      </w:r>
    </w:p>
    <w:p w14:paraId="1C08DAC8" w14:textId="0D61BD7E" w:rsidR="00A56680" w:rsidRDefault="00203EA6" w:rsidP="0063014A">
      <w:pPr>
        <w:pStyle w:val="ListParagraph"/>
        <w:numPr>
          <w:ilvl w:val="0"/>
          <w:numId w:val="8"/>
        </w:numPr>
        <w:spacing w:before="240" w:after="240" w:line="360" w:lineRule="auto"/>
      </w:pPr>
      <w:r>
        <w:t xml:space="preserve">In </w:t>
      </w:r>
      <w:r w:rsidR="008C1EFB">
        <w:t>74 (</w:t>
      </w:r>
      <w:r w:rsidR="00FD53C7">
        <w:t>24.7%)</w:t>
      </w:r>
      <w:r>
        <w:t xml:space="preserve"> cases,</w:t>
      </w:r>
      <w:r w:rsidR="00FD53C7">
        <w:t xml:space="preserve"> victims</w:t>
      </w:r>
      <w:r w:rsidR="00A56680">
        <w:t>’ racial demographics were unknown.</w:t>
      </w:r>
    </w:p>
    <w:p w14:paraId="2C836944" w14:textId="3476969A" w:rsidR="00A4404C" w:rsidRDefault="00A4404C" w:rsidP="0063014A">
      <w:pPr>
        <w:pStyle w:val="ListParagraph"/>
        <w:numPr>
          <w:ilvl w:val="1"/>
          <w:numId w:val="8"/>
        </w:numPr>
        <w:spacing w:before="240" w:after="240" w:line="360" w:lineRule="auto"/>
      </w:pPr>
      <w:r>
        <w:t>32 were unknown and male</w:t>
      </w:r>
    </w:p>
    <w:p w14:paraId="38EA8DEF" w14:textId="6DAD4D82" w:rsidR="00A4404C" w:rsidRDefault="00A4404C" w:rsidP="0063014A">
      <w:pPr>
        <w:pStyle w:val="ListParagraph"/>
        <w:numPr>
          <w:ilvl w:val="1"/>
          <w:numId w:val="8"/>
        </w:numPr>
        <w:spacing w:before="240" w:after="240" w:line="360" w:lineRule="auto"/>
      </w:pPr>
      <w:r>
        <w:t>37 were unknown and female</w:t>
      </w:r>
    </w:p>
    <w:p w14:paraId="70D8D6E0" w14:textId="5E1E4CC5" w:rsidR="00A4404C" w:rsidRDefault="00203EA6" w:rsidP="0063014A">
      <w:pPr>
        <w:pStyle w:val="ListParagraph"/>
        <w:numPr>
          <w:ilvl w:val="1"/>
          <w:numId w:val="8"/>
        </w:numPr>
        <w:spacing w:before="240" w:after="240" w:line="360" w:lineRule="auto"/>
      </w:pPr>
      <w:r>
        <w:t xml:space="preserve">3 </w:t>
      </w:r>
      <w:r w:rsidR="007C61F0">
        <w:t>cases involved multiple victims, male and female, of unknown racial demographics</w:t>
      </w:r>
    </w:p>
    <w:p w14:paraId="3E3562C0" w14:textId="77777777" w:rsidR="007C61F0" w:rsidRDefault="007C61F0" w:rsidP="007C61F0"/>
    <w:p w14:paraId="5BC660C8" w14:textId="5CB6267D" w:rsidR="007C61F0" w:rsidRDefault="007C61F0" w:rsidP="0063014A">
      <w:pPr>
        <w:pStyle w:val="Heading4"/>
        <w:spacing w:before="240" w:after="240" w:line="360" w:lineRule="auto"/>
      </w:pPr>
      <w:r>
        <w:t>Perpetrator</w:t>
      </w:r>
    </w:p>
    <w:p w14:paraId="0E99042B" w14:textId="79AF4F7B" w:rsidR="004E4EE2" w:rsidRDefault="009834E2" w:rsidP="0063014A">
      <w:pPr>
        <w:spacing w:before="240" w:after="240" w:line="360" w:lineRule="auto"/>
      </w:pPr>
      <w:r>
        <w:t xml:space="preserve">The cross-section of crimes </w:t>
      </w:r>
      <w:r w:rsidR="00CD2682">
        <w:t xml:space="preserve">committed, their victims, and their perpetrators </w:t>
      </w:r>
      <w:r w:rsidR="00EC3248">
        <w:t>revealed</w:t>
      </w:r>
      <w:r w:rsidR="00CD2682">
        <w:t xml:space="preserve"> some patterns of significance, particularly when reviewed </w:t>
      </w:r>
      <w:r w:rsidR="00253535">
        <w:t xml:space="preserve">alongside </w:t>
      </w:r>
      <w:r w:rsidR="00CD2682">
        <w:t>how the victim and perpetrator were described in the media</w:t>
      </w:r>
      <w:r w:rsidR="006E3192">
        <w:t xml:space="preserve">. </w:t>
      </w:r>
    </w:p>
    <w:p w14:paraId="442FA663" w14:textId="6E3B3AA4" w:rsidR="007C61F0" w:rsidRPr="007C61F0" w:rsidRDefault="00443C94" w:rsidP="0063014A">
      <w:pPr>
        <w:spacing w:before="240" w:after="240" w:line="360" w:lineRule="auto"/>
      </w:pPr>
      <w:r>
        <w:t xml:space="preserve">To avoid making this section excessively complicated, </w:t>
      </w:r>
      <w:r w:rsidR="00670C52">
        <w:t>we used the closest relationship</w:t>
      </w:r>
      <w:r w:rsidR="00EF5C43">
        <w:t xml:space="preserve"> for categorisation </w:t>
      </w:r>
      <w:r>
        <w:t>when multiple perpetrators were involved</w:t>
      </w:r>
      <w:r w:rsidR="004E4EE2">
        <w:t xml:space="preserve"> who did not have the same relationship with the victim</w:t>
      </w:r>
      <w:r>
        <w:t xml:space="preserve">. For example, if the </w:t>
      </w:r>
      <w:r w:rsidR="004E4EE2">
        <w:lastRenderedPageBreak/>
        <w:t xml:space="preserve">perpetrators included a parent and a cousin, </w:t>
      </w:r>
      <w:r w:rsidR="00670C52">
        <w:t>we would record it</w:t>
      </w:r>
      <w:r w:rsidR="004E4EE2">
        <w:t xml:space="preserve"> under ‘Parent’ and not ‘Other Family’.</w:t>
      </w:r>
    </w:p>
    <w:p w14:paraId="2A7D7DD0" w14:textId="6C8E8C40" w:rsidR="00FD53C7" w:rsidRDefault="002F1888" w:rsidP="0063014A">
      <w:pPr>
        <w:spacing w:before="240" w:after="240" w:line="360" w:lineRule="auto"/>
      </w:pPr>
      <w:r w:rsidRPr="002F1888">
        <w:t>4</w:t>
      </w:r>
      <w:r w:rsidR="0045444A">
        <w:t>1</w:t>
      </w:r>
      <w:r w:rsidRPr="002F1888">
        <w:t xml:space="preserve"> (</w:t>
      </w:r>
      <w:r w:rsidR="00C3005A">
        <w:t>13.7</w:t>
      </w:r>
      <w:r w:rsidRPr="002F1888">
        <w:t xml:space="preserve">%) </w:t>
      </w:r>
      <w:r w:rsidR="00CE450F">
        <w:t>cases</w:t>
      </w:r>
      <w:r w:rsidRPr="002F1888">
        <w:t xml:space="preserve"> </w:t>
      </w:r>
      <w:r w:rsidR="00EC3248">
        <w:t>included</w:t>
      </w:r>
      <w:r w:rsidRPr="002F1888">
        <w:t xml:space="preserve"> a parent o</w:t>
      </w:r>
      <w:r w:rsidR="00106FD8">
        <w:t xml:space="preserve">r </w:t>
      </w:r>
      <w:r w:rsidR="00CE450F">
        <w:t xml:space="preserve">someone </w:t>
      </w:r>
      <w:r w:rsidR="00106FD8">
        <w:t>in a parental role to the victim</w:t>
      </w:r>
      <w:r w:rsidR="00CE450F">
        <w:t xml:space="preserve"> as the perpetrator</w:t>
      </w:r>
      <w:r w:rsidR="00106FD8">
        <w:t>. We did not differentiate between biological, step-parent, or adoptive parent for this</w:t>
      </w:r>
      <w:r w:rsidR="000B09F8">
        <w:t xml:space="preserve"> category.</w:t>
      </w:r>
      <w:r w:rsidR="00432606">
        <w:t xml:space="preserve"> In considering the age demographics of the victims of parental perpetrators:</w:t>
      </w:r>
    </w:p>
    <w:p w14:paraId="6EAF16D6" w14:textId="2FD89117" w:rsidR="00BE7E61" w:rsidRDefault="000B09F8" w:rsidP="0063014A">
      <w:pPr>
        <w:pStyle w:val="ListParagraph"/>
        <w:numPr>
          <w:ilvl w:val="0"/>
          <w:numId w:val="10"/>
        </w:numPr>
        <w:spacing w:before="240" w:after="240" w:line="360" w:lineRule="auto"/>
      </w:pPr>
      <w:r>
        <w:t>7 were infants</w:t>
      </w:r>
      <w:r w:rsidR="00410857">
        <w:t>;</w:t>
      </w:r>
      <w:r w:rsidR="00E92916">
        <w:t xml:space="preserve"> this was </w:t>
      </w:r>
      <w:r w:rsidR="00432606">
        <w:t>all</w:t>
      </w:r>
      <w:r w:rsidR="00E92916">
        <w:t xml:space="preserve"> the infant victims.</w:t>
      </w:r>
    </w:p>
    <w:p w14:paraId="3A801500" w14:textId="3E4AF7EE" w:rsidR="000B09F8" w:rsidRDefault="007805B9" w:rsidP="0063014A">
      <w:pPr>
        <w:pStyle w:val="ListParagraph"/>
        <w:numPr>
          <w:ilvl w:val="0"/>
          <w:numId w:val="10"/>
        </w:numPr>
        <w:spacing w:before="240" w:after="240" w:line="360" w:lineRule="auto"/>
      </w:pPr>
      <w:r>
        <w:t xml:space="preserve">7 </w:t>
      </w:r>
      <w:r w:rsidR="00E92916">
        <w:t>were toddlers</w:t>
      </w:r>
      <w:r w:rsidR="00410857">
        <w:t>;</w:t>
      </w:r>
      <w:r w:rsidR="00E92916">
        <w:t xml:space="preserve"> this was </w:t>
      </w:r>
      <w:r w:rsidR="00432606">
        <w:t>all</w:t>
      </w:r>
      <w:r w:rsidR="00E92916">
        <w:t xml:space="preserve"> the toddler victims</w:t>
      </w:r>
      <w:r w:rsidR="0001067E">
        <w:t>.</w:t>
      </w:r>
    </w:p>
    <w:p w14:paraId="3305B967" w14:textId="2BDA4BD3" w:rsidR="00432606" w:rsidRDefault="00432606" w:rsidP="0063014A">
      <w:pPr>
        <w:pStyle w:val="ListParagraph"/>
        <w:numPr>
          <w:ilvl w:val="0"/>
          <w:numId w:val="10"/>
        </w:numPr>
        <w:spacing w:before="240" w:after="240" w:line="360" w:lineRule="auto"/>
      </w:pPr>
      <w:r>
        <w:t>1</w:t>
      </w:r>
      <w:r w:rsidR="0045444A">
        <w:t>6</w:t>
      </w:r>
      <w:r>
        <w:t xml:space="preserve"> were children</w:t>
      </w:r>
      <w:r w:rsidR="00410857">
        <w:t>;</w:t>
      </w:r>
      <w:r w:rsidR="00E54633">
        <w:t xml:space="preserve"> this was </w:t>
      </w:r>
      <w:r w:rsidR="00C30245">
        <w:t>over half</w:t>
      </w:r>
      <w:r w:rsidR="00E54633">
        <w:t xml:space="preserve"> of </w:t>
      </w:r>
      <w:r w:rsidR="00670C52">
        <w:t>the child</w:t>
      </w:r>
      <w:r w:rsidR="00E54633">
        <w:t xml:space="preserve"> victims</w:t>
      </w:r>
      <w:r w:rsidR="00743BAA">
        <w:t>.</w:t>
      </w:r>
    </w:p>
    <w:p w14:paraId="2598DF07" w14:textId="6EB869ED" w:rsidR="00E54633" w:rsidRDefault="00743BAA" w:rsidP="0063014A">
      <w:pPr>
        <w:pStyle w:val="ListParagraph"/>
        <w:numPr>
          <w:ilvl w:val="0"/>
          <w:numId w:val="10"/>
        </w:numPr>
        <w:spacing w:before="240" w:after="240" w:line="360" w:lineRule="auto"/>
      </w:pPr>
      <w:r>
        <w:t>4 were teenagers.</w:t>
      </w:r>
    </w:p>
    <w:p w14:paraId="1BF629CF" w14:textId="6F3566DF" w:rsidR="0001067E" w:rsidRDefault="0001067E" w:rsidP="0063014A">
      <w:pPr>
        <w:pStyle w:val="ListParagraph"/>
        <w:numPr>
          <w:ilvl w:val="0"/>
          <w:numId w:val="10"/>
        </w:numPr>
        <w:spacing w:before="240" w:after="240" w:line="360" w:lineRule="auto"/>
      </w:pPr>
      <w:r>
        <w:t>9 were adults</w:t>
      </w:r>
      <w:r w:rsidR="00410857">
        <w:t>.</w:t>
      </w:r>
    </w:p>
    <w:p w14:paraId="023A60AC" w14:textId="511EE01F" w:rsidR="00872DFC" w:rsidRDefault="00CE450F" w:rsidP="0063014A">
      <w:pPr>
        <w:spacing w:before="240" w:after="240" w:line="360" w:lineRule="auto"/>
      </w:pPr>
      <w:r>
        <w:t>There were</w:t>
      </w:r>
      <w:r w:rsidR="00872DFC">
        <w:t xml:space="preserve"> </w:t>
      </w:r>
      <w:r w:rsidR="00EF5C43">
        <w:t>2</w:t>
      </w:r>
      <w:r w:rsidR="0045444A">
        <w:t>1</w:t>
      </w:r>
      <w:r w:rsidR="00EF5C43">
        <w:t xml:space="preserve"> </w:t>
      </w:r>
      <w:r w:rsidR="00872DFC">
        <w:t xml:space="preserve">male </w:t>
      </w:r>
      <w:r w:rsidR="00670C52">
        <w:t>victims</w:t>
      </w:r>
      <w:r w:rsidR="00872DFC">
        <w:t xml:space="preserve"> </w:t>
      </w:r>
      <w:r w:rsidR="00EF5C43">
        <w:t xml:space="preserve">and </w:t>
      </w:r>
      <w:r w:rsidR="00872DFC">
        <w:t>2</w:t>
      </w:r>
      <w:r w:rsidR="00EF5C43">
        <w:t>2</w:t>
      </w:r>
      <w:r w:rsidR="00872DFC">
        <w:t xml:space="preserve"> female </w:t>
      </w:r>
      <w:r w:rsidR="004E5162">
        <w:t>victims</w:t>
      </w:r>
      <w:r w:rsidR="0045444A">
        <w:t>, as one case involved the murders of three siblings</w:t>
      </w:r>
      <w:r w:rsidR="00EF5C43">
        <w:t xml:space="preserve">. </w:t>
      </w:r>
    </w:p>
    <w:p w14:paraId="3741EDA5" w14:textId="67431071" w:rsidR="009C7D95" w:rsidRDefault="00EF5C43" w:rsidP="0063014A">
      <w:pPr>
        <w:spacing w:before="240" w:after="240" w:line="360" w:lineRule="auto"/>
      </w:pPr>
      <w:r>
        <w:t>Given</w:t>
      </w:r>
      <w:r w:rsidR="001C245E">
        <w:t xml:space="preserve"> </w:t>
      </w:r>
      <w:r>
        <w:t>who</w:t>
      </w:r>
      <w:r w:rsidR="001C245E">
        <w:t xml:space="preserve"> infants</w:t>
      </w:r>
      <w:r w:rsidR="0099566A">
        <w:t>, toddlers and children</w:t>
      </w:r>
      <w:r w:rsidR="001C245E">
        <w:t xml:space="preserve"> are most likely to come into contact with</w:t>
      </w:r>
      <w:r>
        <w:t xml:space="preserve"> </w:t>
      </w:r>
      <w:r w:rsidR="00C4600D">
        <w:t>daily</w:t>
      </w:r>
      <w:r>
        <w:t>, that m</w:t>
      </w:r>
      <w:r w:rsidR="0099566A">
        <w:t xml:space="preserve">ost perpetrators of crimes against Disabled children, toddlers, and babies </w:t>
      </w:r>
      <w:r w:rsidR="00670C52">
        <w:t>we</w:t>
      </w:r>
      <w:r w:rsidR="0099566A">
        <w:t>re their parents</w:t>
      </w:r>
      <w:r>
        <w:t xml:space="preserve"> was not unexpected</w:t>
      </w:r>
      <w:r w:rsidR="0099566A">
        <w:t>.</w:t>
      </w:r>
      <w:r w:rsidR="009C7D95">
        <w:t xml:space="preserve"> </w:t>
      </w:r>
    </w:p>
    <w:p w14:paraId="188B880C" w14:textId="7D1D74AC" w:rsidR="001C245E" w:rsidRDefault="00B57BFB" w:rsidP="0063014A">
      <w:pPr>
        <w:spacing w:before="240" w:after="240" w:line="360" w:lineRule="auto"/>
      </w:pPr>
      <w:r>
        <w:t>Sometimes</w:t>
      </w:r>
      <w:r w:rsidR="009C7D95">
        <w:t xml:space="preserve">, </w:t>
      </w:r>
      <w:r w:rsidR="0091249D">
        <w:t>a</w:t>
      </w:r>
      <w:r w:rsidR="009C7D95">
        <w:t xml:space="preserve"> parent and </w:t>
      </w:r>
      <w:r>
        <w:t xml:space="preserve">other </w:t>
      </w:r>
      <w:r w:rsidR="0091249D">
        <w:t>non-parental</w:t>
      </w:r>
      <w:r>
        <w:t xml:space="preserve"> </w:t>
      </w:r>
      <w:r w:rsidR="009C7D95">
        <w:t>family member</w:t>
      </w:r>
      <w:r w:rsidR="0091249D">
        <w:t>s</w:t>
      </w:r>
      <w:r w:rsidR="009C7D95">
        <w:t xml:space="preserve"> were involved in perpetrating the crime. For example, </w:t>
      </w:r>
      <w:r w:rsidR="00676E0E">
        <w:t>Julie Burdett</w:t>
      </w:r>
      <w:r w:rsidR="002F5851">
        <w:t xml:space="preserve"> was 61 when she died </w:t>
      </w:r>
      <w:r w:rsidR="0091249D">
        <w:t>because of</w:t>
      </w:r>
      <w:r w:rsidR="002F5851">
        <w:t xml:space="preserve"> neglect perpetrated by her father, 93, and her brother, 59</w:t>
      </w:r>
      <w:r w:rsidR="002953D6">
        <w:rPr>
          <w:rStyle w:val="FootnoteReference"/>
        </w:rPr>
        <w:footnoteReference w:id="18"/>
      </w:r>
      <w:r w:rsidR="0091249D">
        <w:t>. As neglect result</w:t>
      </w:r>
      <w:r w:rsidR="00AF4919">
        <w:t>ed</w:t>
      </w:r>
      <w:r w:rsidR="0091249D">
        <w:t xml:space="preserve"> from</w:t>
      </w:r>
      <w:r w:rsidR="00AF4919">
        <w:t xml:space="preserve"> </w:t>
      </w:r>
      <w:r w:rsidR="00C4600D">
        <w:t>a lack</w:t>
      </w:r>
      <w:r w:rsidR="00AF4919">
        <w:t xml:space="preserve"> of</w:t>
      </w:r>
      <w:r w:rsidR="0091249D">
        <w:t xml:space="preserve"> </w:t>
      </w:r>
      <w:r>
        <w:t>actions,</w:t>
      </w:r>
      <w:r w:rsidR="00AF4919">
        <w:t xml:space="preserve"> including those</w:t>
      </w:r>
      <w:r w:rsidR="0091249D">
        <w:t xml:space="preserve"> deemed to be</w:t>
      </w:r>
      <w:r w:rsidR="00EA7B25">
        <w:t xml:space="preserve"> within </w:t>
      </w:r>
      <w:r w:rsidR="00EA7B25">
        <w:lastRenderedPageBreak/>
        <w:t>the capacity of her father</w:t>
      </w:r>
      <w:r w:rsidR="00AF4919">
        <w:t xml:space="preserve"> considering his</w:t>
      </w:r>
      <w:r w:rsidR="00EA7B25">
        <w:t xml:space="preserve"> own impairments</w:t>
      </w:r>
      <w:r w:rsidR="00EF5C43">
        <w:t xml:space="preserve">, </w:t>
      </w:r>
      <w:r w:rsidR="00EA7B25">
        <w:t xml:space="preserve">both </w:t>
      </w:r>
      <w:r w:rsidR="0091249D">
        <w:t>parties were charged with manslaughter by gross negligence.</w:t>
      </w:r>
    </w:p>
    <w:p w14:paraId="05D58BDE" w14:textId="77777777" w:rsidR="007D68FB" w:rsidRDefault="007D68FB" w:rsidP="0063014A">
      <w:pPr>
        <w:spacing w:before="240" w:after="240" w:line="360" w:lineRule="auto"/>
      </w:pPr>
    </w:p>
    <w:p w14:paraId="1E401A1B" w14:textId="5AEB396A" w:rsidR="00317FA2" w:rsidRDefault="00317FA2" w:rsidP="0063014A">
      <w:pPr>
        <w:spacing w:before="240" w:after="240" w:line="360" w:lineRule="auto"/>
      </w:pPr>
      <w:r>
        <w:t xml:space="preserve">11 (3.7%) </w:t>
      </w:r>
      <w:r w:rsidR="008F36BF">
        <w:t xml:space="preserve">cases </w:t>
      </w:r>
      <w:r w:rsidR="00CC66F6">
        <w:t xml:space="preserve">included a perpetrator who was </w:t>
      </w:r>
      <w:r>
        <w:t>the child of their victim</w:t>
      </w:r>
      <w:r w:rsidR="00CC66F6">
        <w:t>(</w:t>
      </w:r>
      <w:r>
        <w:t>s</w:t>
      </w:r>
      <w:r w:rsidR="00CC66F6">
        <w:t>)</w:t>
      </w:r>
      <w:r w:rsidR="00994B63">
        <w:t>.</w:t>
      </w:r>
      <w:r w:rsidR="00994B63" w:rsidRPr="00994B63">
        <w:t xml:space="preserve"> </w:t>
      </w:r>
      <w:r w:rsidR="00994B63">
        <w:t>In considering the age demographics of the victims of child perpetrators:</w:t>
      </w:r>
    </w:p>
    <w:p w14:paraId="52374447" w14:textId="33C49F1C" w:rsidR="00994B63" w:rsidRDefault="002543FB" w:rsidP="0063014A">
      <w:pPr>
        <w:pStyle w:val="ListParagraph"/>
        <w:numPr>
          <w:ilvl w:val="0"/>
          <w:numId w:val="10"/>
        </w:numPr>
        <w:spacing w:before="240" w:after="240" w:line="360" w:lineRule="auto"/>
      </w:pPr>
      <w:r>
        <w:t>2 were adults</w:t>
      </w:r>
      <w:r w:rsidR="00D36628">
        <w:t>.</w:t>
      </w:r>
    </w:p>
    <w:p w14:paraId="171C6238" w14:textId="4E216A1D" w:rsidR="00EA6B16" w:rsidRDefault="00D36628" w:rsidP="0063014A">
      <w:pPr>
        <w:pStyle w:val="ListParagraph"/>
        <w:numPr>
          <w:ilvl w:val="0"/>
          <w:numId w:val="10"/>
        </w:numPr>
        <w:spacing w:before="240" w:after="240" w:line="360" w:lineRule="auto"/>
      </w:pPr>
      <w:r>
        <w:t>9 were elderly</w:t>
      </w:r>
      <w:r w:rsidR="00704A65">
        <w:t>.</w:t>
      </w:r>
    </w:p>
    <w:p w14:paraId="7147CAE6" w14:textId="3EC862F6" w:rsidR="009C7AC0" w:rsidRDefault="009C7AC0" w:rsidP="0063014A">
      <w:pPr>
        <w:spacing w:before="240" w:after="240" w:line="360" w:lineRule="auto"/>
      </w:pPr>
      <w:r>
        <w:t>The</w:t>
      </w:r>
      <w:r w:rsidR="00B57BFB">
        <w:t xml:space="preserve">re were </w:t>
      </w:r>
      <w:r w:rsidR="0057032C">
        <w:t xml:space="preserve">2 male </w:t>
      </w:r>
      <w:r w:rsidR="004E5162">
        <w:t>victims</w:t>
      </w:r>
      <w:r w:rsidR="0057032C">
        <w:t xml:space="preserve"> and 9 female </w:t>
      </w:r>
      <w:r w:rsidR="004E5162">
        <w:t>victims</w:t>
      </w:r>
      <w:r w:rsidR="0057032C">
        <w:t>.</w:t>
      </w:r>
    </w:p>
    <w:p w14:paraId="1FDDA4E1" w14:textId="5FCC76C8" w:rsidR="00704A65" w:rsidRDefault="00512D5E" w:rsidP="0063014A">
      <w:pPr>
        <w:spacing w:before="240" w:after="240" w:line="360" w:lineRule="auto"/>
      </w:pPr>
      <w:r>
        <w:t xml:space="preserve">As with the parental perpetrators, there </w:t>
      </w:r>
      <w:r w:rsidR="0063014A">
        <w:t>were cases</w:t>
      </w:r>
      <w:r>
        <w:t xml:space="preserve"> where a</w:t>
      </w:r>
      <w:r w:rsidR="00DA5057">
        <w:t xml:space="preserve"> child and another individual, often a partner or another family member, were both involved in the crime. For example, Betty Guy was murdered in 2011 by her </w:t>
      </w:r>
      <w:r w:rsidR="006B7B62">
        <w:t>daughter and her grandson</w:t>
      </w:r>
      <w:r w:rsidR="008F36BF">
        <w:rPr>
          <w:rStyle w:val="FootnoteReference"/>
        </w:rPr>
        <w:footnoteReference w:id="19"/>
      </w:r>
      <w:r w:rsidR="006B7B62">
        <w:t>.</w:t>
      </w:r>
    </w:p>
    <w:p w14:paraId="79665D28" w14:textId="77777777" w:rsidR="00253535" w:rsidRDefault="00253535" w:rsidP="00704A65">
      <w:pPr>
        <w:spacing w:before="240" w:after="240" w:line="360" w:lineRule="auto"/>
      </w:pPr>
    </w:p>
    <w:p w14:paraId="07FF5DBD" w14:textId="4005F20C" w:rsidR="00253535" w:rsidRPr="002F1888" w:rsidRDefault="00600D46" w:rsidP="0063014A">
      <w:pPr>
        <w:spacing w:before="240" w:after="240" w:line="360" w:lineRule="auto"/>
      </w:pPr>
      <w:r>
        <w:t>1</w:t>
      </w:r>
      <w:r w:rsidR="006C357B">
        <w:t>1</w:t>
      </w:r>
      <w:r>
        <w:t xml:space="preserve"> (3.</w:t>
      </w:r>
      <w:r w:rsidR="006C357B">
        <w:t>7</w:t>
      </w:r>
      <w:r>
        <w:t xml:space="preserve">%) </w:t>
      </w:r>
      <w:r w:rsidR="00CC66F6">
        <w:t xml:space="preserve">cases </w:t>
      </w:r>
      <w:r w:rsidR="00DD28EA">
        <w:t>were categorised under ‘Other Family’; that is,</w:t>
      </w:r>
      <w:r w:rsidR="00CC66F6">
        <w:t xml:space="preserve"> perpetrators who were</w:t>
      </w:r>
      <w:r>
        <w:t xml:space="preserve"> </w:t>
      </w:r>
      <w:r w:rsidR="00927F30">
        <w:t>family members</w:t>
      </w:r>
      <w:r w:rsidR="00CC66F6">
        <w:t xml:space="preserve"> other than parents, partners, or children</w:t>
      </w:r>
      <w:r w:rsidR="00927F30">
        <w:t>. In considering the age demographics of the victims of other family perpetrators:</w:t>
      </w:r>
    </w:p>
    <w:p w14:paraId="66648961" w14:textId="7B6C3CBB" w:rsidR="00B05FE7" w:rsidRDefault="007710C9" w:rsidP="0063014A">
      <w:pPr>
        <w:pStyle w:val="ListParagraph"/>
        <w:numPr>
          <w:ilvl w:val="0"/>
          <w:numId w:val="10"/>
        </w:numPr>
        <w:spacing w:before="240" w:after="240" w:line="360" w:lineRule="auto"/>
      </w:pPr>
      <w:r w:rsidRPr="00B05FE7">
        <w:t>2 were children</w:t>
      </w:r>
      <w:r w:rsidR="00B05FE7" w:rsidRPr="00B05FE7">
        <w:t>.</w:t>
      </w:r>
    </w:p>
    <w:p w14:paraId="0262D07E" w14:textId="51BECD71" w:rsidR="00C4600D" w:rsidRPr="00B05FE7" w:rsidRDefault="006C357B" w:rsidP="0063014A">
      <w:pPr>
        <w:pStyle w:val="ListParagraph"/>
        <w:numPr>
          <w:ilvl w:val="0"/>
          <w:numId w:val="10"/>
        </w:numPr>
        <w:spacing w:before="240" w:after="240" w:line="360" w:lineRule="auto"/>
      </w:pPr>
      <w:r>
        <w:t>3</w:t>
      </w:r>
      <w:r w:rsidR="00C4600D">
        <w:t xml:space="preserve"> were teenagers.</w:t>
      </w:r>
    </w:p>
    <w:p w14:paraId="00B1731A" w14:textId="2A27533C" w:rsidR="00DE005E" w:rsidRPr="00B05FE7" w:rsidRDefault="00B05FE7" w:rsidP="0063014A">
      <w:pPr>
        <w:pStyle w:val="ListParagraph"/>
        <w:numPr>
          <w:ilvl w:val="0"/>
          <w:numId w:val="10"/>
        </w:numPr>
        <w:spacing w:before="240" w:after="240" w:line="360" w:lineRule="auto"/>
      </w:pPr>
      <w:r w:rsidRPr="00B05FE7">
        <w:t>2 were adults.</w:t>
      </w:r>
      <w:r w:rsidR="007710C9" w:rsidRPr="00B05FE7">
        <w:t xml:space="preserve"> </w:t>
      </w:r>
    </w:p>
    <w:p w14:paraId="2F88077F" w14:textId="10D34426" w:rsidR="00B05FE7" w:rsidRPr="00826E25" w:rsidRDefault="005724A8" w:rsidP="0063014A">
      <w:pPr>
        <w:pStyle w:val="ListParagraph"/>
        <w:numPr>
          <w:ilvl w:val="0"/>
          <w:numId w:val="10"/>
        </w:numPr>
        <w:spacing w:before="240" w:after="240" w:line="360" w:lineRule="auto"/>
      </w:pPr>
      <w:r w:rsidRPr="00826E25">
        <w:lastRenderedPageBreak/>
        <w:t>4 were elderly.</w:t>
      </w:r>
    </w:p>
    <w:p w14:paraId="2A11EF7C" w14:textId="5FDE593D" w:rsidR="00FF7635" w:rsidRDefault="007F3A89" w:rsidP="0063014A">
      <w:pPr>
        <w:pStyle w:val="Content"/>
        <w:rPr>
          <w:rFonts w:cs="Open Sans"/>
        </w:rPr>
      </w:pPr>
      <w:r>
        <w:rPr>
          <w:rFonts w:cs="Open Sans"/>
        </w:rPr>
        <w:t>The</w:t>
      </w:r>
      <w:r w:rsidR="00CC66F6">
        <w:rPr>
          <w:rFonts w:cs="Open Sans"/>
        </w:rPr>
        <w:t>re were</w:t>
      </w:r>
      <w:r>
        <w:rPr>
          <w:rFonts w:cs="Open Sans"/>
        </w:rPr>
        <w:t xml:space="preserve"> 3 male</w:t>
      </w:r>
      <w:r w:rsidR="004E5162">
        <w:rPr>
          <w:rFonts w:cs="Open Sans"/>
        </w:rPr>
        <w:t xml:space="preserve"> victims and </w:t>
      </w:r>
      <w:r w:rsidR="006C357B">
        <w:rPr>
          <w:rFonts w:cs="Open Sans"/>
        </w:rPr>
        <w:t>8</w:t>
      </w:r>
      <w:r w:rsidR="008043D4">
        <w:rPr>
          <w:rFonts w:cs="Open Sans"/>
        </w:rPr>
        <w:t xml:space="preserve"> female victims.</w:t>
      </w:r>
    </w:p>
    <w:p w14:paraId="4EA69D7C" w14:textId="77777777" w:rsidR="008043D4" w:rsidRDefault="008043D4" w:rsidP="0063014A">
      <w:pPr>
        <w:pStyle w:val="Content"/>
        <w:rPr>
          <w:rFonts w:cs="Open Sans"/>
        </w:rPr>
      </w:pPr>
    </w:p>
    <w:p w14:paraId="358C9D9D" w14:textId="7F267419" w:rsidR="00FF7635" w:rsidRDefault="00BE7E61" w:rsidP="0063014A">
      <w:pPr>
        <w:pStyle w:val="Content"/>
      </w:pPr>
      <w:r>
        <w:rPr>
          <w:rFonts w:cs="Open Sans"/>
        </w:rPr>
        <w:t>4</w:t>
      </w:r>
      <w:r w:rsidR="00884542">
        <w:rPr>
          <w:rFonts w:cs="Open Sans"/>
        </w:rPr>
        <w:t>9</w:t>
      </w:r>
      <w:r>
        <w:rPr>
          <w:rFonts w:cs="Open Sans"/>
        </w:rPr>
        <w:t xml:space="preserve"> (1</w:t>
      </w:r>
      <w:r w:rsidR="00884542">
        <w:rPr>
          <w:rFonts w:cs="Open Sans"/>
        </w:rPr>
        <w:t>6</w:t>
      </w:r>
      <w:r>
        <w:rPr>
          <w:rFonts w:cs="Open Sans"/>
        </w:rPr>
        <w:t>.</w:t>
      </w:r>
      <w:r w:rsidR="00884542">
        <w:rPr>
          <w:rFonts w:cs="Open Sans"/>
        </w:rPr>
        <w:t>4</w:t>
      </w:r>
      <w:r>
        <w:rPr>
          <w:rFonts w:cs="Open Sans"/>
        </w:rPr>
        <w:t>%)</w:t>
      </w:r>
      <w:r w:rsidR="00AE52CC">
        <w:rPr>
          <w:rFonts w:cs="Open Sans"/>
        </w:rPr>
        <w:t xml:space="preserve"> </w:t>
      </w:r>
      <w:r w:rsidR="006148CD">
        <w:rPr>
          <w:rFonts w:cs="Open Sans"/>
        </w:rPr>
        <w:t>cases involved perpetrators who</w:t>
      </w:r>
      <w:r>
        <w:rPr>
          <w:rFonts w:cs="Open Sans"/>
        </w:rPr>
        <w:t xml:space="preserve"> were </w:t>
      </w:r>
      <w:r w:rsidR="00C9145E">
        <w:rPr>
          <w:rFonts w:cs="Open Sans"/>
        </w:rPr>
        <w:t xml:space="preserve">current </w:t>
      </w:r>
      <w:r w:rsidR="00884542">
        <w:rPr>
          <w:rFonts w:cs="Open Sans"/>
        </w:rPr>
        <w:t>or ex-</w:t>
      </w:r>
      <w:r w:rsidR="00C9145E">
        <w:rPr>
          <w:rFonts w:cs="Open Sans"/>
        </w:rPr>
        <w:t xml:space="preserve">partners </w:t>
      </w:r>
      <w:r w:rsidR="006148CD">
        <w:rPr>
          <w:rFonts w:cs="Open Sans"/>
        </w:rPr>
        <w:t>of the victim.</w:t>
      </w:r>
      <w:r w:rsidR="00A03169">
        <w:rPr>
          <w:rFonts w:cs="Open Sans"/>
        </w:rPr>
        <w:t xml:space="preserve"> </w:t>
      </w:r>
      <w:r w:rsidR="00A03169">
        <w:t>In considering the age demographics of the victims of partner perpetrators:</w:t>
      </w:r>
    </w:p>
    <w:p w14:paraId="6983F94D" w14:textId="627627EC" w:rsidR="00884542" w:rsidRDefault="005367E0" w:rsidP="0063014A">
      <w:pPr>
        <w:pStyle w:val="ListParagraph"/>
        <w:numPr>
          <w:ilvl w:val="0"/>
          <w:numId w:val="10"/>
        </w:numPr>
        <w:spacing w:before="240" w:after="240" w:line="360" w:lineRule="auto"/>
        <w:rPr>
          <w:rFonts w:cs="Open Sans"/>
        </w:rPr>
      </w:pPr>
      <w:r>
        <w:rPr>
          <w:rFonts w:cs="Open Sans"/>
        </w:rPr>
        <w:t>1 was a teenager.</w:t>
      </w:r>
    </w:p>
    <w:p w14:paraId="129E6A58" w14:textId="47A82455" w:rsidR="00A03169" w:rsidRDefault="00E90145" w:rsidP="0063014A">
      <w:pPr>
        <w:pStyle w:val="ListParagraph"/>
        <w:numPr>
          <w:ilvl w:val="0"/>
          <w:numId w:val="10"/>
        </w:numPr>
        <w:spacing w:before="240" w:after="240" w:line="360" w:lineRule="auto"/>
        <w:rPr>
          <w:rFonts w:cs="Open Sans"/>
        </w:rPr>
      </w:pPr>
      <w:r>
        <w:rPr>
          <w:rFonts w:cs="Open Sans"/>
        </w:rPr>
        <w:t>2</w:t>
      </w:r>
      <w:r w:rsidR="005367E0">
        <w:rPr>
          <w:rFonts w:cs="Open Sans"/>
        </w:rPr>
        <w:t>3</w:t>
      </w:r>
      <w:r>
        <w:rPr>
          <w:rFonts w:cs="Open Sans"/>
        </w:rPr>
        <w:t xml:space="preserve"> were adults</w:t>
      </w:r>
      <w:r w:rsidR="00566763">
        <w:rPr>
          <w:rFonts w:cs="Open Sans"/>
        </w:rPr>
        <w:t>.</w:t>
      </w:r>
    </w:p>
    <w:p w14:paraId="63CC0410" w14:textId="0A4A6B29" w:rsidR="00566763" w:rsidRDefault="00566763" w:rsidP="0063014A">
      <w:pPr>
        <w:pStyle w:val="ListParagraph"/>
        <w:numPr>
          <w:ilvl w:val="0"/>
          <w:numId w:val="10"/>
        </w:numPr>
        <w:spacing w:before="240" w:after="240" w:line="360" w:lineRule="auto"/>
        <w:rPr>
          <w:rFonts w:cs="Open Sans"/>
        </w:rPr>
      </w:pPr>
      <w:r>
        <w:rPr>
          <w:rFonts w:cs="Open Sans"/>
        </w:rPr>
        <w:t>25 were elderly.</w:t>
      </w:r>
    </w:p>
    <w:p w14:paraId="097AD685" w14:textId="62681212" w:rsidR="00DD313C" w:rsidRPr="00566763" w:rsidRDefault="00566763" w:rsidP="0063014A">
      <w:pPr>
        <w:spacing w:before="240" w:after="240" w:line="360" w:lineRule="auto"/>
        <w:rPr>
          <w:rFonts w:cs="Open Sans"/>
        </w:rPr>
      </w:pPr>
      <w:r>
        <w:rPr>
          <w:rFonts w:cs="Open Sans"/>
        </w:rPr>
        <w:t xml:space="preserve">There was also </w:t>
      </w:r>
      <w:r w:rsidR="0022399E">
        <w:rPr>
          <w:rFonts w:cs="Open Sans"/>
        </w:rPr>
        <w:t>a clear</w:t>
      </w:r>
      <w:r w:rsidR="008A6232">
        <w:rPr>
          <w:rFonts w:cs="Open Sans"/>
        </w:rPr>
        <w:t xml:space="preserve"> </w:t>
      </w:r>
      <w:r w:rsidR="00DD28EA">
        <w:rPr>
          <w:rFonts w:cs="Open Sans"/>
        </w:rPr>
        <w:t>skew</w:t>
      </w:r>
      <w:r w:rsidR="008A6232">
        <w:rPr>
          <w:rFonts w:cs="Open Sans"/>
        </w:rPr>
        <w:t xml:space="preserve"> in the gender of the victims</w:t>
      </w:r>
      <w:r>
        <w:rPr>
          <w:rFonts w:cs="Open Sans"/>
        </w:rPr>
        <w:t xml:space="preserve"> within this category</w:t>
      </w:r>
      <w:r w:rsidR="008043D4">
        <w:rPr>
          <w:rFonts w:cs="Open Sans"/>
        </w:rPr>
        <w:t>, with 4 male</w:t>
      </w:r>
      <w:r w:rsidR="00DD313C">
        <w:rPr>
          <w:rFonts w:cs="Open Sans"/>
        </w:rPr>
        <w:t xml:space="preserve"> victims</w:t>
      </w:r>
      <w:r w:rsidR="008043D4">
        <w:rPr>
          <w:rFonts w:cs="Open Sans"/>
        </w:rPr>
        <w:t xml:space="preserve"> and 4</w:t>
      </w:r>
      <w:r w:rsidR="005367E0">
        <w:rPr>
          <w:rFonts w:cs="Open Sans"/>
        </w:rPr>
        <w:t>5</w:t>
      </w:r>
      <w:r w:rsidR="00DD313C">
        <w:rPr>
          <w:rFonts w:cs="Open Sans"/>
        </w:rPr>
        <w:t xml:space="preserve"> </w:t>
      </w:r>
      <w:r w:rsidR="008043D4">
        <w:rPr>
          <w:rFonts w:cs="Open Sans"/>
        </w:rPr>
        <w:t xml:space="preserve">female </w:t>
      </w:r>
      <w:r w:rsidR="00DD313C">
        <w:rPr>
          <w:rFonts w:cs="Open Sans"/>
        </w:rPr>
        <w:t>victims.</w:t>
      </w:r>
    </w:p>
    <w:p w14:paraId="00C65C9C" w14:textId="77777777" w:rsidR="00FF7635" w:rsidRDefault="00FF7635" w:rsidP="00FF7635">
      <w:pPr>
        <w:pStyle w:val="Content"/>
        <w:rPr>
          <w:rFonts w:cs="Open Sans"/>
        </w:rPr>
      </w:pPr>
    </w:p>
    <w:p w14:paraId="50D80F60" w14:textId="10800C27" w:rsidR="00E1662F" w:rsidRDefault="002A4A3B" w:rsidP="0063014A">
      <w:pPr>
        <w:pStyle w:val="Content"/>
        <w:rPr>
          <w:rFonts w:cs="Open Sans"/>
        </w:rPr>
      </w:pPr>
      <w:r>
        <w:rPr>
          <w:rFonts w:cs="Open Sans"/>
        </w:rPr>
        <w:t xml:space="preserve">18 (6.0%) </w:t>
      </w:r>
      <w:r w:rsidR="00AE52CC">
        <w:rPr>
          <w:rFonts w:cs="Open Sans"/>
        </w:rPr>
        <w:t xml:space="preserve">cases </w:t>
      </w:r>
      <w:r w:rsidR="00DD28EA">
        <w:rPr>
          <w:rFonts w:cs="Open Sans"/>
        </w:rPr>
        <w:t>were categorised under ‘Friend’, meaning</w:t>
      </w:r>
      <w:r>
        <w:rPr>
          <w:rFonts w:cs="Open Sans"/>
        </w:rPr>
        <w:t xml:space="preserve"> perpetrators that the victim </w:t>
      </w:r>
      <w:r w:rsidR="001B2C54">
        <w:rPr>
          <w:rFonts w:cs="Open Sans"/>
        </w:rPr>
        <w:t>or their</w:t>
      </w:r>
      <w:r>
        <w:rPr>
          <w:rFonts w:cs="Open Sans"/>
        </w:rPr>
        <w:t xml:space="preserve"> family believed were friends</w:t>
      </w:r>
      <w:r w:rsidR="001B2C54">
        <w:rPr>
          <w:rFonts w:cs="Open Sans"/>
        </w:rPr>
        <w:t xml:space="preserve"> of the victim. As many of these instances involved </w:t>
      </w:r>
      <w:r w:rsidR="004321C3">
        <w:rPr>
          <w:rFonts w:cs="Open Sans"/>
        </w:rPr>
        <w:t>deliberate manipulation and exploitation, it is often clear in hindsight that many were not actually friends</w:t>
      </w:r>
      <w:r w:rsidR="00E1662F">
        <w:rPr>
          <w:rFonts w:cs="Open Sans"/>
        </w:rPr>
        <w:t>, though some instances of tragic outcomes from disputes between friends were reported</w:t>
      </w:r>
      <w:r>
        <w:rPr>
          <w:rFonts w:cs="Open Sans"/>
        </w:rPr>
        <w:t xml:space="preserve">. </w:t>
      </w:r>
    </w:p>
    <w:p w14:paraId="52030B97" w14:textId="28C96297" w:rsidR="005367E0" w:rsidRDefault="002A4A3B" w:rsidP="0063014A">
      <w:pPr>
        <w:pStyle w:val="Content"/>
        <w:rPr>
          <w:rFonts w:cs="Open Sans"/>
        </w:rPr>
      </w:pPr>
      <w:r>
        <w:t xml:space="preserve">In considering the age demographics of the victims of </w:t>
      </w:r>
      <w:r w:rsidR="005F1475">
        <w:t>perceived-friend</w:t>
      </w:r>
      <w:r>
        <w:t xml:space="preserve"> perpetrators:</w:t>
      </w:r>
    </w:p>
    <w:p w14:paraId="691EEB89" w14:textId="6379B03A" w:rsidR="002A4A3B" w:rsidRDefault="009E795D" w:rsidP="0063014A">
      <w:pPr>
        <w:pStyle w:val="ListParagraph"/>
        <w:numPr>
          <w:ilvl w:val="0"/>
          <w:numId w:val="10"/>
        </w:numPr>
        <w:spacing w:before="240" w:after="240" w:line="360" w:lineRule="auto"/>
        <w:rPr>
          <w:rFonts w:cs="Open Sans"/>
        </w:rPr>
      </w:pPr>
      <w:r>
        <w:rPr>
          <w:rFonts w:cs="Open Sans"/>
        </w:rPr>
        <w:t>3 were teenagers.</w:t>
      </w:r>
    </w:p>
    <w:p w14:paraId="65FA0E50" w14:textId="1A3E25E8" w:rsidR="009E795D" w:rsidRDefault="009E795D" w:rsidP="0063014A">
      <w:pPr>
        <w:pStyle w:val="ListParagraph"/>
        <w:numPr>
          <w:ilvl w:val="0"/>
          <w:numId w:val="10"/>
        </w:numPr>
        <w:spacing w:before="240" w:after="240" w:line="360" w:lineRule="auto"/>
        <w:rPr>
          <w:rFonts w:cs="Open Sans"/>
        </w:rPr>
      </w:pPr>
      <w:r>
        <w:rPr>
          <w:rFonts w:cs="Open Sans"/>
        </w:rPr>
        <w:t>14 were adults.</w:t>
      </w:r>
    </w:p>
    <w:p w14:paraId="1DDACFE7" w14:textId="1DA3E308" w:rsidR="009E795D" w:rsidRDefault="009E795D" w:rsidP="0063014A">
      <w:pPr>
        <w:pStyle w:val="ListParagraph"/>
        <w:numPr>
          <w:ilvl w:val="0"/>
          <w:numId w:val="10"/>
        </w:numPr>
        <w:spacing w:before="240" w:after="240" w:line="360" w:lineRule="auto"/>
        <w:rPr>
          <w:rFonts w:cs="Open Sans"/>
        </w:rPr>
      </w:pPr>
      <w:r>
        <w:rPr>
          <w:rFonts w:cs="Open Sans"/>
        </w:rPr>
        <w:lastRenderedPageBreak/>
        <w:t>1 was elderly.</w:t>
      </w:r>
    </w:p>
    <w:p w14:paraId="6CDCA786" w14:textId="3D250E2C" w:rsidR="007C724E" w:rsidRDefault="009E795D" w:rsidP="0063014A">
      <w:pPr>
        <w:pStyle w:val="Content"/>
        <w:rPr>
          <w:rFonts w:cs="Open Sans"/>
        </w:rPr>
      </w:pPr>
      <w:r>
        <w:rPr>
          <w:rFonts w:cs="Open Sans"/>
        </w:rPr>
        <w:t xml:space="preserve">This </w:t>
      </w:r>
      <w:r w:rsidR="008A6232">
        <w:rPr>
          <w:rFonts w:cs="Open Sans"/>
        </w:rPr>
        <w:t xml:space="preserve">category also had </w:t>
      </w:r>
      <w:r w:rsidR="008043D4">
        <w:rPr>
          <w:rFonts w:cs="Open Sans"/>
        </w:rPr>
        <w:t>notable</w:t>
      </w:r>
      <w:r w:rsidR="008A6232">
        <w:rPr>
          <w:rFonts w:cs="Open Sans"/>
        </w:rPr>
        <w:t xml:space="preserve"> gender </w:t>
      </w:r>
      <w:r w:rsidR="00DD28EA">
        <w:rPr>
          <w:rFonts w:cs="Open Sans"/>
        </w:rPr>
        <w:t>skew</w:t>
      </w:r>
      <w:r w:rsidR="008A6232">
        <w:rPr>
          <w:rFonts w:cs="Open Sans"/>
        </w:rPr>
        <w:t xml:space="preserve"> amongst the </w:t>
      </w:r>
      <w:r w:rsidR="0022399E">
        <w:rPr>
          <w:rFonts w:cs="Open Sans"/>
        </w:rPr>
        <w:t>victims,</w:t>
      </w:r>
      <w:r w:rsidR="008A6232">
        <w:rPr>
          <w:rFonts w:cs="Open Sans"/>
        </w:rPr>
        <w:t xml:space="preserve"> </w:t>
      </w:r>
      <w:r w:rsidR="007C724E">
        <w:rPr>
          <w:rFonts w:cs="Open Sans"/>
        </w:rPr>
        <w:t>as</w:t>
      </w:r>
      <w:r w:rsidR="008043D4">
        <w:rPr>
          <w:rFonts w:cs="Open Sans"/>
        </w:rPr>
        <w:t xml:space="preserve"> </w:t>
      </w:r>
      <w:r w:rsidR="007C724E">
        <w:rPr>
          <w:rFonts w:cs="Open Sans"/>
        </w:rPr>
        <w:t xml:space="preserve">15 victims were </w:t>
      </w:r>
      <w:r w:rsidR="00C4600D">
        <w:rPr>
          <w:rFonts w:cs="Open Sans"/>
        </w:rPr>
        <w:t>male</w:t>
      </w:r>
      <w:r w:rsidR="008043D4">
        <w:rPr>
          <w:rFonts w:cs="Open Sans"/>
        </w:rPr>
        <w:t xml:space="preserve"> and </w:t>
      </w:r>
      <w:r w:rsidR="007C724E">
        <w:rPr>
          <w:rFonts w:cs="Open Sans"/>
        </w:rPr>
        <w:t>3 victims were female.</w:t>
      </w:r>
    </w:p>
    <w:p w14:paraId="4A0FE438" w14:textId="77777777" w:rsidR="009E795D" w:rsidRDefault="009E795D" w:rsidP="00FF7635">
      <w:pPr>
        <w:pStyle w:val="Content"/>
        <w:rPr>
          <w:rFonts w:cs="Open Sans"/>
        </w:rPr>
      </w:pPr>
    </w:p>
    <w:p w14:paraId="50819EA6" w14:textId="53EB113C" w:rsidR="007C724E" w:rsidRDefault="005F1475" w:rsidP="0063014A">
      <w:pPr>
        <w:pStyle w:val="Content"/>
      </w:pPr>
      <w:r>
        <w:rPr>
          <w:rFonts w:cs="Open Sans"/>
        </w:rPr>
        <w:t xml:space="preserve">58 (19.4%) </w:t>
      </w:r>
      <w:r w:rsidR="00985088">
        <w:rPr>
          <w:rFonts w:cs="Open Sans"/>
        </w:rPr>
        <w:t xml:space="preserve">cases </w:t>
      </w:r>
      <w:r w:rsidR="00DD28EA">
        <w:rPr>
          <w:rFonts w:cs="Open Sans"/>
        </w:rPr>
        <w:t xml:space="preserve">had </w:t>
      </w:r>
      <w:r>
        <w:rPr>
          <w:rFonts w:cs="Open Sans"/>
        </w:rPr>
        <w:t xml:space="preserve">perpetrators </w:t>
      </w:r>
      <w:r w:rsidR="00985088">
        <w:rPr>
          <w:rFonts w:cs="Open Sans"/>
        </w:rPr>
        <w:t>from within</w:t>
      </w:r>
      <w:r>
        <w:rPr>
          <w:rFonts w:cs="Open Sans"/>
        </w:rPr>
        <w:t xml:space="preserve"> in the victim’s wider social circle</w:t>
      </w:r>
      <w:r w:rsidR="00985088">
        <w:rPr>
          <w:rFonts w:cs="Open Sans"/>
        </w:rPr>
        <w:t>.</w:t>
      </w:r>
      <w:r>
        <w:rPr>
          <w:rFonts w:cs="Open Sans"/>
        </w:rPr>
        <w:t xml:space="preserve"> </w:t>
      </w:r>
      <w:r w:rsidR="00985088">
        <w:rPr>
          <w:rFonts w:cs="Open Sans"/>
        </w:rPr>
        <w:t>T</w:t>
      </w:r>
      <w:r>
        <w:rPr>
          <w:rFonts w:cs="Open Sans"/>
        </w:rPr>
        <w:t xml:space="preserve">his included </w:t>
      </w:r>
      <w:r w:rsidRPr="001673A3">
        <w:rPr>
          <w:rFonts w:cs="Open Sans"/>
          <w:lang w:val="en-GB"/>
        </w:rPr>
        <w:t>neighbours</w:t>
      </w:r>
      <w:r>
        <w:rPr>
          <w:rFonts w:cs="Open Sans"/>
        </w:rPr>
        <w:t xml:space="preserve">, people they came into contact </w:t>
      </w:r>
      <w:r w:rsidR="009D633B">
        <w:rPr>
          <w:rFonts w:cs="Open Sans"/>
        </w:rPr>
        <w:t>within</w:t>
      </w:r>
      <w:r>
        <w:rPr>
          <w:rFonts w:cs="Open Sans"/>
        </w:rPr>
        <w:t xml:space="preserve"> their local community, or people they worked with. </w:t>
      </w:r>
      <w:r>
        <w:t>In considering the age demographics of the victims of perpetrators from their wider social circle:</w:t>
      </w:r>
    </w:p>
    <w:p w14:paraId="0EED97D2" w14:textId="1B80CCAE" w:rsidR="005F1475" w:rsidRPr="008275F2" w:rsidRDefault="00E26EDC" w:rsidP="0063014A">
      <w:pPr>
        <w:pStyle w:val="ListParagraph"/>
        <w:numPr>
          <w:ilvl w:val="0"/>
          <w:numId w:val="10"/>
        </w:numPr>
        <w:spacing w:before="240" w:after="240" w:line="360" w:lineRule="auto"/>
        <w:rPr>
          <w:rFonts w:cs="Open Sans"/>
        </w:rPr>
      </w:pPr>
      <w:r w:rsidRPr="008275F2">
        <w:rPr>
          <w:rFonts w:cs="Open Sans"/>
        </w:rPr>
        <w:t>4 were children.</w:t>
      </w:r>
    </w:p>
    <w:p w14:paraId="57437677" w14:textId="2259D8C9" w:rsidR="00E26EDC" w:rsidRPr="008275F2" w:rsidRDefault="00E26EDC" w:rsidP="0063014A">
      <w:pPr>
        <w:pStyle w:val="ListParagraph"/>
        <w:numPr>
          <w:ilvl w:val="0"/>
          <w:numId w:val="10"/>
        </w:numPr>
        <w:spacing w:before="240" w:after="240" w:line="360" w:lineRule="auto"/>
        <w:rPr>
          <w:rFonts w:cs="Open Sans"/>
        </w:rPr>
      </w:pPr>
      <w:r w:rsidRPr="008275F2">
        <w:rPr>
          <w:rFonts w:cs="Open Sans"/>
        </w:rPr>
        <w:t xml:space="preserve">14 were </w:t>
      </w:r>
      <w:r w:rsidR="008275F2" w:rsidRPr="008275F2">
        <w:rPr>
          <w:rFonts w:cs="Open Sans"/>
        </w:rPr>
        <w:t>teenagers</w:t>
      </w:r>
      <w:r w:rsidRPr="008275F2">
        <w:rPr>
          <w:rFonts w:cs="Open Sans"/>
        </w:rPr>
        <w:t>.</w:t>
      </w:r>
    </w:p>
    <w:p w14:paraId="21935182" w14:textId="6C843A56" w:rsidR="00E26EDC" w:rsidRPr="008275F2" w:rsidRDefault="008275F2" w:rsidP="0063014A">
      <w:pPr>
        <w:pStyle w:val="ListParagraph"/>
        <w:numPr>
          <w:ilvl w:val="0"/>
          <w:numId w:val="10"/>
        </w:numPr>
        <w:spacing w:before="240" w:after="240" w:line="360" w:lineRule="auto"/>
        <w:rPr>
          <w:rFonts w:cs="Open Sans"/>
        </w:rPr>
      </w:pPr>
      <w:r w:rsidRPr="008275F2">
        <w:rPr>
          <w:rFonts w:cs="Open Sans"/>
        </w:rPr>
        <w:t>37 were adults.</w:t>
      </w:r>
    </w:p>
    <w:p w14:paraId="5ECA8269" w14:textId="64D22ACD" w:rsidR="008275F2" w:rsidRPr="008275F2" w:rsidRDefault="008275F2" w:rsidP="0063014A">
      <w:pPr>
        <w:pStyle w:val="ListParagraph"/>
        <w:numPr>
          <w:ilvl w:val="0"/>
          <w:numId w:val="10"/>
        </w:numPr>
        <w:spacing w:before="240" w:after="240" w:line="360" w:lineRule="auto"/>
        <w:rPr>
          <w:rFonts w:cs="Open Sans"/>
        </w:rPr>
      </w:pPr>
      <w:r w:rsidRPr="008275F2">
        <w:rPr>
          <w:rFonts w:cs="Open Sans"/>
        </w:rPr>
        <w:t>3 were elderly.</w:t>
      </w:r>
    </w:p>
    <w:p w14:paraId="1E243E9E" w14:textId="2A18FA11" w:rsidR="008275F2" w:rsidRDefault="009D633B" w:rsidP="0063014A">
      <w:pPr>
        <w:pStyle w:val="Content"/>
      </w:pPr>
      <w:r>
        <w:t>The</w:t>
      </w:r>
      <w:r w:rsidR="00985088">
        <w:t xml:space="preserve">re were </w:t>
      </w:r>
      <w:r>
        <w:t>37 male victims</w:t>
      </w:r>
      <w:r w:rsidR="00985088">
        <w:t xml:space="preserve"> and</w:t>
      </w:r>
      <w:r>
        <w:t xml:space="preserve"> 21 female victims.</w:t>
      </w:r>
    </w:p>
    <w:p w14:paraId="505F2705" w14:textId="77777777" w:rsidR="009D633B" w:rsidRDefault="009D633B" w:rsidP="008275F2">
      <w:pPr>
        <w:pStyle w:val="Content"/>
      </w:pPr>
    </w:p>
    <w:p w14:paraId="5ABE6801" w14:textId="4A3C43A7" w:rsidR="005A71D6" w:rsidRDefault="005A71D6" w:rsidP="0063014A">
      <w:pPr>
        <w:pStyle w:val="Content"/>
      </w:pPr>
      <w:r>
        <w:t>2</w:t>
      </w:r>
      <w:r w:rsidR="00C4600D">
        <w:t>3</w:t>
      </w:r>
      <w:r>
        <w:t xml:space="preserve"> (7.</w:t>
      </w:r>
      <w:r w:rsidR="00C4600D">
        <w:t>7</w:t>
      </w:r>
      <w:r>
        <w:t xml:space="preserve">%) </w:t>
      </w:r>
      <w:r w:rsidR="00985088">
        <w:t>cases involved</w:t>
      </w:r>
      <w:r>
        <w:t xml:space="preserve"> perpetrators </w:t>
      </w:r>
      <w:r w:rsidR="00733451">
        <w:t xml:space="preserve">who </w:t>
      </w:r>
      <w:r>
        <w:t xml:space="preserve">were professionals </w:t>
      </w:r>
      <w:r w:rsidR="00733451">
        <w:t>working</w:t>
      </w:r>
      <w:r>
        <w:t xml:space="preserve"> in a paid capacity for the victim, most frequently in a Personal Assistant/Carer role.</w:t>
      </w:r>
      <w:r w:rsidR="00712A9C">
        <w:t xml:space="preserve"> The age and gender demographics for the victims of professionals who perpetrated the crime were:</w:t>
      </w:r>
    </w:p>
    <w:p w14:paraId="21C7E218" w14:textId="3E23E86D" w:rsidR="00712A9C" w:rsidRDefault="00712A9C" w:rsidP="0063014A">
      <w:pPr>
        <w:pStyle w:val="ListParagraph"/>
        <w:numPr>
          <w:ilvl w:val="0"/>
          <w:numId w:val="10"/>
        </w:numPr>
        <w:spacing w:before="240" w:after="240" w:line="360" w:lineRule="auto"/>
        <w:rPr>
          <w:rFonts w:cs="Open Sans"/>
        </w:rPr>
      </w:pPr>
      <w:r w:rsidRPr="00712A9C">
        <w:rPr>
          <w:rFonts w:cs="Open Sans"/>
        </w:rPr>
        <w:t xml:space="preserve">1 was a </w:t>
      </w:r>
      <w:r w:rsidR="00BC2A6D">
        <w:rPr>
          <w:rFonts w:cs="Open Sans"/>
        </w:rPr>
        <w:t>child.</w:t>
      </w:r>
    </w:p>
    <w:p w14:paraId="2F69E701" w14:textId="25D8F368" w:rsidR="00BC2A6D" w:rsidRDefault="00BC2A6D" w:rsidP="0063014A">
      <w:pPr>
        <w:pStyle w:val="ListParagraph"/>
        <w:numPr>
          <w:ilvl w:val="0"/>
          <w:numId w:val="10"/>
        </w:numPr>
        <w:spacing w:before="240" w:after="240" w:line="360" w:lineRule="auto"/>
        <w:rPr>
          <w:rFonts w:cs="Open Sans"/>
        </w:rPr>
      </w:pPr>
      <w:r>
        <w:rPr>
          <w:rFonts w:cs="Open Sans"/>
        </w:rPr>
        <w:t>5 were teenagers.</w:t>
      </w:r>
    </w:p>
    <w:p w14:paraId="5BBC6E6D" w14:textId="15669EFF" w:rsidR="00BC2A6D" w:rsidRDefault="00BC2A6D" w:rsidP="0063014A">
      <w:pPr>
        <w:pStyle w:val="ListParagraph"/>
        <w:numPr>
          <w:ilvl w:val="0"/>
          <w:numId w:val="10"/>
        </w:numPr>
        <w:spacing w:before="240" w:after="240" w:line="360" w:lineRule="auto"/>
        <w:rPr>
          <w:rFonts w:cs="Open Sans"/>
        </w:rPr>
      </w:pPr>
      <w:r>
        <w:rPr>
          <w:rFonts w:cs="Open Sans"/>
        </w:rPr>
        <w:t>11 were adults.</w:t>
      </w:r>
    </w:p>
    <w:p w14:paraId="7F0848BF" w14:textId="111BB125" w:rsidR="00BC2A6D" w:rsidRDefault="00BC2A6D" w:rsidP="0063014A">
      <w:pPr>
        <w:pStyle w:val="ListParagraph"/>
        <w:numPr>
          <w:ilvl w:val="0"/>
          <w:numId w:val="10"/>
        </w:numPr>
        <w:spacing w:before="240" w:after="240" w:line="360" w:lineRule="auto"/>
        <w:rPr>
          <w:rFonts w:cs="Open Sans"/>
        </w:rPr>
      </w:pPr>
      <w:r>
        <w:rPr>
          <w:rFonts w:cs="Open Sans"/>
        </w:rPr>
        <w:t>6 were elderly.</w:t>
      </w:r>
    </w:p>
    <w:p w14:paraId="1566E86F" w14:textId="057DC151" w:rsidR="00BC2A6D" w:rsidRDefault="00733451" w:rsidP="0063014A">
      <w:pPr>
        <w:spacing w:before="240" w:after="240" w:line="360" w:lineRule="auto"/>
        <w:rPr>
          <w:rFonts w:cs="Open Sans"/>
        </w:rPr>
      </w:pPr>
      <w:r>
        <w:rPr>
          <w:rFonts w:cs="Open Sans"/>
        </w:rPr>
        <w:lastRenderedPageBreak/>
        <w:t>There were</w:t>
      </w:r>
      <w:r w:rsidR="00BC2A6D">
        <w:rPr>
          <w:rFonts w:cs="Open Sans"/>
        </w:rPr>
        <w:t xml:space="preserve"> </w:t>
      </w:r>
      <w:r w:rsidR="00C85F36">
        <w:rPr>
          <w:rFonts w:cs="Open Sans"/>
        </w:rPr>
        <w:t xml:space="preserve">12 male victims, 9 female victims, </w:t>
      </w:r>
      <w:r w:rsidR="00C4600D">
        <w:rPr>
          <w:rFonts w:cs="Open Sans"/>
        </w:rPr>
        <w:t xml:space="preserve">a case where no details of the victim were released, and </w:t>
      </w:r>
      <w:r w:rsidR="00C85F36">
        <w:rPr>
          <w:rFonts w:cs="Open Sans"/>
        </w:rPr>
        <w:t>a case involving multiple victims who were both male and female</w:t>
      </w:r>
      <w:r w:rsidR="00DD28EA">
        <w:rPr>
          <w:rFonts w:cs="Open Sans"/>
        </w:rPr>
        <w:t xml:space="preserve"> but where the total numbers were not reported</w:t>
      </w:r>
      <w:r w:rsidR="00C85F36">
        <w:rPr>
          <w:rFonts w:cs="Open Sans"/>
        </w:rPr>
        <w:t xml:space="preserve">. </w:t>
      </w:r>
    </w:p>
    <w:p w14:paraId="0E2C637D" w14:textId="77777777" w:rsidR="00C85F36" w:rsidRDefault="00C85F36" w:rsidP="00BC2A6D">
      <w:pPr>
        <w:rPr>
          <w:rFonts w:cs="Open Sans"/>
        </w:rPr>
      </w:pPr>
    </w:p>
    <w:p w14:paraId="647C7483" w14:textId="3EF624D7" w:rsidR="00C85F36" w:rsidRDefault="00824770" w:rsidP="0063014A">
      <w:pPr>
        <w:spacing w:before="240" w:after="240" w:line="360" w:lineRule="auto"/>
        <w:rPr>
          <w:rFonts w:cs="Open Sans"/>
        </w:rPr>
      </w:pPr>
      <w:r>
        <w:rPr>
          <w:rFonts w:cs="Open Sans"/>
        </w:rPr>
        <w:t xml:space="preserve">80 (26.8%) </w:t>
      </w:r>
      <w:r w:rsidR="0022399E">
        <w:rPr>
          <w:rFonts w:cs="Open Sans"/>
        </w:rPr>
        <w:t>of cases</w:t>
      </w:r>
      <w:r w:rsidR="00733451">
        <w:rPr>
          <w:rFonts w:cs="Open Sans"/>
        </w:rPr>
        <w:t xml:space="preserve"> involved</w:t>
      </w:r>
      <w:r>
        <w:rPr>
          <w:rFonts w:cs="Open Sans"/>
        </w:rPr>
        <w:t xml:space="preserve"> perpetrators </w:t>
      </w:r>
      <w:r w:rsidR="00733451">
        <w:rPr>
          <w:rFonts w:cs="Open Sans"/>
        </w:rPr>
        <w:t xml:space="preserve">who </w:t>
      </w:r>
      <w:r>
        <w:rPr>
          <w:rFonts w:cs="Open Sans"/>
        </w:rPr>
        <w:t>were strangers to their victims</w:t>
      </w:r>
      <w:r w:rsidR="00AD6BC5">
        <w:rPr>
          <w:rFonts w:cs="Open Sans"/>
        </w:rPr>
        <w:t xml:space="preserve">. </w:t>
      </w:r>
      <w:r w:rsidR="00962C9C">
        <w:rPr>
          <w:rFonts w:cs="Open Sans"/>
        </w:rPr>
        <w:t>Compared to overall crime statistics, and d</w:t>
      </w:r>
      <w:r w:rsidR="00AD6BC5">
        <w:rPr>
          <w:rFonts w:cs="Open Sans"/>
        </w:rPr>
        <w:t>epending on the type of crime</w:t>
      </w:r>
      <w:r w:rsidR="00962C9C">
        <w:rPr>
          <w:rFonts w:cs="Open Sans"/>
        </w:rPr>
        <w:t>,</w:t>
      </w:r>
      <w:r w:rsidR="00A1056E">
        <w:rPr>
          <w:rFonts w:cs="Open Sans"/>
        </w:rPr>
        <w:t xml:space="preserve"> crimes committed by strangers can make up anywhere between 10% and 38% of crimes, with the </w:t>
      </w:r>
      <w:r w:rsidR="00733451">
        <w:rPr>
          <w:rFonts w:cs="Open Sans"/>
        </w:rPr>
        <w:t>rest</w:t>
      </w:r>
      <w:r w:rsidR="00A1056E">
        <w:rPr>
          <w:rFonts w:cs="Open Sans"/>
        </w:rPr>
        <w:t xml:space="preserve"> being committed by people known to </w:t>
      </w:r>
      <w:r w:rsidR="00CA6884">
        <w:rPr>
          <w:rFonts w:cs="Open Sans"/>
        </w:rPr>
        <w:t xml:space="preserve">the victim. </w:t>
      </w:r>
      <w:r w:rsidR="00732171">
        <w:rPr>
          <w:rFonts w:cs="Open Sans"/>
        </w:rPr>
        <w:t>These figures fall in the middle of those estimates.</w:t>
      </w:r>
    </w:p>
    <w:p w14:paraId="0A65F769" w14:textId="7333294B" w:rsidR="00732171" w:rsidRDefault="00732171" w:rsidP="0063014A">
      <w:pPr>
        <w:spacing w:before="240" w:after="240" w:line="360" w:lineRule="auto"/>
        <w:rPr>
          <w:rFonts w:cs="Open Sans"/>
        </w:rPr>
      </w:pPr>
      <w:r>
        <w:rPr>
          <w:rFonts w:cs="Open Sans"/>
        </w:rPr>
        <w:t>The age and gender demographics for the victims of stranger perpetrated crimes were:</w:t>
      </w:r>
    </w:p>
    <w:p w14:paraId="58008ED7" w14:textId="61B39F80" w:rsidR="00732171" w:rsidRDefault="00BA0920" w:rsidP="0063014A">
      <w:pPr>
        <w:pStyle w:val="ListParagraph"/>
        <w:numPr>
          <w:ilvl w:val="0"/>
          <w:numId w:val="10"/>
        </w:numPr>
        <w:spacing w:before="240" w:after="240" w:line="360" w:lineRule="auto"/>
        <w:rPr>
          <w:rFonts w:cs="Open Sans"/>
        </w:rPr>
      </w:pPr>
      <w:r>
        <w:rPr>
          <w:rFonts w:cs="Open Sans"/>
        </w:rPr>
        <w:t>3 were children.</w:t>
      </w:r>
    </w:p>
    <w:p w14:paraId="2F95FDE2" w14:textId="3967235D" w:rsidR="00BA0920" w:rsidRDefault="00BA0920" w:rsidP="0063014A">
      <w:pPr>
        <w:pStyle w:val="ListParagraph"/>
        <w:numPr>
          <w:ilvl w:val="0"/>
          <w:numId w:val="10"/>
        </w:numPr>
        <w:spacing w:before="240" w:after="240" w:line="360" w:lineRule="auto"/>
        <w:rPr>
          <w:rFonts w:cs="Open Sans"/>
        </w:rPr>
      </w:pPr>
      <w:r>
        <w:rPr>
          <w:rFonts w:cs="Open Sans"/>
        </w:rPr>
        <w:t>9 were teenagers.</w:t>
      </w:r>
    </w:p>
    <w:p w14:paraId="3EE0EA51" w14:textId="23E2CDAA" w:rsidR="00BA0920" w:rsidRDefault="00BA0920" w:rsidP="0063014A">
      <w:pPr>
        <w:pStyle w:val="ListParagraph"/>
        <w:numPr>
          <w:ilvl w:val="0"/>
          <w:numId w:val="10"/>
        </w:numPr>
        <w:spacing w:before="240" w:after="240" w:line="360" w:lineRule="auto"/>
        <w:rPr>
          <w:rFonts w:cs="Open Sans"/>
        </w:rPr>
      </w:pPr>
      <w:r>
        <w:rPr>
          <w:rFonts w:cs="Open Sans"/>
        </w:rPr>
        <w:t>58 were adults.</w:t>
      </w:r>
    </w:p>
    <w:p w14:paraId="37A5F416" w14:textId="21A43197" w:rsidR="00BA0920" w:rsidRDefault="00BA0920" w:rsidP="0063014A">
      <w:pPr>
        <w:pStyle w:val="ListParagraph"/>
        <w:numPr>
          <w:ilvl w:val="0"/>
          <w:numId w:val="10"/>
        </w:numPr>
        <w:spacing w:before="240" w:after="240" w:line="360" w:lineRule="auto"/>
        <w:rPr>
          <w:rFonts w:cs="Open Sans"/>
        </w:rPr>
      </w:pPr>
      <w:r>
        <w:rPr>
          <w:rFonts w:cs="Open Sans"/>
        </w:rPr>
        <w:t>10 were elderly.</w:t>
      </w:r>
    </w:p>
    <w:p w14:paraId="69220D28" w14:textId="01AA5C21" w:rsidR="00BA0920" w:rsidRDefault="00733451" w:rsidP="0063014A">
      <w:pPr>
        <w:spacing w:before="240" w:after="240" w:line="360" w:lineRule="auto"/>
        <w:rPr>
          <w:rFonts w:cs="Open Sans"/>
        </w:rPr>
      </w:pPr>
      <w:r>
        <w:rPr>
          <w:rFonts w:cs="Open Sans"/>
        </w:rPr>
        <w:t>There were</w:t>
      </w:r>
      <w:r w:rsidR="00BA0920">
        <w:rPr>
          <w:rFonts w:cs="Open Sans"/>
        </w:rPr>
        <w:t xml:space="preserve"> </w:t>
      </w:r>
      <w:r w:rsidR="00B13C11">
        <w:rPr>
          <w:rFonts w:cs="Open Sans"/>
        </w:rPr>
        <w:t xml:space="preserve">43 male victims, 33 female victims, </w:t>
      </w:r>
      <w:r w:rsidR="00C4600D">
        <w:rPr>
          <w:rFonts w:cs="Open Sans"/>
        </w:rPr>
        <w:t xml:space="preserve">one victim where no details were released, </w:t>
      </w:r>
      <w:r w:rsidR="00B13C11">
        <w:rPr>
          <w:rFonts w:cs="Open Sans"/>
        </w:rPr>
        <w:t>and 3 cases w</w:t>
      </w:r>
      <w:r w:rsidR="0022399E">
        <w:rPr>
          <w:rFonts w:cs="Open Sans"/>
        </w:rPr>
        <w:t>h</w:t>
      </w:r>
      <w:r w:rsidR="00B13C11">
        <w:rPr>
          <w:rFonts w:cs="Open Sans"/>
        </w:rPr>
        <w:t>ere multiple victims of each gender</w:t>
      </w:r>
      <w:r w:rsidR="00962C9C">
        <w:rPr>
          <w:rFonts w:cs="Open Sans"/>
        </w:rPr>
        <w:t xml:space="preserve">, </w:t>
      </w:r>
      <w:r w:rsidR="00B13C11">
        <w:rPr>
          <w:rFonts w:cs="Open Sans"/>
        </w:rPr>
        <w:t>with final numbers not reported</w:t>
      </w:r>
      <w:r w:rsidR="00962C9C">
        <w:rPr>
          <w:rFonts w:cs="Open Sans"/>
        </w:rPr>
        <w:t>,</w:t>
      </w:r>
      <w:r w:rsidR="00B13C11">
        <w:rPr>
          <w:rFonts w:cs="Open Sans"/>
        </w:rPr>
        <w:t xml:space="preserve"> were victims.</w:t>
      </w:r>
    </w:p>
    <w:p w14:paraId="096E9188" w14:textId="77777777" w:rsidR="00B13C11" w:rsidRDefault="00B13C11" w:rsidP="00BA0920">
      <w:pPr>
        <w:rPr>
          <w:rFonts w:cs="Open Sans"/>
        </w:rPr>
      </w:pPr>
    </w:p>
    <w:p w14:paraId="1760E8C4" w14:textId="74770918" w:rsidR="00B13C11" w:rsidRDefault="00B13C11" w:rsidP="0063014A">
      <w:pPr>
        <w:spacing w:before="240" w:after="240" w:line="360" w:lineRule="auto"/>
        <w:rPr>
          <w:rFonts w:cs="Open Sans"/>
        </w:rPr>
      </w:pPr>
      <w:r>
        <w:rPr>
          <w:rFonts w:cs="Open Sans"/>
        </w:rPr>
        <w:t xml:space="preserve">Finally, the remaining </w:t>
      </w:r>
      <w:r w:rsidR="00C4600D">
        <w:rPr>
          <w:rFonts w:cs="Open Sans"/>
        </w:rPr>
        <w:t>8</w:t>
      </w:r>
      <w:r w:rsidR="003D59ED">
        <w:rPr>
          <w:rFonts w:cs="Open Sans"/>
        </w:rPr>
        <w:t xml:space="preserve"> (3.0%) were cases where</w:t>
      </w:r>
      <w:r w:rsidR="00962C9C">
        <w:rPr>
          <w:rFonts w:cs="Open Sans"/>
        </w:rPr>
        <w:t xml:space="preserve"> we could not conclude whether the perpetrator was a stranger or known to the victim. Most of these were cases where</w:t>
      </w:r>
      <w:r w:rsidR="003D59ED">
        <w:rPr>
          <w:rFonts w:cs="Open Sans"/>
        </w:rPr>
        <w:t xml:space="preserve"> trials were pending </w:t>
      </w:r>
      <w:r w:rsidR="00962C9C">
        <w:rPr>
          <w:rFonts w:cs="Open Sans"/>
        </w:rPr>
        <w:t>and</w:t>
      </w:r>
      <w:r w:rsidR="003D59ED">
        <w:rPr>
          <w:rFonts w:cs="Open Sans"/>
        </w:rPr>
        <w:t xml:space="preserve"> the perpetrator’s relationship to the victim had </w:t>
      </w:r>
      <w:r w:rsidR="0022399E">
        <w:rPr>
          <w:rFonts w:cs="Open Sans"/>
        </w:rPr>
        <w:t xml:space="preserve">either </w:t>
      </w:r>
      <w:r w:rsidR="003D59ED">
        <w:rPr>
          <w:rFonts w:cs="Open Sans"/>
        </w:rPr>
        <w:t>not been</w:t>
      </w:r>
      <w:r w:rsidR="0022399E">
        <w:rPr>
          <w:rFonts w:cs="Open Sans"/>
        </w:rPr>
        <w:t xml:space="preserve"> determined or had not been</w:t>
      </w:r>
      <w:r w:rsidR="003D59ED">
        <w:rPr>
          <w:rFonts w:cs="Open Sans"/>
        </w:rPr>
        <w:t xml:space="preserve"> </w:t>
      </w:r>
      <w:r w:rsidR="003D59ED">
        <w:rPr>
          <w:rFonts w:cs="Open Sans"/>
        </w:rPr>
        <w:lastRenderedPageBreak/>
        <w:t>made public</w:t>
      </w:r>
      <w:r w:rsidR="00962C9C">
        <w:rPr>
          <w:rFonts w:cs="Open Sans"/>
        </w:rPr>
        <w:t>, so we did not want to presume they were strangers to the victim</w:t>
      </w:r>
      <w:r w:rsidR="003D59ED">
        <w:rPr>
          <w:rFonts w:cs="Open Sans"/>
        </w:rPr>
        <w:t>.</w:t>
      </w:r>
      <w:r w:rsidR="00033AEF">
        <w:rPr>
          <w:rFonts w:cs="Open Sans"/>
        </w:rPr>
        <w:t xml:space="preserve"> In the time between writing this report and publishing it, some of these may have become public knowledge.</w:t>
      </w:r>
    </w:p>
    <w:p w14:paraId="30B9D425" w14:textId="4DA78A2D" w:rsidR="003D59ED" w:rsidRDefault="0019596E" w:rsidP="0063014A">
      <w:pPr>
        <w:spacing w:before="240" w:after="240" w:line="360" w:lineRule="auto"/>
        <w:rPr>
          <w:rFonts w:cs="Open Sans"/>
        </w:rPr>
      </w:pPr>
      <w:r>
        <w:rPr>
          <w:rFonts w:cs="Open Sans"/>
        </w:rPr>
        <w:t>The age and gender demographics for the victims in this category were:</w:t>
      </w:r>
    </w:p>
    <w:p w14:paraId="77554A72" w14:textId="77E1D21D" w:rsidR="0019596E" w:rsidRDefault="0019596E" w:rsidP="0063014A">
      <w:pPr>
        <w:pStyle w:val="ListParagraph"/>
        <w:numPr>
          <w:ilvl w:val="0"/>
          <w:numId w:val="10"/>
        </w:numPr>
        <w:spacing w:before="240" w:after="240" w:line="360" w:lineRule="auto"/>
        <w:rPr>
          <w:rFonts w:cs="Open Sans"/>
        </w:rPr>
      </w:pPr>
      <w:r>
        <w:rPr>
          <w:rFonts w:cs="Open Sans"/>
        </w:rPr>
        <w:t>1 was a teenager.</w:t>
      </w:r>
    </w:p>
    <w:p w14:paraId="0B64ECD2" w14:textId="49376B3B" w:rsidR="0019596E" w:rsidRDefault="0019596E" w:rsidP="0063014A">
      <w:pPr>
        <w:pStyle w:val="ListParagraph"/>
        <w:numPr>
          <w:ilvl w:val="0"/>
          <w:numId w:val="10"/>
        </w:numPr>
        <w:spacing w:before="240" w:after="240" w:line="360" w:lineRule="auto"/>
        <w:rPr>
          <w:rFonts w:cs="Open Sans"/>
        </w:rPr>
      </w:pPr>
      <w:r>
        <w:rPr>
          <w:rFonts w:cs="Open Sans"/>
        </w:rPr>
        <w:t>7 were adults.</w:t>
      </w:r>
    </w:p>
    <w:p w14:paraId="67CBC790" w14:textId="4C8C5340" w:rsidR="0019596E" w:rsidRDefault="0019596E" w:rsidP="0063014A">
      <w:pPr>
        <w:spacing w:before="240" w:after="240" w:line="360" w:lineRule="auto"/>
        <w:rPr>
          <w:rFonts w:cs="Open Sans"/>
        </w:rPr>
      </w:pPr>
      <w:r>
        <w:rPr>
          <w:rFonts w:cs="Open Sans"/>
        </w:rPr>
        <w:t>The</w:t>
      </w:r>
      <w:r w:rsidR="00033AEF">
        <w:rPr>
          <w:rFonts w:cs="Open Sans"/>
        </w:rPr>
        <w:t xml:space="preserve">re were </w:t>
      </w:r>
      <w:r w:rsidR="008763AB">
        <w:rPr>
          <w:rFonts w:cs="Open Sans"/>
        </w:rPr>
        <w:t>5 male victims and 4 female victims.</w:t>
      </w:r>
    </w:p>
    <w:p w14:paraId="7F479877" w14:textId="77777777" w:rsidR="008763AB" w:rsidRDefault="008763AB" w:rsidP="0019596E">
      <w:pPr>
        <w:rPr>
          <w:rFonts w:cs="Open Sans"/>
        </w:rPr>
      </w:pPr>
    </w:p>
    <w:p w14:paraId="3C518201" w14:textId="641CE724" w:rsidR="008763AB" w:rsidRDefault="008763AB" w:rsidP="0063014A">
      <w:pPr>
        <w:spacing w:before="240" w:after="240" w:line="360" w:lineRule="auto"/>
        <w:rPr>
          <w:rFonts w:cs="Open Sans"/>
        </w:rPr>
      </w:pPr>
      <w:r>
        <w:rPr>
          <w:rFonts w:cs="Open Sans"/>
        </w:rPr>
        <w:t xml:space="preserve">As an overview, below is the list of each </w:t>
      </w:r>
      <w:r w:rsidR="006C357B">
        <w:rPr>
          <w:rFonts w:cs="Open Sans"/>
        </w:rPr>
        <w:t xml:space="preserve">victim age category </w:t>
      </w:r>
      <w:r w:rsidR="007B1BEA">
        <w:rPr>
          <w:rFonts w:cs="Open Sans"/>
        </w:rPr>
        <w:t>and what the victim-perpetrator relationship was most likely to be in</w:t>
      </w:r>
      <w:r w:rsidR="006C357B">
        <w:rPr>
          <w:rFonts w:cs="Open Sans"/>
        </w:rPr>
        <w:t xml:space="preserve"> the</w:t>
      </w:r>
      <w:r w:rsidR="007B1BEA">
        <w:rPr>
          <w:rFonts w:cs="Open Sans"/>
        </w:rPr>
        <w:t xml:space="preserve"> reported news stories. </w:t>
      </w:r>
      <w:r w:rsidR="006C357B">
        <w:rPr>
          <w:rFonts w:cs="Open Sans"/>
        </w:rPr>
        <w:t>The most common victim-perpetrator relationship for male and female victims follows this</w:t>
      </w:r>
      <w:r w:rsidR="007B1BEA">
        <w:rPr>
          <w:rFonts w:cs="Open Sans"/>
        </w:rPr>
        <w:t>.</w:t>
      </w:r>
    </w:p>
    <w:tbl>
      <w:tblPr>
        <w:tblStyle w:val="TableGrid"/>
        <w:tblW w:w="0" w:type="auto"/>
        <w:tblLook w:val="04A0" w:firstRow="1" w:lastRow="0" w:firstColumn="1" w:lastColumn="0" w:noHBand="0" w:noVBand="1"/>
      </w:tblPr>
      <w:tblGrid>
        <w:gridCol w:w="4955"/>
        <w:gridCol w:w="4956"/>
      </w:tblGrid>
      <w:tr w:rsidR="007B1BEA" w14:paraId="1900ACF9" w14:textId="77777777" w:rsidTr="007B1BEA">
        <w:tc>
          <w:tcPr>
            <w:tcW w:w="4955" w:type="dxa"/>
          </w:tcPr>
          <w:p w14:paraId="166EEAA4" w14:textId="07874774" w:rsidR="007B1BEA" w:rsidRPr="007B1BEA" w:rsidRDefault="007B1BEA" w:rsidP="007B1BEA">
            <w:pPr>
              <w:rPr>
                <w:rFonts w:cs="Open Sans"/>
                <w:b/>
                <w:bCs/>
              </w:rPr>
            </w:pPr>
            <w:r w:rsidRPr="007B1BEA">
              <w:rPr>
                <w:rFonts w:cs="Open Sans"/>
                <w:b/>
                <w:bCs/>
              </w:rPr>
              <w:t>Victim age</w:t>
            </w:r>
          </w:p>
        </w:tc>
        <w:tc>
          <w:tcPr>
            <w:tcW w:w="4956" w:type="dxa"/>
          </w:tcPr>
          <w:p w14:paraId="382C5D36" w14:textId="01FCE537" w:rsidR="007B1BEA" w:rsidRPr="007B1BEA" w:rsidRDefault="007B1BEA" w:rsidP="007B1BEA">
            <w:pPr>
              <w:rPr>
                <w:rFonts w:cs="Open Sans"/>
                <w:b/>
                <w:bCs/>
              </w:rPr>
            </w:pPr>
            <w:r w:rsidRPr="007B1BEA">
              <w:rPr>
                <w:rFonts w:cs="Open Sans"/>
                <w:b/>
                <w:bCs/>
              </w:rPr>
              <w:t>Perpetrator most likely to be</w:t>
            </w:r>
          </w:p>
        </w:tc>
      </w:tr>
      <w:tr w:rsidR="007B1BEA" w14:paraId="3DA2E363" w14:textId="77777777" w:rsidTr="007B1BEA">
        <w:tc>
          <w:tcPr>
            <w:tcW w:w="4955" w:type="dxa"/>
          </w:tcPr>
          <w:p w14:paraId="49F88374" w14:textId="7688B70D" w:rsidR="007B1BEA" w:rsidRDefault="007B1BEA" w:rsidP="007B1BEA">
            <w:pPr>
              <w:rPr>
                <w:rFonts w:cs="Open Sans"/>
              </w:rPr>
            </w:pPr>
            <w:r>
              <w:rPr>
                <w:rFonts w:cs="Open Sans"/>
              </w:rPr>
              <w:t>Infant</w:t>
            </w:r>
          </w:p>
        </w:tc>
        <w:tc>
          <w:tcPr>
            <w:tcW w:w="4956" w:type="dxa"/>
          </w:tcPr>
          <w:p w14:paraId="5DD7DF6B" w14:textId="39FAF338" w:rsidR="007B1BEA" w:rsidRDefault="004C0C8C" w:rsidP="007B1BEA">
            <w:pPr>
              <w:rPr>
                <w:rFonts w:cs="Open Sans"/>
              </w:rPr>
            </w:pPr>
            <w:r>
              <w:rPr>
                <w:rFonts w:cs="Open Sans"/>
              </w:rPr>
              <w:t>Parent</w:t>
            </w:r>
          </w:p>
        </w:tc>
      </w:tr>
      <w:tr w:rsidR="007B1BEA" w14:paraId="449631DE" w14:textId="77777777" w:rsidTr="007B1BEA">
        <w:tc>
          <w:tcPr>
            <w:tcW w:w="4955" w:type="dxa"/>
          </w:tcPr>
          <w:p w14:paraId="2CFA2CCD" w14:textId="6FD5CCFE" w:rsidR="007B1BEA" w:rsidRDefault="007B1BEA" w:rsidP="007B1BEA">
            <w:pPr>
              <w:rPr>
                <w:rFonts w:cs="Open Sans"/>
              </w:rPr>
            </w:pPr>
            <w:r>
              <w:rPr>
                <w:rFonts w:cs="Open Sans"/>
              </w:rPr>
              <w:t>Toddler</w:t>
            </w:r>
          </w:p>
        </w:tc>
        <w:tc>
          <w:tcPr>
            <w:tcW w:w="4956" w:type="dxa"/>
          </w:tcPr>
          <w:p w14:paraId="1495742A" w14:textId="13154161" w:rsidR="007B1BEA" w:rsidRDefault="004C0C8C" w:rsidP="007B1BEA">
            <w:pPr>
              <w:rPr>
                <w:rFonts w:cs="Open Sans"/>
              </w:rPr>
            </w:pPr>
            <w:r>
              <w:rPr>
                <w:rFonts w:cs="Open Sans"/>
              </w:rPr>
              <w:t>Parent</w:t>
            </w:r>
          </w:p>
        </w:tc>
      </w:tr>
      <w:tr w:rsidR="007B1BEA" w14:paraId="036A123C" w14:textId="77777777" w:rsidTr="007B1BEA">
        <w:tc>
          <w:tcPr>
            <w:tcW w:w="4955" w:type="dxa"/>
          </w:tcPr>
          <w:p w14:paraId="5103FDD8" w14:textId="35154DD0" w:rsidR="007B1BEA" w:rsidRDefault="007B1BEA" w:rsidP="007B1BEA">
            <w:pPr>
              <w:rPr>
                <w:rFonts w:cs="Open Sans"/>
              </w:rPr>
            </w:pPr>
            <w:r>
              <w:rPr>
                <w:rFonts w:cs="Open Sans"/>
              </w:rPr>
              <w:t>Child</w:t>
            </w:r>
          </w:p>
        </w:tc>
        <w:tc>
          <w:tcPr>
            <w:tcW w:w="4956" w:type="dxa"/>
          </w:tcPr>
          <w:p w14:paraId="212E2C66" w14:textId="259B5928" w:rsidR="007B1BEA" w:rsidRDefault="004C0C8C" w:rsidP="007B1BEA">
            <w:pPr>
              <w:rPr>
                <w:rFonts w:cs="Open Sans"/>
              </w:rPr>
            </w:pPr>
            <w:r>
              <w:rPr>
                <w:rFonts w:cs="Open Sans"/>
              </w:rPr>
              <w:t>Parent</w:t>
            </w:r>
          </w:p>
        </w:tc>
      </w:tr>
      <w:tr w:rsidR="007B1BEA" w14:paraId="54C0CBCE" w14:textId="77777777" w:rsidTr="007B1BEA">
        <w:tc>
          <w:tcPr>
            <w:tcW w:w="4955" w:type="dxa"/>
          </w:tcPr>
          <w:p w14:paraId="174A3EB9" w14:textId="127077CE" w:rsidR="007B1BEA" w:rsidRDefault="007B1BEA" w:rsidP="007B1BEA">
            <w:pPr>
              <w:rPr>
                <w:rFonts w:cs="Open Sans"/>
              </w:rPr>
            </w:pPr>
            <w:r>
              <w:rPr>
                <w:rFonts w:cs="Open Sans"/>
              </w:rPr>
              <w:t>Teenager</w:t>
            </w:r>
          </w:p>
        </w:tc>
        <w:tc>
          <w:tcPr>
            <w:tcW w:w="4956" w:type="dxa"/>
          </w:tcPr>
          <w:p w14:paraId="1654F828" w14:textId="293BD9F9" w:rsidR="007B1BEA" w:rsidRDefault="00EB66D7" w:rsidP="007B1BEA">
            <w:pPr>
              <w:rPr>
                <w:rFonts w:cs="Open Sans"/>
              </w:rPr>
            </w:pPr>
            <w:r>
              <w:rPr>
                <w:rFonts w:cs="Open Sans"/>
              </w:rPr>
              <w:t>Wider Social Circle</w:t>
            </w:r>
          </w:p>
        </w:tc>
      </w:tr>
      <w:tr w:rsidR="007B1BEA" w14:paraId="02904282" w14:textId="77777777" w:rsidTr="00EC5DF5">
        <w:trPr>
          <w:trHeight w:val="163"/>
        </w:trPr>
        <w:tc>
          <w:tcPr>
            <w:tcW w:w="4955" w:type="dxa"/>
          </w:tcPr>
          <w:p w14:paraId="03577D4C" w14:textId="2053D0E2" w:rsidR="007B1BEA" w:rsidRDefault="007B1BEA" w:rsidP="007B1BEA">
            <w:pPr>
              <w:rPr>
                <w:rFonts w:cs="Open Sans"/>
              </w:rPr>
            </w:pPr>
            <w:r>
              <w:rPr>
                <w:rFonts w:cs="Open Sans"/>
              </w:rPr>
              <w:t>Adult</w:t>
            </w:r>
          </w:p>
        </w:tc>
        <w:tc>
          <w:tcPr>
            <w:tcW w:w="4956" w:type="dxa"/>
          </w:tcPr>
          <w:p w14:paraId="4E6E8FD2" w14:textId="1B71411B" w:rsidR="007B1BEA" w:rsidRDefault="00EC5DF5" w:rsidP="007B1BEA">
            <w:pPr>
              <w:rPr>
                <w:rFonts w:cs="Open Sans"/>
              </w:rPr>
            </w:pPr>
            <w:r>
              <w:rPr>
                <w:rFonts w:cs="Open Sans"/>
              </w:rPr>
              <w:t>Stranger</w:t>
            </w:r>
          </w:p>
        </w:tc>
      </w:tr>
      <w:tr w:rsidR="007B1BEA" w14:paraId="2BC47D3A" w14:textId="77777777" w:rsidTr="007B1BEA">
        <w:tc>
          <w:tcPr>
            <w:tcW w:w="4955" w:type="dxa"/>
          </w:tcPr>
          <w:p w14:paraId="7354392F" w14:textId="019CBAFC" w:rsidR="007B1BEA" w:rsidRDefault="007B1BEA" w:rsidP="007B1BEA">
            <w:pPr>
              <w:rPr>
                <w:rFonts w:cs="Open Sans"/>
              </w:rPr>
            </w:pPr>
            <w:r>
              <w:rPr>
                <w:rFonts w:cs="Open Sans"/>
              </w:rPr>
              <w:t>Elderly</w:t>
            </w:r>
          </w:p>
        </w:tc>
        <w:tc>
          <w:tcPr>
            <w:tcW w:w="4956" w:type="dxa"/>
          </w:tcPr>
          <w:p w14:paraId="0122B69E" w14:textId="227A99E6" w:rsidR="007B1BEA" w:rsidRDefault="00EC5DF5" w:rsidP="007B1BEA">
            <w:pPr>
              <w:rPr>
                <w:rFonts w:cs="Open Sans"/>
              </w:rPr>
            </w:pPr>
            <w:r>
              <w:rPr>
                <w:rFonts w:cs="Open Sans"/>
              </w:rPr>
              <w:t>Partner or Ex-Partner</w:t>
            </w:r>
          </w:p>
        </w:tc>
      </w:tr>
    </w:tbl>
    <w:p w14:paraId="003FB503" w14:textId="77777777" w:rsidR="007B1BEA" w:rsidRPr="007B1BEA" w:rsidRDefault="007B1BEA" w:rsidP="007B1BEA">
      <w:pPr>
        <w:rPr>
          <w:rFonts w:cs="Open Sans"/>
        </w:rPr>
      </w:pPr>
    </w:p>
    <w:tbl>
      <w:tblPr>
        <w:tblStyle w:val="TableGrid"/>
        <w:tblW w:w="0" w:type="auto"/>
        <w:tblLook w:val="04A0" w:firstRow="1" w:lastRow="0" w:firstColumn="1" w:lastColumn="0" w:noHBand="0" w:noVBand="1"/>
      </w:tblPr>
      <w:tblGrid>
        <w:gridCol w:w="4955"/>
        <w:gridCol w:w="4956"/>
      </w:tblGrid>
      <w:tr w:rsidR="00EC5DF5" w14:paraId="229F10ED" w14:textId="77777777" w:rsidTr="00EC5DF5">
        <w:tc>
          <w:tcPr>
            <w:tcW w:w="4955" w:type="dxa"/>
          </w:tcPr>
          <w:p w14:paraId="50D4B085" w14:textId="062EF4B9" w:rsidR="00EC5DF5" w:rsidRPr="00EC5DF5" w:rsidRDefault="00EC5DF5" w:rsidP="00EC5DF5">
            <w:pPr>
              <w:rPr>
                <w:rFonts w:cs="Open Sans"/>
                <w:b/>
                <w:bCs/>
              </w:rPr>
            </w:pPr>
            <w:r>
              <w:rPr>
                <w:rFonts w:cs="Open Sans"/>
                <w:b/>
                <w:bCs/>
              </w:rPr>
              <w:t>Victim Gender</w:t>
            </w:r>
          </w:p>
        </w:tc>
        <w:tc>
          <w:tcPr>
            <w:tcW w:w="4956" w:type="dxa"/>
          </w:tcPr>
          <w:p w14:paraId="0A84C5A5" w14:textId="7C1D1007" w:rsidR="00EC5DF5" w:rsidRPr="00EC5DF5" w:rsidRDefault="00EC5DF5" w:rsidP="00EC5DF5">
            <w:pPr>
              <w:rPr>
                <w:rFonts w:cs="Open Sans"/>
                <w:b/>
                <w:bCs/>
              </w:rPr>
            </w:pPr>
            <w:r>
              <w:rPr>
                <w:rFonts w:cs="Open Sans"/>
                <w:b/>
                <w:bCs/>
              </w:rPr>
              <w:t>Perpetrator most likely to be</w:t>
            </w:r>
          </w:p>
        </w:tc>
      </w:tr>
      <w:tr w:rsidR="00EC5DF5" w14:paraId="1EDE2DC7" w14:textId="77777777" w:rsidTr="00EC5DF5">
        <w:tc>
          <w:tcPr>
            <w:tcW w:w="4955" w:type="dxa"/>
          </w:tcPr>
          <w:p w14:paraId="4B592099" w14:textId="4C66E8A0" w:rsidR="00EC5DF5" w:rsidRPr="00EC5DF5" w:rsidRDefault="00EC5DF5" w:rsidP="00EC5DF5">
            <w:pPr>
              <w:rPr>
                <w:rFonts w:cs="Open Sans"/>
              </w:rPr>
            </w:pPr>
            <w:r w:rsidRPr="00EC5DF5">
              <w:rPr>
                <w:rFonts w:cs="Open Sans"/>
              </w:rPr>
              <w:t>Male</w:t>
            </w:r>
          </w:p>
        </w:tc>
        <w:tc>
          <w:tcPr>
            <w:tcW w:w="4956" w:type="dxa"/>
          </w:tcPr>
          <w:p w14:paraId="354478E1" w14:textId="4FCCAA19" w:rsidR="00EC5DF5" w:rsidRPr="00A32DAD" w:rsidRDefault="00A32DAD" w:rsidP="00EC5DF5">
            <w:pPr>
              <w:rPr>
                <w:rFonts w:cs="Open Sans"/>
              </w:rPr>
            </w:pPr>
            <w:r w:rsidRPr="00A32DAD">
              <w:rPr>
                <w:rFonts w:cs="Open Sans"/>
              </w:rPr>
              <w:t>Stranger</w:t>
            </w:r>
          </w:p>
        </w:tc>
      </w:tr>
      <w:tr w:rsidR="00EC5DF5" w14:paraId="6EAD36D8" w14:textId="77777777" w:rsidTr="00EC5DF5">
        <w:tc>
          <w:tcPr>
            <w:tcW w:w="4955" w:type="dxa"/>
          </w:tcPr>
          <w:p w14:paraId="4C8EDD32" w14:textId="1EC1CB6A" w:rsidR="00EC5DF5" w:rsidRPr="00EC5DF5" w:rsidRDefault="00EC5DF5" w:rsidP="00EC5DF5">
            <w:pPr>
              <w:rPr>
                <w:rFonts w:cs="Open Sans"/>
              </w:rPr>
            </w:pPr>
            <w:r w:rsidRPr="00EC5DF5">
              <w:rPr>
                <w:rFonts w:cs="Open Sans"/>
              </w:rPr>
              <w:t>Female</w:t>
            </w:r>
          </w:p>
        </w:tc>
        <w:tc>
          <w:tcPr>
            <w:tcW w:w="4956" w:type="dxa"/>
          </w:tcPr>
          <w:p w14:paraId="1FC89FF5" w14:textId="269042F8" w:rsidR="00EC5DF5" w:rsidRPr="00823D2D" w:rsidRDefault="00823D2D" w:rsidP="00EC5DF5">
            <w:pPr>
              <w:rPr>
                <w:rFonts w:cs="Open Sans"/>
              </w:rPr>
            </w:pPr>
            <w:r w:rsidRPr="00823D2D">
              <w:rPr>
                <w:rFonts w:cs="Open Sans"/>
              </w:rPr>
              <w:t>Partner or Ex-partner</w:t>
            </w:r>
          </w:p>
        </w:tc>
      </w:tr>
    </w:tbl>
    <w:p w14:paraId="6B871121" w14:textId="3081EFDA" w:rsidR="009A5BCA" w:rsidRDefault="00823D2D" w:rsidP="0063014A">
      <w:pPr>
        <w:pStyle w:val="Content"/>
        <w:rPr>
          <w:rFonts w:cs="Open Sans"/>
        </w:rPr>
      </w:pPr>
      <w:r>
        <w:rPr>
          <w:rFonts w:cs="Open Sans"/>
        </w:rPr>
        <w:t xml:space="preserve">Again, this demographic information </w:t>
      </w:r>
      <w:r w:rsidR="00A345B9">
        <w:rPr>
          <w:rFonts w:cs="Open Sans"/>
        </w:rPr>
        <w:t xml:space="preserve">should not be taken as </w:t>
      </w:r>
      <w:r>
        <w:rPr>
          <w:rFonts w:cs="Open Sans"/>
        </w:rPr>
        <w:t xml:space="preserve">a statement </w:t>
      </w:r>
      <w:r w:rsidR="006C357B">
        <w:rPr>
          <w:rFonts w:cs="Open Sans"/>
        </w:rPr>
        <w:t>about</w:t>
      </w:r>
      <w:r>
        <w:rPr>
          <w:rFonts w:cs="Open Sans"/>
        </w:rPr>
        <w:t xml:space="preserve"> crimes occurring, </w:t>
      </w:r>
      <w:r w:rsidR="009A5BCA">
        <w:rPr>
          <w:rFonts w:cs="Open Sans"/>
        </w:rPr>
        <w:t>because of the</w:t>
      </w:r>
      <w:r>
        <w:rPr>
          <w:rFonts w:cs="Open Sans"/>
        </w:rPr>
        <w:t xml:space="preserve"> complicating factors discussed </w:t>
      </w:r>
      <w:r>
        <w:rPr>
          <w:rFonts w:cs="Open Sans"/>
        </w:rPr>
        <w:lastRenderedPageBreak/>
        <w:t>elsewhere in this report</w:t>
      </w:r>
      <w:r w:rsidR="00A345B9">
        <w:rPr>
          <w:rFonts w:cs="Open Sans"/>
        </w:rPr>
        <w:t xml:space="preserve"> about which crimes make the news and which do not. However, information here is </w:t>
      </w:r>
      <w:r w:rsidR="00BD58B4">
        <w:rPr>
          <w:rFonts w:cs="Open Sans"/>
        </w:rPr>
        <w:t>relevant in examining the language used by the media in the second half of this report.</w:t>
      </w:r>
      <w:r w:rsidR="009A5BCA">
        <w:rPr>
          <w:rFonts w:cs="Open Sans"/>
        </w:rPr>
        <w:br w:type="page"/>
      </w:r>
    </w:p>
    <w:p w14:paraId="47B379E5" w14:textId="7E126B54" w:rsidR="006F3B4C" w:rsidRPr="00D06C62" w:rsidRDefault="006F3B4C" w:rsidP="0063014A">
      <w:pPr>
        <w:pStyle w:val="Heading2"/>
        <w:spacing w:before="240" w:after="240" w:line="360" w:lineRule="auto"/>
        <w:rPr>
          <w:rFonts w:cs="Open Sans"/>
        </w:rPr>
      </w:pPr>
      <w:bookmarkStart w:id="17" w:name="_Toc120713464"/>
      <w:r w:rsidRPr="00D06C62">
        <w:rPr>
          <w:rFonts w:cs="Open Sans"/>
        </w:rPr>
        <w:lastRenderedPageBreak/>
        <w:t>Media Coverage</w:t>
      </w:r>
      <w:bookmarkEnd w:id="17"/>
    </w:p>
    <w:p w14:paraId="7409332C" w14:textId="631A838F" w:rsidR="002E3604" w:rsidRDefault="002E3604" w:rsidP="0063014A">
      <w:pPr>
        <w:pStyle w:val="Heading3"/>
        <w:spacing w:before="240" w:after="240" w:line="360" w:lineRule="auto"/>
      </w:pPr>
      <w:bookmarkStart w:id="18" w:name="_Toc120713465"/>
      <w:r>
        <w:t>Media sources used</w:t>
      </w:r>
      <w:bookmarkEnd w:id="18"/>
    </w:p>
    <w:p w14:paraId="422B160C" w14:textId="51BCD337" w:rsidR="002E3604" w:rsidRDefault="009539C1" w:rsidP="0063014A">
      <w:pPr>
        <w:pStyle w:val="Content"/>
        <w:rPr>
          <w:rFonts w:cs="Open Sans"/>
        </w:rPr>
      </w:pPr>
      <w:r>
        <w:rPr>
          <w:rFonts w:cs="Open Sans"/>
        </w:rPr>
        <w:t xml:space="preserve">When considering media coverage, we did not count personal blogs, individual run websites, or </w:t>
      </w:r>
      <w:r w:rsidR="00B736A3">
        <w:rPr>
          <w:rFonts w:cs="Open Sans"/>
        </w:rPr>
        <w:t xml:space="preserve">automated </w:t>
      </w:r>
      <w:r w:rsidR="00CE1F38">
        <w:rPr>
          <w:rFonts w:cs="Open Sans"/>
        </w:rPr>
        <w:t>journalism</w:t>
      </w:r>
      <w:r w:rsidR="00665A37">
        <w:rPr>
          <w:rFonts w:cs="Open Sans"/>
        </w:rPr>
        <w:t xml:space="preserve">. These </w:t>
      </w:r>
      <w:r w:rsidR="00962C9C">
        <w:rPr>
          <w:rFonts w:cs="Open Sans"/>
        </w:rPr>
        <w:t xml:space="preserve">can </w:t>
      </w:r>
      <w:r w:rsidR="00665A37">
        <w:rPr>
          <w:rFonts w:cs="Open Sans"/>
        </w:rPr>
        <w:t>influence public perception, but the decision to exclude them was based on a few reasons</w:t>
      </w:r>
      <w:r w:rsidR="000F723C">
        <w:rPr>
          <w:rFonts w:cs="Open Sans"/>
        </w:rPr>
        <w:t xml:space="preserve">. </w:t>
      </w:r>
    </w:p>
    <w:p w14:paraId="083EED76" w14:textId="77777777" w:rsidR="006C357B" w:rsidRDefault="000F723C" w:rsidP="0063014A">
      <w:pPr>
        <w:pStyle w:val="Content"/>
        <w:rPr>
          <w:rFonts w:cs="Open Sans"/>
        </w:rPr>
      </w:pPr>
      <w:r>
        <w:rPr>
          <w:rFonts w:cs="Open Sans"/>
        </w:rPr>
        <w:t>As we</w:t>
      </w:r>
      <w:r w:rsidR="00665A37">
        <w:rPr>
          <w:rFonts w:cs="Open Sans"/>
        </w:rPr>
        <w:t xml:space="preserve"> were considering </w:t>
      </w:r>
      <w:r>
        <w:rPr>
          <w:rFonts w:cs="Open Sans"/>
        </w:rPr>
        <w:t xml:space="preserve">how people write about Disabled </w:t>
      </w:r>
      <w:r w:rsidR="00D33099">
        <w:rPr>
          <w:rFonts w:cs="Open Sans"/>
        </w:rPr>
        <w:t>people</w:t>
      </w:r>
      <w:r>
        <w:rPr>
          <w:rFonts w:cs="Open Sans"/>
        </w:rPr>
        <w:t xml:space="preserve"> and how this can perpetrate </w:t>
      </w:r>
      <w:r w:rsidR="00FA1EC1">
        <w:rPr>
          <w:rFonts w:cs="Open Sans"/>
        </w:rPr>
        <w:t>disablist</w:t>
      </w:r>
      <w:r>
        <w:rPr>
          <w:rFonts w:cs="Open Sans"/>
        </w:rPr>
        <w:t xml:space="preserve"> </w:t>
      </w:r>
      <w:r w:rsidR="00B432AE">
        <w:rPr>
          <w:rFonts w:cs="Open Sans"/>
        </w:rPr>
        <w:t xml:space="preserve">ideas within society, </w:t>
      </w:r>
      <w:r w:rsidR="00922FD0">
        <w:rPr>
          <w:rFonts w:cs="Open Sans"/>
        </w:rPr>
        <w:t>a</w:t>
      </w:r>
      <w:r w:rsidR="00263815">
        <w:rPr>
          <w:rFonts w:cs="Open Sans"/>
        </w:rPr>
        <w:t>utomated journ</w:t>
      </w:r>
      <w:r w:rsidR="006C0A85">
        <w:rPr>
          <w:rFonts w:cs="Open Sans"/>
        </w:rPr>
        <w:t>alism</w:t>
      </w:r>
      <w:r w:rsidR="00922FD0">
        <w:rPr>
          <w:rFonts w:cs="Open Sans"/>
        </w:rPr>
        <w:t xml:space="preserve"> </w:t>
      </w:r>
      <w:r w:rsidR="006C0A85">
        <w:rPr>
          <w:rFonts w:cs="Open Sans"/>
        </w:rPr>
        <w:t xml:space="preserve">— which </w:t>
      </w:r>
      <w:r w:rsidR="00922FD0">
        <w:rPr>
          <w:rFonts w:cs="Open Sans"/>
        </w:rPr>
        <w:t>use</w:t>
      </w:r>
      <w:r w:rsidR="006C0A85">
        <w:rPr>
          <w:rFonts w:cs="Open Sans"/>
        </w:rPr>
        <w:t>s</w:t>
      </w:r>
      <w:r w:rsidR="00922FD0">
        <w:rPr>
          <w:rFonts w:cs="Open Sans"/>
        </w:rPr>
        <w:t xml:space="preserve"> </w:t>
      </w:r>
      <w:r w:rsidR="000A723A">
        <w:rPr>
          <w:rFonts w:cs="Open Sans"/>
        </w:rPr>
        <w:t>Artificial Intelligence (</w:t>
      </w:r>
      <w:r w:rsidR="00922FD0">
        <w:rPr>
          <w:rFonts w:cs="Open Sans"/>
        </w:rPr>
        <w:t>AI</w:t>
      </w:r>
      <w:r w:rsidR="000A723A">
        <w:rPr>
          <w:rFonts w:cs="Open Sans"/>
        </w:rPr>
        <w:t>)</w:t>
      </w:r>
      <w:r w:rsidR="00922FD0">
        <w:rPr>
          <w:rFonts w:cs="Open Sans"/>
        </w:rPr>
        <w:t xml:space="preserve"> </w:t>
      </w:r>
      <w:r w:rsidR="006C357B">
        <w:rPr>
          <w:rFonts w:cs="Open Sans"/>
        </w:rPr>
        <w:t>for</w:t>
      </w:r>
      <w:r w:rsidR="00922FD0">
        <w:rPr>
          <w:rFonts w:cs="Open Sans"/>
        </w:rPr>
        <w:t xml:space="preserve"> web-scraping and article</w:t>
      </w:r>
      <w:r w:rsidR="008B66C4">
        <w:rPr>
          <w:rFonts w:cs="Open Sans"/>
        </w:rPr>
        <w:t xml:space="preserve"> generation </w:t>
      </w:r>
      <w:r w:rsidR="006C0A85">
        <w:rPr>
          <w:rFonts w:cs="Open Sans"/>
        </w:rPr>
        <w:t xml:space="preserve">— </w:t>
      </w:r>
      <w:r w:rsidR="008B66C4">
        <w:rPr>
          <w:rFonts w:cs="Open Sans"/>
        </w:rPr>
        <w:t>were not what we were most interested in</w:t>
      </w:r>
      <w:r w:rsidR="00B432AE">
        <w:rPr>
          <w:rFonts w:cs="Open Sans"/>
        </w:rPr>
        <w:t xml:space="preserve">. </w:t>
      </w:r>
    </w:p>
    <w:p w14:paraId="45864410" w14:textId="0405E3FF" w:rsidR="00665A37" w:rsidRDefault="00B432AE" w:rsidP="0063014A">
      <w:pPr>
        <w:pStyle w:val="Content"/>
        <w:rPr>
          <w:rFonts w:cs="Open Sans"/>
        </w:rPr>
      </w:pPr>
      <w:r>
        <w:rPr>
          <w:rFonts w:cs="Open Sans"/>
        </w:rPr>
        <w:t xml:space="preserve">While bigotry </w:t>
      </w:r>
      <w:r w:rsidR="007A77DA">
        <w:rPr>
          <w:rFonts w:cs="Open Sans"/>
        </w:rPr>
        <w:t>is often</w:t>
      </w:r>
      <w:r>
        <w:rPr>
          <w:rFonts w:cs="Open Sans"/>
        </w:rPr>
        <w:t xml:space="preserve"> embedded within AI</w:t>
      </w:r>
      <w:r w:rsidR="007A77DA">
        <w:rPr>
          <w:rFonts w:cs="Open Sans"/>
        </w:rPr>
        <w:t>,</w:t>
      </w:r>
      <w:r>
        <w:rPr>
          <w:rFonts w:cs="Open Sans"/>
        </w:rPr>
        <w:t xml:space="preserve"> systems, software, and hardware </w:t>
      </w:r>
      <w:r w:rsidR="007A77DA">
        <w:rPr>
          <w:rFonts w:cs="Open Sans"/>
        </w:rPr>
        <w:t>because of the</w:t>
      </w:r>
      <w:r>
        <w:rPr>
          <w:rFonts w:cs="Open Sans"/>
        </w:rPr>
        <w:t xml:space="preserve"> biases of the creators</w:t>
      </w:r>
      <w:r w:rsidR="00247A8A">
        <w:rPr>
          <w:rStyle w:val="FootnoteReference"/>
          <w:rFonts w:cs="Open Sans"/>
        </w:rPr>
        <w:footnoteReference w:id="20"/>
      </w:r>
      <w:r w:rsidR="007A77DA">
        <w:rPr>
          <w:rFonts w:cs="Open Sans"/>
        </w:rPr>
        <w:t xml:space="preserve">, </w:t>
      </w:r>
      <w:r w:rsidR="006A579F">
        <w:rPr>
          <w:rFonts w:cs="Open Sans"/>
        </w:rPr>
        <w:t xml:space="preserve">AI-generated articles </w:t>
      </w:r>
      <w:r w:rsidR="006C357B">
        <w:rPr>
          <w:rFonts w:cs="Open Sans"/>
        </w:rPr>
        <w:t>a</w:t>
      </w:r>
      <w:r w:rsidR="006A579F">
        <w:rPr>
          <w:rFonts w:cs="Open Sans"/>
        </w:rPr>
        <w:t>re</w:t>
      </w:r>
      <w:r w:rsidR="006C357B">
        <w:rPr>
          <w:rFonts w:cs="Open Sans"/>
        </w:rPr>
        <w:t xml:space="preserve"> often</w:t>
      </w:r>
      <w:r w:rsidR="006A579F">
        <w:rPr>
          <w:rFonts w:cs="Open Sans"/>
        </w:rPr>
        <w:t xml:space="preserve"> the product of multiple different news articles and</w:t>
      </w:r>
      <w:r w:rsidR="006C357B">
        <w:rPr>
          <w:rFonts w:cs="Open Sans"/>
        </w:rPr>
        <w:t xml:space="preserve"> many</w:t>
      </w:r>
      <w:r w:rsidR="006A579F">
        <w:rPr>
          <w:rFonts w:cs="Open Sans"/>
        </w:rPr>
        <w:t xml:space="preserve"> ended up being</w:t>
      </w:r>
      <w:r w:rsidR="008B0B5C">
        <w:rPr>
          <w:rFonts w:cs="Open Sans"/>
        </w:rPr>
        <w:t xml:space="preserve"> nonsensical or lacking detail.</w:t>
      </w:r>
    </w:p>
    <w:p w14:paraId="44A5EBFD" w14:textId="30080405" w:rsidR="009A2D2E" w:rsidRDefault="008B0B5C" w:rsidP="0063014A">
      <w:pPr>
        <w:pStyle w:val="Content"/>
        <w:rPr>
          <w:rFonts w:cs="Open Sans"/>
        </w:rPr>
      </w:pPr>
      <w:r>
        <w:rPr>
          <w:rFonts w:cs="Open Sans"/>
        </w:rPr>
        <w:t>Blogs and personal websites</w:t>
      </w:r>
      <w:r w:rsidR="006C357B">
        <w:rPr>
          <w:rFonts w:cs="Open Sans"/>
        </w:rPr>
        <w:t xml:space="preserve"> </w:t>
      </w:r>
      <w:r>
        <w:rPr>
          <w:rFonts w:cs="Open Sans"/>
        </w:rPr>
        <w:t xml:space="preserve">certainly have </w:t>
      </w:r>
      <w:r w:rsidR="006C357B">
        <w:rPr>
          <w:rFonts w:cs="Open Sans"/>
        </w:rPr>
        <w:t>value,</w:t>
      </w:r>
      <w:r w:rsidR="009A2D2E">
        <w:rPr>
          <w:rFonts w:cs="Open Sans"/>
        </w:rPr>
        <w:t xml:space="preserve"> as </w:t>
      </w:r>
      <w:r w:rsidR="006D4FF6">
        <w:rPr>
          <w:rFonts w:cs="Open Sans"/>
        </w:rPr>
        <w:t>shown</w:t>
      </w:r>
      <w:r w:rsidR="009A2D2E">
        <w:rPr>
          <w:rFonts w:cs="Open Sans"/>
        </w:rPr>
        <w:t xml:space="preserve"> by our use of them as starting points for research. H</w:t>
      </w:r>
      <w:r w:rsidR="00CF37A7">
        <w:rPr>
          <w:rFonts w:cs="Open Sans"/>
        </w:rPr>
        <w:t xml:space="preserve">owever, it would not be fair to claim that someone’s </w:t>
      </w:r>
      <w:r w:rsidR="00281FA7">
        <w:rPr>
          <w:rFonts w:cs="Open Sans"/>
        </w:rPr>
        <w:t>personal website or blog</w:t>
      </w:r>
      <w:r w:rsidR="00CF37A7">
        <w:rPr>
          <w:rFonts w:cs="Open Sans"/>
        </w:rPr>
        <w:t xml:space="preserve"> </w:t>
      </w:r>
      <w:r w:rsidR="009A2D2E">
        <w:rPr>
          <w:rFonts w:cs="Open Sans"/>
        </w:rPr>
        <w:t>about</w:t>
      </w:r>
      <w:r w:rsidR="00CC5028">
        <w:rPr>
          <w:rFonts w:cs="Open Sans"/>
        </w:rPr>
        <w:t xml:space="preserve"> crime and Disabled people </w:t>
      </w:r>
      <w:r w:rsidR="00CF37A7">
        <w:rPr>
          <w:rFonts w:cs="Open Sans"/>
        </w:rPr>
        <w:t>h</w:t>
      </w:r>
      <w:r w:rsidR="005F53B6">
        <w:rPr>
          <w:rFonts w:cs="Open Sans"/>
        </w:rPr>
        <w:t>as</w:t>
      </w:r>
      <w:r w:rsidR="00CF37A7">
        <w:rPr>
          <w:rFonts w:cs="Open Sans"/>
        </w:rPr>
        <w:t xml:space="preserve"> the same public presence</w:t>
      </w:r>
      <w:r w:rsidR="005F53B6">
        <w:rPr>
          <w:rFonts w:cs="Open Sans"/>
        </w:rPr>
        <w:t xml:space="preserve"> or reach</w:t>
      </w:r>
      <w:r w:rsidR="00CF37A7">
        <w:rPr>
          <w:rFonts w:cs="Open Sans"/>
        </w:rPr>
        <w:t xml:space="preserve"> as internat</w:t>
      </w:r>
      <w:r w:rsidR="00F2228B">
        <w:rPr>
          <w:rFonts w:cs="Open Sans"/>
        </w:rPr>
        <w:t xml:space="preserve">ional, national, or even local news stations and sites. </w:t>
      </w:r>
    </w:p>
    <w:p w14:paraId="3E2CBE76" w14:textId="37EE1B9B" w:rsidR="008B0B5C" w:rsidRDefault="00CC5028" w:rsidP="0063014A">
      <w:pPr>
        <w:pStyle w:val="Content"/>
        <w:rPr>
          <w:rFonts w:cs="Open Sans"/>
        </w:rPr>
      </w:pPr>
      <w:r>
        <w:rPr>
          <w:rFonts w:cs="Open Sans"/>
        </w:rPr>
        <w:t>To demonstrate this in numbers</w:t>
      </w:r>
      <w:r w:rsidR="008F72B1">
        <w:rPr>
          <w:rFonts w:cs="Open Sans"/>
        </w:rPr>
        <w:t xml:space="preserve"> for </w:t>
      </w:r>
      <w:r w:rsidR="008F72B1">
        <w:rPr>
          <w:rFonts w:cs="Open Sans"/>
          <w:b/>
          <w:bCs/>
        </w:rPr>
        <w:t>July 2022</w:t>
      </w:r>
      <w:r>
        <w:rPr>
          <w:rFonts w:cs="Open Sans"/>
        </w:rPr>
        <w:t>:</w:t>
      </w:r>
    </w:p>
    <w:p w14:paraId="242BFC8E" w14:textId="03948A58" w:rsidR="00CC5028" w:rsidRDefault="00CC5028" w:rsidP="0063014A">
      <w:pPr>
        <w:pStyle w:val="Content"/>
        <w:numPr>
          <w:ilvl w:val="0"/>
          <w:numId w:val="7"/>
        </w:numPr>
        <w:rPr>
          <w:rFonts w:cs="Open Sans"/>
        </w:rPr>
      </w:pPr>
      <w:r>
        <w:rPr>
          <w:rFonts w:cs="Open Sans"/>
          <w:b/>
          <w:bCs/>
        </w:rPr>
        <w:lastRenderedPageBreak/>
        <w:t>The BBC</w:t>
      </w:r>
      <w:r>
        <w:rPr>
          <w:rFonts w:cs="Open Sans"/>
        </w:rPr>
        <w:t xml:space="preserve"> had </w:t>
      </w:r>
      <w:r w:rsidR="003D7BD7">
        <w:rPr>
          <w:rFonts w:cs="Open Sans"/>
        </w:rPr>
        <w:t>approximately 641,400,000 visits</w:t>
      </w:r>
      <w:r w:rsidR="008F72B1">
        <w:rPr>
          <w:rFonts w:cs="Open Sans"/>
        </w:rPr>
        <w:t>.</w:t>
      </w:r>
    </w:p>
    <w:p w14:paraId="72B45DD6" w14:textId="32636A15" w:rsidR="003D7BD7" w:rsidRDefault="003D7BD7" w:rsidP="0063014A">
      <w:pPr>
        <w:pStyle w:val="Content"/>
        <w:numPr>
          <w:ilvl w:val="0"/>
          <w:numId w:val="7"/>
        </w:numPr>
        <w:rPr>
          <w:rFonts w:cs="Open Sans"/>
        </w:rPr>
      </w:pPr>
      <w:r>
        <w:rPr>
          <w:rFonts w:cs="Open Sans"/>
          <w:b/>
          <w:bCs/>
        </w:rPr>
        <w:t xml:space="preserve">The Lancashire </w:t>
      </w:r>
      <w:r w:rsidR="00E215A5">
        <w:rPr>
          <w:rFonts w:cs="Open Sans"/>
          <w:b/>
          <w:bCs/>
        </w:rPr>
        <w:t xml:space="preserve">Evening </w:t>
      </w:r>
      <w:r>
        <w:rPr>
          <w:rFonts w:cs="Open Sans"/>
          <w:b/>
          <w:bCs/>
        </w:rPr>
        <w:t>Post</w:t>
      </w:r>
      <w:r w:rsidR="00E215A5">
        <w:rPr>
          <w:rFonts w:cs="Open Sans"/>
          <w:b/>
          <w:bCs/>
        </w:rPr>
        <w:t xml:space="preserve"> </w:t>
      </w:r>
      <w:r w:rsidR="008F72B1">
        <w:rPr>
          <w:rFonts w:cs="Open Sans"/>
        </w:rPr>
        <w:t>had approximately 1,200,000 visits.</w:t>
      </w:r>
    </w:p>
    <w:p w14:paraId="57C2F0AD" w14:textId="5B50BF7D" w:rsidR="008F72B1" w:rsidRDefault="00773867" w:rsidP="0063014A">
      <w:pPr>
        <w:pStyle w:val="Content"/>
        <w:numPr>
          <w:ilvl w:val="0"/>
          <w:numId w:val="7"/>
        </w:numPr>
        <w:rPr>
          <w:rFonts w:cs="Open Sans"/>
        </w:rPr>
      </w:pPr>
      <w:r>
        <w:rPr>
          <w:rFonts w:cs="Open Sans"/>
          <w:b/>
          <w:bCs/>
        </w:rPr>
        <w:t>Disability</w:t>
      </w:r>
      <w:r w:rsidR="005F53B6">
        <w:rPr>
          <w:rFonts w:cs="Open Sans"/>
          <w:b/>
          <w:bCs/>
        </w:rPr>
        <w:t xml:space="preserve"> </w:t>
      </w:r>
      <w:r>
        <w:rPr>
          <w:rFonts w:cs="Open Sans"/>
          <w:b/>
          <w:bCs/>
        </w:rPr>
        <w:t>Memoria</w:t>
      </w:r>
      <w:r w:rsidR="005F53B6">
        <w:rPr>
          <w:rFonts w:cs="Open Sans"/>
          <w:b/>
          <w:bCs/>
        </w:rPr>
        <w:t>l</w:t>
      </w:r>
      <w:r>
        <w:rPr>
          <w:rFonts w:cs="Open Sans"/>
          <w:b/>
          <w:bCs/>
        </w:rPr>
        <w:t xml:space="preserve"> </w:t>
      </w:r>
      <w:r>
        <w:rPr>
          <w:rFonts w:cs="Open Sans"/>
        </w:rPr>
        <w:t>had approximately 12,600 visits.</w:t>
      </w:r>
    </w:p>
    <w:p w14:paraId="13E5D5AF" w14:textId="43CF1207" w:rsidR="00773867" w:rsidRDefault="00773867" w:rsidP="0063014A">
      <w:pPr>
        <w:pStyle w:val="Content"/>
        <w:numPr>
          <w:ilvl w:val="0"/>
          <w:numId w:val="7"/>
        </w:numPr>
        <w:rPr>
          <w:rFonts w:cs="Open Sans"/>
        </w:rPr>
      </w:pPr>
      <w:r>
        <w:rPr>
          <w:rFonts w:cs="Open Sans"/>
          <w:b/>
          <w:bCs/>
        </w:rPr>
        <w:t>Autism</w:t>
      </w:r>
      <w:r w:rsidR="005F53B6">
        <w:rPr>
          <w:rFonts w:cs="Open Sans"/>
          <w:b/>
          <w:bCs/>
        </w:rPr>
        <w:t xml:space="preserve"> </w:t>
      </w:r>
      <w:r>
        <w:rPr>
          <w:rFonts w:cs="Open Sans"/>
          <w:b/>
          <w:bCs/>
        </w:rPr>
        <w:t xml:space="preserve">Memorial </w:t>
      </w:r>
      <w:r>
        <w:rPr>
          <w:rFonts w:cs="Open Sans"/>
        </w:rPr>
        <w:t xml:space="preserve">had </w:t>
      </w:r>
      <w:r w:rsidR="003A0A4C">
        <w:rPr>
          <w:rFonts w:cs="Open Sans"/>
        </w:rPr>
        <w:t>under 5,000 visits.</w:t>
      </w:r>
    </w:p>
    <w:p w14:paraId="2D119486" w14:textId="6CAEEB97" w:rsidR="003A0A4C" w:rsidRDefault="006B36FA" w:rsidP="0063014A">
      <w:pPr>
        <w:pStyle w:val="Content"/>
        <w:rPr>
          <w:rFonts w:cs="Open Sans"/>
        </w:rPr>
      </w:pPr>
      <w:r>
        <w:rPr>
          <w:rFonts w:cs="Open Sans"/>
        </w:rPr>
        <w:t>Finally</w:t>
      </w:r>
      <w:r w:rsidR="003A0A4C">
        <w:rPr>
          <w:rFonts w:cs="Open Sans"/>
        </w:rPr>
        <w:t xml:space="preserve">, they are not </w:t>
      </w:r>
      <w:r w:rsidR="000D7767">
        <w:rPr>
          <w:rFonts w:cs="Open Sans"/>
        </w:rPr>
        <w:t xml:space="preserve">media companies with a wide </w:t>
      </w:r>
      <w:r w:rsidR="00B72CD9">
        <w:rPr>
          <w:rFonts w:cs="Open Sans"/>
        </w:rPr>
        <w:t>reach,</w:t>
      </w:r>
      <w:r w:rsidR="000D7767">
        <w:rPr>
          <w:rFonts w:cs="Open Sans"/>
        </w:rPr>
        <w:t xml:space="preserve"> </w:t>
      </w:r>
      <w:r>
        <w:rPr>
          <w:rFonts w:cs="Open Sans"/>
        </w:rPr>
        <w:t>so are perhaps not expected to have</w:t>
      </w:r>
      <w:r w:rsidR="000D7767">
        <w:rPr>
          <w:rFonts w:cs="Open Sans"/>
        </w:rPr>
        <w:t xml:space="preserve"> </w:t>
      </w:r>
      <w:r w:rsidR="002B190F">
        <w:rPr>
          <w:rFonts w:cs="Open Sans"/>
        </w:rPr>
        <w:t>the same level of</w:t>
      </w:r>
      <w:r w:rsidR="000D7767">
        <w:rPr>
          <w:rFonts w:cs="Open Sans"/>
        </w:rPr>
        <w:t xml:space="preserve"> journalistic responsibilities which</w:t>
      </w:r>
      <w:r>
        <w:rPr>
          <w:rFonts w:cs="Open Sans"/>
        </w:rPr>
        <w:t xml:space="preserve"> </w:t>
      </w:r>
      <w:r w:rsidR="002E3604">
        <w:rPr>
          <w:rFonts w:cs="Open Sans"/>
        </w:rPr>
        <w:t>formal news sites and networks do</w:t>
      </w:r>
      <w:r>
        <w:rPr>
          <w:rStyle w:val="FootnoteReference"/>
          <w:rFonts w:cs="Open Sans"/>
        </w:rPr>
        <w:footnoteReference w:id="21"/>
      </w:r>
      <w:r w:rsidR="002E3604">
        <w:rPr>
          <w:rFonts w:cs="Open Sans"/>
        </w:rPr>
        <w:t>.</w:t>
      </w:r>
    </w:p>
    <w:p w14:paraId="62FD039E" w14:textId="77777777" w:rsidR="00B72CD9" w:rsidRDefault="00B72CD9" w:rsidP="0063014A">
      <w:pPr>
        <w:pStyle w:val="Content"/>
        <w:rPr>
          <w:rFonts w:cs="Open Sans"/>
        </w:rPr>
      </w:pPr>
    </w:p>
    <w:p w14:paraId="2648C48E" w14:textId="01CBEB5F" w:rsidR="00B72CD9" w:rsidRPr="00E215A5" w:rsidRDefault="00B72CD9" w:rsidP="009E0986">
      <w:pPr>
        <w:pStyle w:val="Heading3"/>
        <w:spacing w:before="240" w:after="240" w:line="360" w:lineRule="auto"/>
      </w:pPr>
      <w:bookmarkStart w:id="19" w:name="_Toc120713466"/>
      <w:r>
        <w:t>Media Coverage</w:t>
      </w:r>
      <w:bookmarkEnd w:id="19"/>
    </w:p>
    <w:p w14:paraId="04B9FA2A" w14:textId="637AFCCE" w:rsidR="006C357B" w:rsidRDefault="006C357B" w:rsidP="0063014A">
      <w:pPr>
        <w:pStyle w:val="Content"/>
        <w:rPr>
          <w:rFonts w:cs="Open Sans"/>
        </w:rPr>
      </w:pPr>
      <w:r>
        <w:rPr>
          <w:rFonts w:cs="Open Sans"/>
        </w:rPr>
        <w:t>As with other aspects of this report, the below numbers were at the time of research and many months will have passed between data collection and analysis, and this report being released, so some cases may have received more coverage in the meantime.</w:t>
      </w:r>
    </w:p>
    <w:p w14:paraId="01952E2A" w14:textId="0A8AAA75" w:rsidR="00ED7CCD" w:rsidRDefault="006F3B4C" w:rsidP="0063014A">
      <w:pPr>
        <w:pStyle w:val="Content"/>
        <w:rPr>
          <w:rFonts w:cs="Open Sans"/>
        </w:rPr>
      </w:pPr>
      <w:r>
        <w:rPr>
          <w:rFonts w:cs="Open Sans"/>
        </w:rPr>
        <w:t>126</w:t>
      </w:r>
      <w:r w:rsidRPr="00D06C62">
        <w:rPr>
          <w:rFonts w:cs="Open Sans"/>
        </w:rPr>
        <w:t xml:space="preserve"> cases received what we termed “Significant Coverage”, defined by there being 10</w:t>
      </w:r>
      <w:r w:rsidR="00B72CD9">
        <w:rPr>
          <w:rFonts w:cs="Open Sans"/>
        </w:rPr>
        <w:t>+</w:t>
      </w:r>
      <w:r w:rsidRPr="00D06C62">
        <w:rPr>
          <w:rFonts w:cs="Open Sans"/>
        </w:rPr>
        <w:t xml:space="preserve"> unique and easily located news articles</w:t>
      </w:r>
      <w:r w:rsidR="00B72CD9">
        <w:rPr>
          <w:rFonts w:cs="Open Sans"/>
        </w:rPr>
        <w:t xml:space="preserve"> on formal news sites</w:t>
      </w:r>
      <w:r w:rsidRPr="00D06C62">
        <w:rPr>
          <w:rFonts w:cs="Open Sans"/>
        </w:rPr>
        <w:t xml:space="preserve"> available through internet search engines. </w:t>
      </w:r>
    </w:p>
    <w:p w14:paraId="15BEEC00" w14:textId="71959328" w:rsidR="007D398E" w:rsidRDefault="006F3B4C" w:rsidP="0063014A">
      <w:pPr>
        <w:pStyle w:val="Content"/>
        <w:rPr>
          <w:rFonts w:cs="Open Sans"/>
        </w:rPr>
      </w:pPr>
      <w:r>
        <w:rPr>
          <w:rFonts w:cs="Open Sans"/>
        </w:rPr>
        <w:t>79</w:t>
      </w:r>
      <w:r w:rsidRPr="00D06C62">
        <w:rPr>
          <w:rFonts w:cs="Open Sans"/>
        </w:rPr>
        <w:t xml:space="preserve"> had “Moderate Coverage”, which was defined as there being 5-</w:t>
      </w:r>
      <w:r w:rsidR="00B72CD9">
        <w:rPr>
          <w:rFonts w:cs="Open Sans"/>
        </w:rPr>
        <w:t>9</w:t>
      </w:r>
      <w:r w:rsidRPr="00D06C62">
        <w:rPr>
          <w:rFonts w:cs="Open Sans"/>
        </w:rPr>
        <w:t xml:space="preserve"> </w:t>
      </w:r>
      <w:r w:rsidR="00B72CD9" w:rsidRPr="00D06C62">
        <w:rPr>
          <w:rFonts w:cs="Open Sans"/>
        </w:rPr>
        <w:t>unique and easily located news articles</w:t>
      </w:r>
      <w:r w:rsidR="00B72CD9">
        <w:rPr>
          <w:rFonts w:cs="Open Sans"/>
        </w:rPr>
        <w:t xml:space="preserve"> on formal news sites</w:t>
      </w:r>
      <w:r w:rsidR="00B72CD9" w:rsidRPr="00D06C62">
        <w:rPr>
          <w:rFonts w:cs="Open Sans"/>
        </w:rPr>
        <w:t xml:space="preserve"> available through internet search engines</w:t>
      </w:r>
    </w:p>
    <w:p w14:paraId="6C602DC4" w14:textId="21C8C735" w:rsidR="007D398E" w:rsidRDefault="006F3B4C" w:rsidP="0063014A">
      <w:pPr>
        <w:pStyle w:val="Content"/>
        <w:rPr>
          <w:rFonts w:cs="Open Sans"/>
        </w:rPr>
      </w:pPr>
      <w:r>
        <w:rPr>
          <w:rFonts w:cs="Open Sans"/>
        </w:rPr>
        <w:lastRenderedPageBreak/>
        <w:t>93</w:t>
      </w:r>
      <w:r w:rsidRPr="00D06C62">
        <w:rPr>
          <w:rFonts w:cs="Open Sans"/>
        </w:rPr>
        <w:t xml:space="preserve"> had “Minimal Coverage”, where there were less than 5 </w:t>
      </w:r>
      <w:r w:rsidR="00B72CD9" w:rsidRPr="00D06C62">
        <w:rPr>
          <w:rFonts w:cs="Open Sans"/>
        </w:rPr>
        <w:t>unique and easily located news articles</w:t>
      </w:r>
      <w:r w:rsidR="00B72CD9">
        <w:rPr>
          <w:rFonts w:cs="Open Sans"/>
        </w:rPr>
        <w:t xml:space="preserve"> on formal news sites</w:t>
      </w:r>
      <w:r w:rsidR="00B72CD9" w:rsidRPr="00D06C62">
        <w:rPr>
          <w:rFonts w:cs="Open Sans"/>
        </w:rPr>
        <w:t xml:space="preserve"> available through internet search engines</w:t>
      </w:r>
      <w:r w:rsidRPr="00D06C62">
        <w:rPr>
          <w:rFonts w:cs="Open Sans"/>
        </w:rPr>
        <w:t xml:space="preserve">. </w:t>
      </w:r>
    </w:p>
    <w:p w14:paraId="383246CA" w14:textId="1DF8AB26" w:rsidR="006F3B4C" w:rsidRPr="009539C1" w:rsidRDefault="006F3B4C" w:rsidP="006F3B4C">
      <w:pPr>
        <w:pStyle w:val="Content"/>
        <w:rPr>
          <w:rFonts w:cs="Open Sans"/>
        </w:rPr>
      </w:pPr>
      <w:r>
        <w:rPr>
          <w:rFonts w:cs="Open Sans"/>
        </w:rPr>
        <w:t>2</w:t>
      </w:r>
      <w:r w:rsidRPr="00D06C62">
        <w:rPr>
          <w:rFonts w:cs="Open Sans"/>
        </w:rPr>
        <w:t xml:space="preserve"> case</w:t>
      </w:r>
      <w:r>
        <w:rPr>
          <w:rFonts w:cs="Open Sans"/>
        </w:rPr>
        <w:t>s</w:t>
      </w:r>
      <w:r w:rsidRPr="00D06C62">
        <w:rPr>
          <w:rFonts w:cs="Open Sans"/>
        </w:rPr>
        <w:t xml:space="preserve"> did not have an individual article written about the</w:t>
      </w:r>
      <w:r>
        <w:rPr>
          <w:rFonts w:cs="Open Sans"/>
        </w:rPr>
        <w:t>m</w:t>
      </w:r>
      <w:r w:rsidRPr="00D06C62">
        <w:rPr>
          <w:rFonts w:cs="Open Sans"/>
        </w:rPr>
        <w:t xml:space="preserve"> and only showed up </w:t>
      </w:r>
      <w:r>
        <w:rPr>
          <w:rFonts w:cs="Open Sans"/>
        </w:rPr>
        <w:t xml:space="preserve">either </w:t>
      </w:r>
      <w:r w:rsidRPr="00D06C62">
        <w:rPr>
          <w:rFonts w:cs="Open Sans"/>
        </w:rPr>
        <w:t>as part of a “round-up” article about the number of arrests made that month</w:t>
      </w:r>
      <w:r>
        <w:rPr>
          <w:rFonts w:cs="Open Sans"/>
        </w:rPr>
        <w:t xml:space="preserve"> or within a Serious Adult Review</w:t>
      </w:r>
      <w:r w:rsidRPr="00D06C62">
        <w:rPr>
          <w:rFonts w:cs="Open Sans"/>
        </w:rPr>
        <w:t xml:space="preserve">, </w:t>
      </w:r>
      <w:r w:rsidR="006C357B">
        <w:rPr>
          <w:rFonts w:cs="Open Sans"/>
        </w:rPr>
        <w:t>we marked this</w:t>
      </w:r>
      <w:r w:rsidRPr="00D06C62">
        <w:rPr>
          <w:rFonts w:cs="Open Sans"/>
        </w:rPr>
        <w:t xml:space="preserve"> as receiving “No Coverage”.</w:t>
      </w:r>
    </w:p>
    <w:p w14:paraId="52A8558A" w14:textId="77777777" w:rsidR="006C357B" w:rsidRDefault="00AE26F8" w:rsidP="006F3B4C">
      <w:pPr>
        <w:pStyle w:val="Content"/>
        <w:rPr>
          <w:rFonts w:cs="Open Sans"/>
        </w:rPr>
      </w:pPr>
      <w:r>
        <w:rPr>
          <w:rFonts w:cs="Open Sans"/>
        </w:rPr>
        <w:t xml:space="preserve">Given the significant overlap of </w:t>
      </w:r>
      <w:r w:rsidR="0034754E">
        <w:rPr>
          <w:rFonts w:cs="Open Sans"/>
        </w:rPr>
        <w:t xml:space="preserve">acts within these crimes (for </w:t>
      </w:r>
      <w:r w:rsidR="0037210D">
        <w:rPr>
          <w:rFonts w:cs="Open Sans"/>
        </w:rPr>
        <w:t>example,</w:t>
      </w:r>
      <w:r w:rsidR="0034754E">
        <w:rPr>
          <w:rFonts w:cs="Open Sans"/>
        </w:rPr>
        <w:t xml:space="preserve"> murder often </w:t>
      </w:r>
      <w:r w:rsidR="00D45AEF">
        <w:rPr>
          <w:rFonts w:cs="Open Sans"/>
        </w:rPr>
        <w:t xml:space="preserve">involved assault), breaking down the coverage for categories would portray an inaccurate picture of media coverage. </w:t>
      </w:r>
    </w:p>
    <w:p w14:paraId="06397782" w14:textId="1EE67350" w:rsidR="001509BB" w:rsidRDefault="002C2453" w:rsidP="006F3B4C">
      <w:pPr>
        <w:pStyle w:val="Content"/>
        <w:rPr>
          <w:rFonts w:cs="Open Sans"/>
        </w:rPr>
      </w:pPr>
      <w:r>
        <w:rPr>
          <w:rFonts w:cs="Open Sans"/>
        </w:rPr>
        <w:t xml:space="preserve">Some assaults received more media attention because </w:t>
      </w:r>
      <w:r w:rsidR="00E674E8">
        <w:rPr>
          <w:rFonts w:cs="Open Sans"/>
        </w:rPr>
        <w:t>it was as part of ongoing abuse which escalated to murder</w:t>
      </w:r>
      <w:r w:rsidR="00196A4F">
        <w:rPr>
          <w:rFonts w:cs="Open Sans"/>
        </w:rPr>
        <w:t>, such as</w:t>
      </w:r>
      <w:r w:rsidR="00E674E8">
        <w:rPr>
          <w:rFonts w:cs="Open Sans"/>
        </w:rPr>
        <w:t xml:space="preserve"> in</w:t>
      </w:r>
      <w:r w:rsidR="00196A4F">
        <w:rPr>
          <w:rFonts w:cs="Open Sans"/>
        </w:rPr>
        <w:t xml:space="preserve"> the case of</w:t>
      </w:r>
      <w:r w:rsidR="00E674E8">
        <w:rPr>
          <w:rFonts w:cs="Open Sans"/>
        </w:rPr>
        <w:t xml:space="preserve"> Louis Spires who was murdered by his wife after years of abuse</w:t>
      </w:r>
      <w:r w:rsidR="00BE555D">
        <w:rPr>
          <w:rStyle w:val="FootnoteReference"/>
          <w:rFonts w:cs="Open Sans"/>
        </w:rPr>
        <w:footnoteReference w:id="22"/>
      </w:r>
      <w:r w:rsidR="00E674E8">
        <w:rPr>
          <w:rFonts w:cs="Open Sans"/>
        </w:rPr>
        <w:t xml:space="preserve">, or </w:t>
      </w:r>
      <w:r w:rsidR="00BC4281">
        <w:rPr>
          <w:rFonts w:cs="Open Sans"/>
        </w:rPr>
        <w:t>because there were multiple acts carried out by different perpetrators, such as the case of Steven Simpson</w:t>
      </w:r>
      <w:r w:rsidR="006C357B">
        <w:rPr>
          <w:rFonts w:cs="Open Sans"/>
        </w:rPr>
        <w:t>,</w:t>
      </w:r>
      <w:r w:rsidR="00BC4281">
        <w:rPr>
          <w:rFonts w:cs="Open Sans"/>
        </w:rPr>
        <w:t xml:space="preserve"> who was assaulted by multiple people at a party but was </w:t>
      </w:r>
      <w:r w:rsidR="001509BB">
        <w:rPr>
          <w:rFonts w:cs="Open Sans"/>
        </w:rPr>
        <w:t>ultimately murder</w:t>
      </w:r>
      <w:r w:rsidR="006B36FA">
        <w:rPr>
          <w:rFonts w:cs="Open Sans"/>
        </w:rPr>
        <w:t>ed</w:t>
      </w:r>
      <w:r w:rsidR="001509BB">
        <w:rPr>
          <w:rFonts w:cs="Open Sans"/>
        </w:rPr>
        <w:t xml:space="preserve"> by one individual</w:t>
      </w:r>
      <w:r w:rsidR="008B3C54">
        <w:rPr>
          <w:rStyle w:val="FootnoteReference"/>
          <w:rFonts w:cs="Open Sans"/>
        </w:rPr>
        <w:footnoteReference w:id="23"/>
      </w:r>
      <w:r w:rsidR="001509BB">
        <w:rPr>
          <w:rFonts w:cs="Open Sans"/>
        </w:rPr>
        <w:t>.</w:t>
      </w:r>
    </w:p>
    <w:p w14:paraId="5058AEEC" w14:textId="6EE59852" w:rsidR="001C06B0" w:rsidRDefault="0037210D" w:rsidP="006F3B4C">
      <w:pPr>
        <w:pStyle w:val="Content"/>
        <w:rPr>
          <w:rFonts w:cs="Open Sans"/>
        </w:rPr>
      </w:pPr>
      <w:r>
        <w:rPr>
          <w:rFonts w:cs="Open Sans"/>
        </w:rPr>
        <w:t xml:space="preserve">All that we will broach in this area is that even </w:t>
      </w:r>
      <w:r w:rsidR="008B3C54">
        <w:rPr>
          <w:rFonts w:cs="Open Sans"/>
        </w:rPr>
        <w:t>some cases which</w:t>
      </w:r>
      <w:r>
        <w:rPr>
          <w:rFonts w:cs="Open Sans"/>
        </w:rPr>
        <w:t xml:space="preserve"> involved</w:t>
      </w:r>
      <w:r w:rsidR="0061771A">
        <w:rPr>
          <w:rFonts w:cs="Open Sans"/>
        </w:rPr>
        <w:t xml:space="preserve"> </w:t>
      </w:r>
      <w:r w:rsidR="006C357B">
        <w:rPr>
          <w:rFonts w:cs="Open Sans"/>
        </w:rPr>
        <w:t>serious</w:t>
      </w:r>
      <w:r w:rsidR="0061771A">
        <w:rPr>
          <w:rFonts w:cs="Open Sans"/>
        </w:rPr>
        <w:t xml:space="preserve"> crimes such as murder received minimal coverage, although the general trend was that the more violent the crime, the more media coverage it received.</w:t>
      </w:r>
    </w:p>
    <w:p w14:paraId="676319C2" w14:textId="497C529B" w:rsidR="0061771A" w:rsidRDefault="0061771A" w:rsidP="006F3B4C">
      <w:pPr>
        <w:pStyle w:val="Content"/>
        <w:rPr>
          <w:rFonts w:cs="Open Sans"/>
        </w:rPr>
      </w:pPr>
      <w:r>
        <w:rPr>
          <w:rFonts w:cs="Open Sans"/>
        </w:rPr>
        <w:lastRenderedPageBreak/>
        <w:t xml:space="preserve">These findings are not </w:t>
      </w:r>
      <w:r w:rsidR="001509BB">
        <w:rPr>
          <w:rFonts w:cs="Open Sans"/>
        </w:rPr>
        <w:t>surprising,</w:t>
      </w:r>
      <w:r w:rsidR="008B3C54">
        <w:rPr>
          <w:rFonts w:cs="Open Sans"/>
        </w:rPr>
        <w:t xml:space="preserve"> as discussed previously,</w:t>
      </w:r>
      <w:r>
        <w:rPr>
          <w:rFonts w:cs="Open Sans"/>
        </w:rPr>
        <w:t xml:space="preserve"> and others have previously written about how </w:t>
      </w:r>
      <w:r w:rsidR="006C357B">
        <w:rPr>
          <w:rFonts w:cs="Open Sans"/>
        </w:rPr>
        <w:t>certain types of</w:t>
      </w:r>
      <w:r>
        <w:rPr>
          <w:rFonts w:cs="Open Sans"/>
        </w:rPr>
        <w:t xml:space="preserve"> crimes receive more media attention than others</w:t>
      </w:r>
      <w:r w:rsidR="00A26554">
        <w:rPr>
          <w:rFonts w:cs="Open Sans"/>
        </w:rPr>
        <w:t xml:space="preserve"> based on a variety of factors</w:t>
      </w:r>
      <w:r w:rsidR="009F0DEE">
        <w:rPr>
          <w:rStyle w:val="FootnoteReference"/>
          <w:rFonts w:cs="Open Sans"/>
        </w:rPr>
        <w:footnoteReference w:id="24"/>
      </w:r>
      <w:r w:rsidR="006B36FA">
        <w:rPr>
          <w:rFonts w:cs="Open Sans"/>
        </w:rPr>
        <w:t>.</w:t>
      </w:r>
    </w:p>
    <w:p w14:paraId="072CD967" w14:textId="77777777" w:rsidR="006F3B4C" w:rsidRPr="00D06C62" w:rsidRDefault="006F3B4C" w:rsidP="006F3B4C">
      <w:pPr>
        <w:pStyle w:val="Content"/>
        <w:rPr>
          <w:rFonts w:cs="Open Sans"/>
        </w:rPr>
      </w:pPr>
    </w:p>
    <w:p w14:paraId="5E9D02D5" w14:textId="067C44C3" w:rsidR="006F3B4C" w:rsidRDefault="006F3B4C" w:rsidP="006F3B4C">
      <w:pPr>
        <w:pStyle w:val="Heading2"/>
        <w:rPr>
          <w:rFonts w:cs="Open Sans"/>
        </w:rPr>
      </w:pPr>
      <w:bookmarkStart w:id="20" w:name="_Toc120713467"/>
      <w:r w:rsidRPr="00D06C62">
        <w:rPr>
          <w:rFonts w:cs="Open Sans"/>
        </w:rPr>
        <w:t>Outcomes</w:t>
      </w:r>
      <w:bookmarkEnd w:id="20"/>
    </w:p>
    <w:p w14:paraId="40C318AB" w14:textId="506CE2BE" w:rsidR="00241E5B" w:rsidRPr="0056600A" w:rsidRDefault="006C357B" w:rsidP="009E0986">
      <w:pPr>
        <w:pStyle w:val="Content"/>
        <w:rPr>
          <w:rFonts w:cs="Open Sans"/>
        </w:rPr>
      </w:pPr>
      <w:r>
        <w:rPr>
          <w:rFonts w:cs="Open Sans"/>
        </w:rPr>
        <w:t>As with above, p</w:t>
      </w:r>
      <w:r w:rsidR="00241E5B" w:rsidRPr="0056600A">
        <w:rPr>
          <w:rFonts w:cs="Open Sans"/>
        </w:rPr>
        <w:t xml:space="preserve">lease note that some outcomes may have </w:t>
      </w:r>
      <w:r w:rsidR="00411006" w:rsidRPr="0056600A">
        <w:rPr>
          <w:rFonts w:cs="Open Sans"/>
        </w:rPr>
        <w:t xml:space="preserve">changed between the time of this report being </w:t>
      </w:r>
      <w:r w:rsidR="008B3C54">
        <w:rPr>
          <w:rFonts w:cs="Open Sans"/>
        </w:rPr>
        <w:t>written</w:t>
      </w:r>
      <w:r w:rsidR="00411006" w:rsidRPr="0056600A">
        <w:rPr>
          <w:rFonts w:cs="Open Sans"/>
        </w:rPr>
        <w:t xml:space="preserve"> and </w:t>
      </w:r>
      <w:r w:rsidR="008B3C54">
        <w:rPr>
          <w:rFonts w:cs="Open Sans"/>
        </w:rPr>
        <w:t>final publication</w:t>
      </w:r>
      <w:r w:rsidR="00411006" w:rsidRPr="0056600A">
        <w:rPr>
          <w:rFonts w:cs="Open Sans"/>
        </w:rPr>
        <w:t xml:space="preserve">, especially </w:t>
      </w:r>
      <w:r>
        <w:rPr>
          <w:rFonts w:cs="Open Sans"/>
        </w:rPr>
        <w:t xml:space="preserve">for </w:t>
      </w:r>
      <w:r w:rsidR="00411006" w:rsidRPr="0056600A">
        <w:rPr>
          <w:rFonts w:cs="Open Sans"/>
        </w:rPr>
        <w:t>the cases in 2021 and 2022.</w:t>
      </w:r>
    </w:p>
    <w:p w14:paraId="1E68A61D" w14:textId="77777777" w:rsidR="00411006" w:rsidRPr="00241E5B" w:rsidRDefault="00411006" w:rsidP="009E0986">
      <w:pPr>
        <w:spacing w:before="240" w:after="240" w:line="360" w:lineRule="auto"/>
      </w:pPr>
    </w:p>
    <w:p w14:paraId="48828AFB" w14:textId="5DFA0408" w:rsidR="006F3B4C" w:rsidRPr="00D06C62" w:rsidRDefault="006F3B4C" w:rsidP="009E0986">
      <w:pPr>
        <w:pStyle w:val="Heading3"/>
        <w:spacing w:before="240" w:after="240" w:line="360" w:lineRule="auto"/>
        <w:rPr>
          <w:rFonts w:cs="Open Sans"/>
        </w:rPr>
      </w:pPr>
      <w:bookmarkStart w:id="21" w:name="_Toc120713468"/>
      <w:r w:rsidRPr="00D06C62">
        <w:rPr>
          <w:rFonts w:cs="Open Sans"/>
        </w:rPr>
        <w:t>Charged</w:t>
      </w:r>
      <w:bookmarkEnd w:id="21"/>
    </w:p>
    <w:p w14:paraId="402DB8AD" w14:textId="0C85BC53" w:rsidR="006F3B4C" w:rsidRDefault="006F3B4C" w:rsidP="006B36FA">
      <w:pPr>
        <w:pStyle w:val="Content"/>
        <w:rPr>
          <w:rFonts w:cs="Open Sans"/>
        </w:rPr>
      </w:pPr>
      <w:r w:rsidRPr="00D06C62">
        <w:rPr>
          <w:rFonts w:cs="Open Sans"/>
        </w:rPr>
        <w:t xml:space="preserve">In </w:t>
      </w:r>
      <w:r>
        <w:rPr>
          <w:rFonts w:cs="Open Sans"/>
        </w:rPr>
        <w:t>218</w:t>
      </w:r>
      <w:r w:rsidRPr="00D06C62">
        <w:rPr>
          <w:rFonts w:cs="Open Sans"/>
        </w:rPr>
        <w:t xml:space="preserve"> of </w:t>
      </w:r>
      <w:r>
        <w:rPr>
          <w:rFonts w:cs="Open Sans"/>
        </w:rPr>
        <w:t>300</w:t>
      </w:r>
      <w:r w:rsidRPr="00D06C62">
        <w:rPr>
          <w:rFonts w:cs="Open Sans"/>
        </w:rPr>
        <w:t xml:space="preserve"> cases reported in the news, someone was charged for the crime(s). </w:t>
      </w:r>
      <w:r>
        <w:rPr>
          <w:rFonts w:cs="Open Sans"/>
        </w:rPr>
        <w:t>9</w:t>
      </w:r>
      <w:r w:rsidRPr="00D06C62">
        <w:rPr>
          <w:rFonts w:cs="Open Sans"/>
        </w:rPr>
        <w:t xml:space="preserve"> additional cases were pending information</w:t>
      </w:r>
      <w:r w:rsidR="008B3C54">
        <w:rPr>
          <w:rFonts w:cs="Open Sans"/>
        </w:rPr>
        <w:t>,</w:t>
      </w:r>
      <w:r w:rsidRPr="00D06C62">
        <w:rPr>
          <w:rFonts w:cs="Open Sans"/>
        </w:rPr>
        <w:t xml:space="preserve"> </w:t>
      </w:r>
      <w:r w:rsidR="00965555">
        <w:rPr>
          <w:rFonts w:cs="Open Sans"/>
        </w:rPr>
        <w:t>with</w:t>
      </w:r>
      <w:r w:rsidRPr="00D06C62">
        <w:rPr>
          <w:rFonts w:cs="Open Sans"/>
        </w:rPr>
        <w:t xml:space="preserve"> indication</w:t>
      </w:r>
      <w:r w:rsidR="00965555">
        <w:rPr>
          <w:rFonts w:cs="Open Sans"/>
        </w:rPr>
        <w:t>s</w:t>
      </w:r>
      <w:r w:rsidRPr="00D06C62">
        <w:rPr>
          <w:rFonts w:cs="Open Sans"/>
        </w:rPr>
        <w:t xml:space="preserve"> that suspects had been identified</w:t>
      </w:r>
      <w:r w:rsidR="006B36FA">
        <w:rPr>
          <w:rFonts w:cs="Open Sans"/>
        </w:rPr>
        <w:t xml:space="preserve"> </w:t>
      </w:r>
      <w:r w:rsidR="008B3C54">
        <w:rPr>
          <w:rFonts w:cs="Open Sans"/>
        </w:rPr>
        <w:t>and charges</w:t>
      </w:r>
      <w:r w:rsidR="00965555">
        <w:rPr>
          <w:rFonts w:cs="Open Sans"/>
        </w:rPr>
        <w:t xml:space="preserve"> were pending</w:t>
      </w:r>
      <w:r w:rsidRPr="00D06C62">
        <w:rPr>
          <w:rFonts w:cs="Open Sans"/>
        </w:rPr>
        <w:t xml:space="preserve">. </w:t>
      </w:r>
    </w:p>
    <w:p w14:paraId="3512A787" w14:textId="2CAC28B8" w:rsidR="006F3B4C" w:rsidRDefault="006F3B4C" w:rsidP="006B36FA">
      <w:pPr>
        <w:pStyle w:val="Content"/>
        <w:rPr>
          <w:rFonts w:cs="Open Sans"/>
        </w:rPr>
      </w:pPr>
      <w:r w:rsidRPr="00D06C62">
        <w:rPr>
          <w:rFonts w:cs="Open Sans"/>
        </w:rPr>
        <w:t xml:space="preserve">In </w:t>
      </w:r>
      <w:r>
        <w:rPr>
          <w:rFonts w:cs="Open Sans"/>
        </w:rPr>
        <w:t>73</w:t>
      </w:r>
      <w:r w:rsidRPr="00D06C62">
        <w:rPr>
          <w:rFonts w:cs="Open Sans"/>
        </w:rPr>
        <w:t xml:space="preserve"> cases, </w:t>
      </w:r>
      <w:r w:rsidR="00EF582A">
        <w:rPr>
          <w:rFonts w:cs="Open Sans"/>
        </w:rPr>
        <w:t xml:space="preserve">there was nothing in the media to suggest anyone </w:t>
      </w:r>
      <w:r w:rsidRPr="00D06C62">
        <w:rPr>
          <w:rFonts w:cs="Open Sans"/>
        </w:rPr>
        <w:t xml:space="preserve">was charged. </w:t>
      </w:r>
      <w:r w:rsidR="007C44D6">
        <w:rPr>
          <w:rFonts w:cs="Open Sans"/>
        </w:rPr>
        <w:t xml:space="preserve">The perpetrators </w:t>
      </w:r>
      <w:r w:rsidR="006B36FA">
        <w:rPr>
          <w:rFonts w:cs="Open Sans"/>
        </w:rPr>
        <w:t>were</w:t>
      </w:r>
      <w:r w:rsidR="007C44D6">
        <w:rPr>
          <w:rFonts w:cs="Open Sans"/>
        </w:rPr>
        <w:t xml:space="preserve"> unlocated in 32 of the cases</w:t>
      </w:r>
      <w:r w:rsidR="006B36FA">
        <w:rPr>
          <w:rFonts w:cs="Open Sans"/>
        </w:rPr>
        <w:t xml:space="preserve"> at the time of researching</w:t>
      </w:r>
      <w:r w:rsidR="007C44D6">
        <w:rPr>
          <w:rFonts w:cs="Open Sans"/>
        </w:rPr>
        <w:t xml:space="preserve">. </w:t>
      </w:r>
      <w:r w:rsidRPr="00D06C62">
        <w:rPr>
          <w:rFonts w:cs="Open Sans"/>
        </w:rPr>
        <w:t xml:space="preserve">In the remaining </w:t>
      </w:r>
      <w:r>
        <w:rPr>
          <w:rFonts w:cs="Open Sans"/>
        </w:rPr>
        <w:t>41</w:t>
      </w:r>
      <w:r w:rsidRPr="00D06C62">
        <w:rPr>
          <w:rFonts w:cs="Open Sans"/>
        </w:rPr>
        <w:t xml:space="preserve">, </w:t>
      </w:r>
      <w:r w:rsidR="007C44D6">
        <w:rPr>
          <w:rFonts w:cs="Open Sans"/>
        </w:rPr>
        <w:t xml:space="preserve">reports indicated that </w:t>
      </w:r>
      <w:r w:rsidRPr="00D06C62">
        <w:rPr>
          <w:rFonts w:cs="Open Sans"/>
        </w:rPr>
        <w:t>the perpetrator was known</w:t>
      </w:r>
      <w:r w:rsidR="007C44D6">
        <w:rPr>
          <w:rFonts w:cs="Open Sans"/>
        </w:rPr>
        <w:t xml:space="preserve"> (sometimes by name)</w:t>
      </w:r>
      <w:r w:rsidRPr="00D06C62">
        <w:rPr>
          <w:rFonts w:cs="Open Sans"/>
        </w:rPr>
        <w:t xml:space="preserve"> and either no action was taken or action taken was not within the remit of the C</w:t>
      </w:r>
      <w:r w:rsidR="00504176">
        <w:rPr>
          <w:rFonts w:cs="Open Sans"/>
        </w:rPr>
        <w:t xml:space="preserve">riminal </w:t>
      </w:r>
      <w:r w:rsidRPr="00D06C62">
        <w:rPr>
          <w:rFonts w:cs="Open Sans"/>
        </w:rPr>
        <w:t>J</w:t>
      </w:r>
      <w:r w:rsidR="00504176">
        <w:rPr>
          <w:rFonts w:cs="Open Sans"/>
        </w:rPr>
        <w:t xml:space="preserve">ustice </w:t>
      </w:r>
      <w:r w:rsidRPr="00D06C62">
        <w:rPr>
          <w:rFonts w:cs="Open Sans"/>
        </w:rPr>
        <w:t>S</w:t>
      </w:r>
      <w:r w:rsidR="00504176">
        <w:rPr>
          <w:rFonts w:cs="Open Sans"/>
        </w:rPr>
        <w:t>ystem (CJS)</w:t>
      </w:r>
      <w:r w:rsidR="006B36FA">
        <w:rPr>
          <w:rFonts w:cs="Open Sans"/>
        </w:rPr>
        <w:t>.</w:t>
      </w:r>
      <w:r w:rsidRPr="00D06C62">
        <w:rPr>
          <w:rFonts w:cs="Open Sans"/>
        </w:rPr>
        <w:t xml:space="preserve"> </w:t>
      </w:r>
      <w:r w:rsidR="00504176">
        <w:rPr>
          <w:rFonts w:cs="Open Sans"/>
        </w:rPr>
        <w:t>F</w:t>
      </w:r>
      <w:r w:rsidRPr="00D06C62">
        <w:rPr>
          <w:rFonts w:cs="Open Sans"/>
        </w:rPr>
        <w:t xml:space="preserve">or example: </w:t>
      </w:r>
      <w:r w:rsidRPr="00D06C62">
        <w:rPr>
          <w:rFonts w:cs="Open Sans"/>
        </w:rPr>
        <w:lastRenderedPageBreak/>
        <w:t>two police officers were dismissed from post for verbally abusing and intimidating an autistic man but were not charged</w:t>
      </w:r>
      <w:r w:rsidR="00464E4E">
        <w:rPr>
          <w:rStyle w:val="FootnoteReference"/>
          <w:rFonts w:cs="Open Sans"/>
        </w:rPr>
        <w:footnoteReference w:id="25"/>
      </w:r>
      <w:r w:rsidR="009E06B9">
        <w:rPr>
          <w:rFonts w:cs="Open Sans"/>
        </w:rPr>
        <w:t xml:space="preserve">, and </w:t>
      </w:r>
      <w:r w:rsidRPr="00D06C62">
        <w:rPr>
          <w:rFonts w:cs="Open Sans"/>
        </w:rPr>
        <w:t xml:space="preserve">a </w:t>
      </w:r>
      <w:r w:rsidR="00E86CA9">
        <w:rPr>
          <w:rFonts w:cs="Open Sans"/>
        </w:rPr>
        <w:t>teacher</w:t>
      </w:r>
      <w:r w:rsidRPr="00D06C62">
        <w:rPr>
          <w:rFonts w:cs="Open Sans"/>
        </w:rPr>
        <w:t xml:space="preserve"> was fired</w:t>
      </w:r>
      <w:r w:rsidR="005E39EF">
        <w:rPr>
          <w:rFonts w:cs="Open Sans"/>
        </w:rPr>
        <w:t xml:space="preserve"> </w:t>
      </w:r>
      <w:r w:rsidRPr="00D06C62">
        <w:rPr>
          <w:rFonts w:cs="Open Sans"/>
        </w:rPr>
        <w:t xml:space="preserve">after assaulting a disabled student, but </w:t>
      </w:r>
      <w:r w:rsidR="005E39EF">
        <w:rPr>
          <w:rFonts w:cs="Open Sans"/>
        </w:rPr>
        <w:t>no charge</w:t>
      </w:r>
      <w:r w:rsidR="00E86CA9">
        <w:rPr>
          <w:rFonts w:cs="Open Sans"/>
        </w:rPr>
        <w:t>s</w:t>
      </w:r>
      <w:r w:rsidR="005E39EF">
        <w:rPr>
          <w:rFonts w:cs="Open Sans"/>
        </w:rPr>
        <w:t xml:space="preserve"> were brought after police investigation</w:t>
      </w:r>
      <w:r w:rsidR="008E3E5B">
        <w:rPr>
          <w:rStyle w:val="FootnoteReference"/>
          <w:rFonts w:cs="Open Sans"/>
        </w:rPr>
        <w:footnoteReference w:id="26"/>
      </w:r>
      <w:r w:rsidRPr="00D06C62">
        <w:rPr>
          <w:rFonts w:cs="Open Sans"/>
        </w:rPr>
        <w:t>.</w:t>
      </w:r>
    </w:p>
    <w:p w14:paraId="012B25B7" w14:textId="5FCC5445" w:rsidR="00433946" w:rsidRPr="00D06C62" w:rsidRDefault="00433946" w:rsidP="009E0986">
      <w:pPr>
        <w:pStyle w:val="Content"/>
        <w:rPr>
          <w:rFonts w:cs="Open Sans"/>
        </w:rPr>
      </w:pPr>
      <w:r>
        <w:rPr>
          <w:rFonts w:cs="Open Sans"/>
        </w:rPr>
        <w:t>It is possible that</w:t>
      </w:r>
      <w:r w:rsidR="00E86CA9">
        <w:rPr>
          <w:rFonts w:cs="Open Sans"/>
        </w:rPr>
        <w:t xml:space="preserve"> </w:t>
      </w:r>
      <w:r>
        <w:rPr>
          <w:rFonts w:cs="Open Sans"/>
        </w:rPr>
        <w:t xml:space="preserve">perpetrators were located and charged once the initial </w:t>
      </w:r>
      <w:r w:rsidR="006C357B">
        <w:rPr>
          <w:rFonts w:cs="Open Sans"/>
        </w:rPr>
        <w:t>media</w:t>
      </w:r>
      <w:r>
        <w:rPr>
          <w:rFonts w:cs="Open Sans"/>
        </w:rPr>
        <w:t xml:space="preserve"> interest in the case diminished</w:t>
      </w:r>
      <w:r w:rsidR="000E1D5C">
        <w:rPr>
          <w:rFonts w:cs="Open Sans"/>
        </w:rPr>
        <w:t xml:space="preserve">, especially in the context of the previously discussed issues regarding information sharing and communication between policing and journalism. However, </w:t>
      </w:r>
      <w:r w:rsidR="00EE6AC9">
        <w:rPr>
          <w:rFonts w:cs="Open Sans"/>
        </w:rPr>
        <w:t xml:space="preserve">it is very unlikely that the average </w:t>
      </w:r>
      <w:r w:rsidR="000E1D5C">
        <w:rPr>
          <w:rFonts w:cs="Open Sans"/>
        </w:rPr>
        <w:t xml:space="preserve">member of the public reading about a case </w:t>
      </w:r>
      <w:r w:rsidR="00EE6AC9">
        <w:rPr>
          <w:rFonts w:cs="Open Sans"/>
        </w:rPr>
        <w:t xml:space="preserve">where news reports </w:t>
      </w:r>
      <w:r w:rsidR="006C357B">
        <w:rPr>
          <w:rFonts w:cs="Open Sans"/>
        </w:rPr>
        <w:t>show</w:t>
      </w:r>
      <w:r w:rsidR="00EE6AC9">
        <w:rPr>
          <w:rFonts w:cs="Open Sans"/>
        </w:rPr>
        <w:t xml:space="preserve"> that no-one had been charged </w:t>
      </w:r>
      <w:r w:rsidR="00B11288">
        <w:rPr>
          <w:rFonts w:cs="Open Sans"/>
        </w:rPr>
        <w:t xml:space="preserve">would then research whether there was an </w:t>
      </w:r>
      <w:r w:rsidR="00D07B9B">
        <w:rPr>
          <w:rFonts w:cs="Open Sans"/>
        </w:rPr>
        <w:t xml:space="preserve">outcome further down the line, which Inclusion London </w:t>
      </w:r>
      <w:r w:rsidR="00DC77B6">
        <w:rPr>
          <w:rFonts w:cs="Open Sans"/>
        </w:rPr>
        <w:t>made</w:t>
      </w:r>
      <w:r w:rsidR="00D07B9B">
        <w:rPr>
          <w:rFonts w:cs="Open Sans"/>
        </w:rPr>
        <w:t xml:space="preserve"> efforts to do.</w:t>
      </w:r>
      <w:r w:rsidR="00D53EA2">
        <w:rPr>
          <w:rFonts w:cs="Open Sans"/>
        </w:rPr>
        <w:t xml:space="preserve"> Therefore, the impact on the reader would be the same; the appearance of no perpetrator being located.</w:t>
      </w:r>
    </w:p>
    <w:p w14:paraId="27B1C85A" w14:textId="77777777" w:rsidR="006F3B4C" w:rsidRPr="00D06C62" w:rsidRDefault="006F3B4C" w:rsidP="006F3B4C">
      <w:pPr>
        <w:pStyle w:val="Content"/>
        <w:rPr>
          <w:rFonts w:cs="Open Sans"/>
        </w:rPr>
      </w:pPr>
    </w:p>
    <w:p w14:paraId="6A5FE428" w14:textId="22196465" w:rsidR="006F3B4C" w:rsidRPr="00D06C62" w:rsidRDefault="006F3B4C" w:rsidP="006F3B4C">
      <w:pPr>
        <w:pStyle w:val="Heading3"/>
        <w:rPr>
          <w:rFonts w:cs="Open Sans"/>
        </w:rPr>
      </w:pPr>
      <w:bookmarkStart w:id="22" w:name="_Toc120713469"/>
      <w:r w:rsidRPr="00D06C62">
        <w:rPr>
          <w:rFonts w:cs="Open Sans"/>
        </w:rPr>
        <w:t>Convicted</w:t>
      </w:r>
      <w:bookmarkEnd w:id="22"/>
    </w:p>
    <w:p w14:paraId="507DD4FC" w14:textId="77777777" w:rsidR="00A05D64" w:rsidRDefault="00682BEC" w:rsidP="006F3B4C">
      <w:pPr>
        <w:pStyle w:val="Content"/>
        <w:rPr>
          <w:rFonts w:cs="Open Sans"/>
        </w:rPr>
      </w:pPr>
      <w:r w:rsidRPr="00682BEC">
        <w:rPr>
          <w:rFonts w:cs="Open Sans"/>
        </w:rPr>
        <w:t>Of</w:t>
      </w:r>
      <w:r w:rsidR="006F3B4C" w:rsidRPr="00682BEC">
        <w:rPr>
          <w:rFonts w:cs="Open Sans"/>
        </w:rPr>
        <w:t xml:space="preserve"> the 218 cases charged, there were 202 convictions, meaning that</w:t>
      </w:r>
      <w:r w:rsidR="006F3B4C" w:rsidRPr="00D06C62">
        <w:rPr>
          <w:rFonts w:cs="Open Sans"/>
        </w:rPr>
        <w:t xml:space="preserve"> </w:t>
      </w:r>
      <w:r>
        <w:rPr>
          <w:rFonts w:cs="Open Sans"/>
        </w:rPr>
        <w:t>of</w:t>
      </w:r>
      <w:r w:rsidR="006F3B4C" w:rsidRPr="00D06C62">
        <w:rPr>
          <w:rFonts w:cs="Open Sans"/>
        </w:rPr>
        <w:t xml:space="preserve"> the cases which </w:t>
      </w:r>
      <w:r w:rsidR="00A05D64">
        <w:rPr>
          <w:rFonts w:cs="Open Sans"/>
        </w:rPr>
        <w:t>were reported in the media</w:t>
      </w:r>
      <w:r w:rsidR="006F3B4C" w:rsidRPr="00D06C62">
        <w:rPr>
          <w:rFonts w:cs="Open Sans"/>
        </w:rPr>
        <w:t>, a high proportion of them went through the CJS to conviction.</w:t>
      </w:r>
      <w:r w:rsidR="008D6380">
        <w:rPr>
          <w:rFonts w:cs="Open Sans"/>
        </w:rPr>
        <w:t xml:space="preserve"> </w:t>
      </w:r>
    </w:p>
    <w:p w14:paraId="2E83F1EE" w14:textId="1F24592D" w:rsidR="006F3B4C" w:rsidRDefault="008D6380" w:rsidP="006F3B4C">
      <w:pPr>
        <w:pStyle w:val="Content"/>
        <w:rPr>
          <w:rFonts w:cs="Open Sans"/>
        </w:rPr>
      </w:pPr>
      <w:r>
        <w:rPr>
          <w:rFonts w:cs="Open Sans"/>
        </w:rPr>
        <w:t>This is probably unsurprising</w:t>
      </w:r>
      <w:r w:rsidR="00682BEC">
        <w:rPr>
          <w:rFonts w:cs="Open Sans"/>
        </w:rPr>
        <w:t>,</w:t>
      </w:r>
      <w:r>
        <w:rPr>
          <w:rFonts w:cs="Open Sans"/>
        </w:rPr>
        <w:t xml:space="preserve"> as the cases which </w:t>
      </w:r>
      <w:r w:rsidR="00B456F0">
        <w:rPr>
          <w:rFonts w:cs="Open Sans"/>
        </w:rPr>
        <w:t>received</w:t>
      </w:r>
      <w:r>
        <w:rPr>
          <w:rFonts w:cs="Open Sans"/>
        </w:rPr>
        <w:t xml:space="preserve"> media attention </w:t>
      </w:r>
      <w:r w:rsidR="003A011B">
        <w:rPr>
          <w:rFonts w:cs="Open Sans"/>
        </w:rPr>
        <w:t xml:space="preserve">are </w:t>
      </w:r>
      <w:r>
        <w:rPr>
          <w:rFonts w:cs="Open Sans"/>
        </w:rPr>
        <w:t xml:space="preserve">those where journalists </w:t>
      </w:r>
      <w:r w:rsidR="00B456F0">
        <w:rPr>
          <w:rFonts w:cs="Open Sans"/>
        </w:rPr>
        <w:t>could</w:t>
      </w:r>
      <w:r>
        <w:rPr>
          <w:rFonts w:cs="Open Sans"/>
        </w:rPr>
        <w:t xml:space="preserve"> access information and </w:t>
      </w:r>
      <w:r w:rsidR="00B456F0">
        <w:rPr>
          <w:rFonts w:cs="Open Sans"/>
        </w:rPr>
        <w:t>refer to</w:t>
      </w:r>
      <w:r>
        <w:rPr>
          <w:rFonts w:cs="Open Sans"/>
        </w:rPr>
        <w:t xml:space="preserve"> evidence</w:t>
      </w:r>
      <w:r w:rsidR="00682BEC">
        <w:rPr>
          <w:rFonts w:cs="Open Sans"/>
        </w:rPr>
        <w:t xml:space="preserve"> </w:t>
      </w:r>
      <w:r w:rsidR="00682BEC">
        <w:rPr>
          <w:rFonts w:cs="Open Sans"/>
        </w:rPr>
        <w:lastRenderedPageBreak/>
        <w:t>—</w:t>
      </w:r>
      <w:r>
        <w:rPr>
          <w:rFonts w:cs="Open Sans"/>
        </w:rPr>
        <w:t xml:space="preserve"> </w:t>
      </w:r>
      <w:r w:rsidR="00D53EA2">
        <w:rPr>
          <w:rFonts w:cs="Open Sans"/>
        </w:rPr>
        <w:t>otherwise,</w:t>
      </w:r>
      <w:r>
        <w:rPr>
          <w:rFonts w:cs="Open Sans"/>
        </w:rPr>
        <w:t xml:space="preserve"> the news story would be very short</w:t>
      </w:r>
      <w:r w:rsidR="00682BEC">
        <w:rPr>
          <w:rFonts w:cs="Open Sans"/>
        </w:rPr>
        <w:t xml:space="preserve"> —</w:t>
      </w:r>
      <w:r w:rsidR="001548D7">
        <w:rPr>
          <w:rFonts w:cs="Open Sans"/>
        </w:rPr>
        <w:t xml:space="preserve"> and those tend to be the cases that make it to court.</w:t>
      </w:r>
    </w:p>
    <w:p w14:paraId="16E4F4FB" w14:textId="6A21FEB9" w:rsidR="006F3B4C" w:rsidRPr="00D06C62" w:rsidRDefault="006F3B4C" w:rsidP="006F3B4C">
      <w:pPr>
        <w:pStyle w:val="Content"/>
        <w:rPr>
          <w:rFonts w:cs="Open Sans"/>
        </w:rPr>
      </w:pPr>
      <w:r w:rsidRPr="00D06C62">
        <w:rPr>
          <w:rFonts w:cs="Open Sans"/>
        </w:rPr>
        <w:t xml:space="preserve">Of the remaining </w:t>
      </w:r>
      <w:r>
        <w:rPr>
          <w:rFonts w:cs="Open Sans"/>
        </w:rPr>
        <w:t>16</w:t>
      </w:r>
      <w:r w:rsidRPr="00D06C62">
        <w:rPr>
          <w:rFonts w:cs="Open Sans"/>
        </w:rPr>
        <w:t xml:space="preserve">, </w:t>
      </w:r>
      <w:r>
        <w:rPr>
          <w:rFonts w:cs="Open Sans"/>
        </w:rPr>
        <w:t>9</w:t>
      </w:r>
      <w:r w:rsidRPr="00D06C62">
        <w:rPr>
          <w:rFonts w:cs="Open Sans"/>
        </w:rPr>
        <w:t xml:space="preserve"> cases were pending as the crimes were still progressing through the CJS (</w:t>
      </w:r>
      <w:r w:rsidR="003A011B">
        <w:rPr>
          <w:rFonts w:cs="Open Sans"/>
        </w:rPr>
        <w:t>we should note</w:t>
      </w:r>
      <w:r w:rsidRPr="00D06C62">
        <w:rPr>
          <w:rFonts w:cs="Open Sans"/>
        </w:rPr>
        <w:t xml:space="preserve"> that the impact of cuts to the CJS and the impact of Covid-19 has led to significant delays). </w:t>
      </w:r>
      <w:r>
        <w:rPr>
          <w:rFonts w:cs="Open Sans"/>
        </w:rPr>
        <w:t xml:space="preserve">A further 3 cases saw the perpetrator die before conviction, 2 cases were dropped by the </w:t>
      </w:r>
      <w:r w:rsidR="00682BEC">
        <w:rPr>
          <w:rFonts w:cs="Open Sans"/>
        </w:rPr>
        <w:t>Crown Prosecution Service (</w:t>
      </w:r>
      <w:r>
        <w:rPr>
          <w:rFonts w:cs="Open Sans"/>
        </w:rPr>
        <w:t>CPS</w:t>
      </w:r>
      <w:r w:rsidR="00682BEC">
        <w:rPr>
          <w:rFonts w:cs="Open Sans"/>
        </w:rPr>
        <w:t>)</w:t>
      </w:r>
      <w:r>
        <w:rPr>
          <w:rFonts w:cs="Open Sans"/>
        </w:rPr>
        <w:t xml:space="preserve"> before trial, and 2 saw ‘Not Proven’ verdicts returned.</w:t>
      </w:r>
    </w:p>
    <w:p w14:paraId="02EFA0AA" w14:textId="77777777" w:rsidR="006F3B4C" w:rsidRPr="00D06C62" w:rsidRDefault="006F3B4C" w:rsidP="006F3B4C">
      <w:pPr>
        <w:pStyle w:val="Content"/>
        <w:rPr>
          <w:rFonts w:cs="Open Sans"/>
        </w:rPr>
      </w:pPr>
    </w:p>
    <w:p w14:paraId="3DF34D75" w14:textId="3842DB9E" w:rsidR="006F3B4C" w:rsidRDefault="006F3B4C" w:rsidP="006F3B4C">
      <w:pPr>
        <w:pStyle w:val="Heading3"/>
        <w:rPr>
          <w:rFonts w:cs="Open Sans"/>
        </w:rPr>
      </w:pPr>
      <w:bookmarkStart w:id="23" w:name="_Toc120713470"/>
      <w:r w:rsidRPr="00D06C62">
        <w:rPr>
          <w:rFonts w:cs="Open Sans"/>
        </w:rPr>
        <w:t>Legally Identified or Uplifted as Disability Hate Crimes</w:t>
      </w:r>
      <w:bookmarkEnd w:id="23"/>
    </w:p>
    <w:p w14:paraId="77F0188F" w14:textId="77777777" w:rsidR="00A05D64" w:rsidRPr="00A05D64" w:rsidRDefault="00A05D64" w:rsidP="00A05D64"/>
    <w:p w14:paraId="3078D1A9" w14:textId="0D441000" w:rsidR="006F3B4C" w:rsidRDefault="006F3B4C" w:rsidP="006F3B4C">
      <w:pPr>
        <w:pStyle w:val="Content"/>
        <w:rPr>
          <w:rFonts w:cs="Open Sans"/>
        </w:rPr>
      </w:pPr>
      <w:r w:rsidRPr="00D06C62">
        <w:rPr>
          <w:rFonts w:cs="Open Sans"/>
        </w:rPr>
        <w:t xml:space="preserve">There were only </w:t>
      </w:r>
      <w:r>
        <w:rPr>
          <w:rFonts w:cs="Open Sans"/>
        </w:rPr>
        <w:t xml:space="preserve">5 </w:t>
      </w:r>
      <w:r w:rsidRPr="00D06C62">
        <w:rPr>
          <w:rFonts w:cs="Open Sans"/>
        </w:rPr>
        <w:t xml:space="preserve">cases where the articles </w:t>
      </w:r>
      <w:r w:rsidR="00A05D64">
        <w:rPr>
          <w:rFonts w:cs="Open Sans"/>
        </w:rPr>
        <w:t>specifically identified</w:t>
      </w:r>
      <w:r w:rsidRPr="00D06C62">
        <w:rPr>
          <w:rFonts w:cs="Open Sans"/>
        </w:rPr>
        <w:t xml:space="preserve"> that there was </w:t>
      </w:r>
      <w:r w:rsidR="00682BEC">
        <w:rPr>
          <w:rFonts w:cs="Open Sans"/>
        </w:rPr>
        <w:t>a</w:t>
      </w:r>
      <w:r w:rsidR="00A05D64">
        <w:rPr>
          <w:rFonts w:cs="Open Sans"/>
        </w:rPr>
        <w:t xml:space="preserve"> disability hate crime</w:t>
      </w:r>
      <w:r w:rsidRPr="00D06C62">
        <w:rPr>
          <w:rFonts w:cs="Open Sans"/>
        </w:rPr>
        <w:t xml:space="preserve"> uplift. There were </w:t>
      </w:r>
      <w:r>
        <w:rPr>
          <w:rFonts w:cs="Open Sans"/>
        </w:rPr>
        <w:t>a further 30</w:t>
      </w:r>
      <w:r w:rsidRPr="00D06C62">
        <w:rPr>
          <w:rFonts w:cs="Open Sans"/>
        </w:rPr>
        <w:t xml:space="preserve"> cases where </w:t>
      </w:r>
      <w:r w:rsidR="00A05D64">
        <w:rPr>
          <w:rFonts w:cs="Open Sans"/>
        </w:rPr>
        <w:t xml:space="preserve">either </w:t>
      </w:r>
      <w:r w:rsidRPr="00D06C62">
        <w:rPr>
          <w:rFonts w:cs="Open Sans"/>
        </w:rPr>
        <w:t>the court case</w:t>
      </w:r>
      <w:r>
        <w:rPr>
          <w:rFonts w:cs="Open Sans"/>
        </w:rPr>
        <w:t xml:space="preserve"> or sentencing</w:t>
      </w:r>
      <w:r w:rsidRPr="00D06C62">
        <w:rPr>
          <w:rFonts w:cs="Open Sans"/>
        </w:rPr>
        <w:t xml:space="preserve"> was pending</w:t>
      </w:r>
      <w:r w:rsidR="00FA72F5">
        <w:rPr>
          <w:rFonts w:cs="Open Sans"/>
        </w:rPr>
        <w:t xml:space="preserve"> </w:t>
      </w:r>
      <w:r w:rsidR="00A05D64">
        <w:rPr>
          <w:rFonts w:cs="Open Sans"/>
        </w:rPr>
        <w:t xml:space="preserve">with reference to the victim’s disability as a reason for them being targeted in the media </w:t>
      </w:r>
      <w:r w:rsidR="00FA72F5">
        <w:rPr>
          <w:rFonts w:cs="Open Sans"/>
        </w:rPr>
        <w:t>(8)</w:t>
      </w:r>
      <w:r w:rsidRPr="00D06C62">
        <w:rPr>
          <w:rFonts w:cs="Open Sans"/>
        </w:rPr>
        <w:t xml:space="preserve">, </w:t>
      </w:r>
      <w:r>
        <w:rPr>
          <w:rFonts w:cs="Open Sans"/>
        </w:rPr>
        <w:t>or</w:t>
      </w:r>
      <w:r w:rsidRPr="00D06C62">
        <w:rPr>
          <w:rFonts w:cs="Open Sans"/>
        </w:rPr>
        <w:t xml:space="preserve"> there was wording in the article which suggested that a recognition of </w:t>
      </w:r>
      <w:r w:rsidR="00682BEC">
        <w:rPr>
          <w:rFonts w:cs="Open Sans"/>
        </w:rPr>
        <w:t>“</w:t>
      </w:r>
      <w:r w:rsidRPr="00D06C62">
        <w:rPr>
          <w:rFonts w:cs="Open Sans"/>
        </w:rPr>
        <w:t>vulnerability</w:t>
      </w:r>
      <w:r w:rsidR="00682BEC">
        <w:rPr>
          <w:rFonts w:cs="Open Sans"/>
        </w:rPr>
        <w:t>”</w:t>
      </w:r>
      <w:r w:rsidRPr="00D06C62">
        <w:rPr>
          <w:rFonts w:cs="Open Sans"/>
        </w:rPr>
        <w:t xml:space="preserve"> of the victim(s) was acknowledged within the CJS, but this wasn’t explicitly named “disability hate crime”</w:t>
      </w:r>
      <w:r w:rsidR="00FA72F5">
        <w:rPr>
          <w:rFonts w:cs="Open Sans"/>
        </w:rPr>
        <w:t xml:space="preserve"> (22)</w:t>
      </w:r>
      <w:r w:rsidRPr="00D06C62">
        <w:rPr>
          <w:rFonts w:cs="Open Sans"/>
        </w:rPr>
        <w:t>. There was no mention</w:t>
      </w:r>
      <w:r w:rsidR="00682BEC">
        <w:rPr>
          <w:rFonts w:cs="Open Sans"/>
        </w:rPr>
        <w:t xml:space="preserve"> at all</w:t>
      </w:r>
      <w:r w:rsidRPr="00D06C62">
        <w:rPr>
          <w:rFonts w:cs="Open Sans"/>
        </w:rPr>
        <w:t xml:space="preserve"> of hate crime or </w:t>
      </w:r>
      <w:r w:rsidR="00682BEC">
        <w:rPr>
          <w:rFonts w:cs="Open Sans"/>
        </w:rPr>
        <w:t>references to</w:t>
      </w:r>
      <w:r w:rsidRPr="00D06C62">
        <w:rPr>
          <w:rFonts w:cs="Open Sans"/>
        </w:rPr>
        <w:t xml:space="preserve"> vulnerability</w:t>
      </w:r>
      <w:r w:rsidR="00FA72F5">
        <w:rPr>
          <w:rFonts w:cs="Open Sans"/>
        </w:rPr>
        <w:t xml:space="preserve"> </w:t>
      </w:r>
      <w:r w:rsidR="00C71AED">
        <w:rPr>
          <w:rFonts w:cs="Open Sans"/>
        </w:rPr>
        <w:t>directly from</w:t>
      </w:r>
      <w:r w:rsidR="00FA72F5">
        <w:rPr>
          <w:rFonts w:cs="Open Sans"/>
        </w:rPr>
        <w:t xml:space="preserve"> the CJS</w:t>
      </w:r>
      <w:r w:rsidRPr="00D06C62">
        <w:rPr>
          <w:rFonts w:cs="Open Sans"/>
        </w:rPr>
        <w:t xml:space="preserve"> in the remaining cases.</w:t>
      </w:r>
    </w:p>
    <w:p w14:paraId="1D2DECF3" w14:textId="27CA93B0" w:rsidR="008D6380" w:rsidRPr="002A6950" w:rsidRDefault="006F3B4C" w:rsidP="002A6950">
      <w:pPr>
        <w:pStyle w:val="Content"/>
        <w:rPr>
          <w:rFonts w:cs="Open Sans"/>
        </w:rPr>
      </w:pPr>
      <w:r>
        <w:rPr>
          <w:rFonts w:cs="Open Sans"/>
        </w:rPr>
        <w:t xml:space="preserve">This should not be taken to mean that there were no other cases apart from the 5 listed that were uplifted under hate crime legislation, simply that there were only 5 which were specified in reporting as being legally </w:t>
      </w:r>
      <w:r>
        <w:rPr>
          <w:rFonts w:cs="Open Sans"/>
        </w:rPr>
        <w:lastRenderedPageBreak/>
        <w:t>identified as Disability hate crimes.</w:t>
      </w:r>
      <w:r w:rsidR="00817849">
        <w:rPr>
          <w:rFonts w:cs="Open Sans"/>
        </w:rPr>
        <w:t xml:space="preserve"> Given the widespread misunderstandings of hate crime and the difficult</w:t>
      </w:r>
      <w:r w:rsidR="00FC0CA3">
        <w:rPr>
          <w:rFonts w:cs="Open Sans"/>
        </w:rPr>
        <w:t>ies in defining disability hate crime, perhaps even more so than other hate crimes</w:t>
      </w:r>
      <w:r w:rsidR="00DA6101">
        <w:rPr>
          <w:rStyle w:val="FootnoteReference"/>
          <w:rFonts w:cs="Open Sans"/>
        </w:rPr>
        <w:footnoteReference w:id="27"/>
      </w:r>
      <w:r w:rsidR="00FC0CA3">
        <w:rPr>
          <w:rFonts w:cs="Open Sans"/>
        </w:rPr>
        <w:t>, it is possible that information about hate crime uplifts were missed in reporting.</w:t>
      </w:r>
    </w:p>
    <w:p w14:paraId="6CD17C85" w14:textId="7089317D" w:rsidR="00FC0CA3" w:rsidRDefault="00FC0CA3">
      <w:pPr>
        <w:rPr>
          <w:rFonts w:eastAsiaTheme="minorEastAsia" w:cs="Open Sans"/>
          <w:color w:val="000000" w:themeColor="text1"/>
          <w:lang w:val="en-US"/>
        </w:rPr>
      </w:pPr>
      <w:r>
        <w:rPr>
          <w:rFonts w:cs="Open Sans"/>
        </w:rPr>
        <w:br w:type="page"/>
      </w:r>
    </w:p>
    <w:p w14:paraId="3BA2D9DA" w14:textId="66E2D80C" w:rsidR="006F3B4C" w:rsidRPr="00D06C62" w:rsidRDefault="006F3B4C" w:rsidP="006F3B4C">
      <w:pPr>
        <w:pStyle w:val="Heading2"/>
        <w:rPr>
          <w:rFonts w:cs="Open Sans"/>
        </w:rPr>
      </w:pPr>
      <w:bookmarkStart w:id="24" w:name="_Toc120713471"/>
      <w:r w:rsidRPr="00D06C62">
        <w:rPr>
          <w:rFonts w:cs="Open Sans"/>
        </w:rPr>
        <w:lastRenderedPageBreak/>
        <w:t>Evidence of Disability Hate Crimes</w:t>
      </w:r>
      <w:bookmarkEnd w:id="24"/>
    </w:p>
    <w:p w14:paraId="4E6E8104" w14:textId="77777777" w:rsidR="00682BEC" w:rsidRDefault="00682BEC" w:rsidP="006F3B4C">
      <w:pPr>
        <w:pStyle w:val="Content"/>
        <w:rPr>
          <w:rFonts w:cs="Open Sans"/>
        </w:rPr>
      </w:pPr>
    </w:p>
    <w:p w14:paraId="7E1C16AE" w14:textId="602389E8" w:rsidR="00FC0CA3" w:rsidRDefault="00682BEC" w:rsidP="006F3B4C">
      <w:pPr>
        <w:pStyle w:val="Content"/>
        <w:rPr>
          <w:rFonts w:cs="Open Sans"/>
        </w:rPr>
      </w:pPr>
      <w:r>
        <w:rPr>
          <w:rFonts w:cs="Open Sans"/>
        </w:rPr>
        <w:t>Considering</w:t>
      </w:r>
      <w:r w:rsidR="00FC0CA3">
        <w:rPr>
          <w:rFonts w:cs="Open Sans"/>
        </w:rPr>
        <w:t xml:space="preserve"> only </w:t>
      </w:r>
      <w:r w:rsidR="003E68FF">
        <w:rPr>
          <w:rFonts w:cs="Open Sans"/>
        </w:rPr>
        <w:t xml:space="preserve">5 reports specifically mentioned disability hate crime, and a further </w:t>
      </w:r>
      <w:r w:rsidR="00F3271D">
        <w:rPr>
          <w:rFonts w:cs="Open Sans"/>
        </w:rPr>
        <w:t>22 may have had uplifts based on information and quotes from the CJS, how many cases</w:t>
      </w:r>
      <w:r w:rsidR="00E94BA8">
        <w:rPr>
          <w:rFonts w:cs="Open Sans"/>
        </w:rPr>
        <w:t>, in</w:t>
      </w:r>
      <w:r w:rsidR="00920BD8">
        <w:rPr>
          <w:rFonts w:cs="Open Sans"/>
        </w:rPr>
        <w:t xml:space="preserve"> </w:t>
      </w:r>
      <w:r w:rsidR="00F3271D">
        <w:rPr>
          <w:rFonts w:cs="Open Sans"/>
        </w:rPr>
        <w:t>Inclusion London</w:t>
      </w:r>
      <w:r w:rsidR="00E94BA8">
        <w:rPr>
          <w:rFonts w:cs="Open Sans"/>
        </w:rPr>
        <w:t>’s opinion, have</w:t>
      </w:r>
      <w:r w:rsidR="00F3271D">
        <w:rPr>
          <w:rFonts w:cs="Open Sans"/>
        </w:rPr>
        <w:t xml:space="preserve"> </w:t>
      </w:r>
      <w:r>
        <w:rPr>
          <w:rFonts w:cs="Open Sans"/>
        </w:rPr>
        <w:t xml:space="preserve">potential </w:t>
      </w:r>
      <w:r w:rsidR="009E2F5E">
        <w:rPr>
          <w:rFonts w:cs="Open Sans"/>
        </w:rPr>
        <w:t>evidence of</w:t>
      </w:r>
      <w:r>
        <w:rPr>
          <w:rFonts w:cs="Open Sans"/>
        </w:rPr>
        <w:t xml:space="preserve"> being</w:t>
      </w:r>
      <w:r w:rsidR="009E2F5E">
        <w:rPr>
          <w:rFonts w:cs="Open Sans"/>
        </w:rPr>
        <w:t xml:space="preserve"> disability hate crimes?</w:t>
      </w:r>
    </w:p>
    <w:p w14:paraId="4EC6ACE1" w14:textId="5A1E404E" w:rsidR="00E42887" w:rsidRDefault="006F3B4C" w:rsidP="00E42887">
      <w:pPr>
        <w:pStyle w:val="Content"/>
        <w:rPr>
          <w:rFonts w:cs="Open Sans"/>
        </w:rPr>
      </w:pPr>
      <w:r w:rsidRPr="00D06C62">
        <w:rPr>
          <w:rFonts w:cs="Open Sans"/>
        </w:rPr>
        <w:t xml:space="preserve">In </w:t>
      </w:r>
      <w:r>
        <w:rPr>
          <w:rFonts w:cs="Open Sans"/>
        </w:rPr>
        <w:t>63</w:t>
      </w:r>
      <w:r w:rsidR="00EA05C9">
        <w:rPr>
          <w:rFonts w:cs="Open Sans"/>
        </w:rPr>
        <w:t xml:space="preserve"> (</w:t>
      </w:r>
      <w:r w:rsidR="00DD45CA">
        <w:rPr>
          <w:rFonts w:cs="Open Sans"/>
        </w:rPr>
        <w:t>21%)</w:t>
      </w:r>
      <w:r>
        <w:rPr>
          <w:rFonts w:cs="Open Sans"/>
        </w:rPr>
        <w:t xml:space="preserve"> of the 300</w:t>
      </w:r>
      <w:r w:rsidRPr="00D06C62">
        <w:rPr>
          <w:rFonts w:cs="Open Sans"/>
        </w:rPr>
        <w:t xml:space="preserve"> cases, </w:t>
      </w:r>
      <w:r w:rsidR="005C5B8A">
        <w:rPr>
          <w:rFonts w:cs="Open Sans"/>
        </w:rPr>
        <w:t xml:space="preserve">Inclusion London found </w:t>
      </w:r>
      <w:r w:rsidRPr="00D06C62">
        <w:rPr>
          <w:rFonts w:cs="Open Sans"/>
        </w:rPr>
        <w:t xml:space="preserve">sufficient </w:t>
      </w:r>
      <w:r w:rsidR="005C5B8A">
        <w:rPr>
          <w:rFonts w:cs="Open Sans"/>
        </w:rPr>
        <w:t>details</w:t>
      </w:r>
      <w:r w:rsidRPr="00D06C62">
        <w:rPr>
          <w:rFonts w:cs="Open Sans"/>
        </w:rPr>
        <w:t xml:space="preserve"> reported in one or more articles to</w:t>
      </w:r>
      <w:r w:rsidR="005C5B8A">
        <w:rPr>
          <w:rFonts w:cs="Open Sans"/>
        </w:rPr>
        <w:t xml:space="preserve"> feel confident</w:t>
      </w:r>
      <w:r w:rsidRPr="00D06C62">
        <w:rPr>
          <w:rFonts w:cs="Open Sans"/>
        </w:rPr>
        <w:t xml:space="preserve"> identify</w:t>
      </w:r>
      <w:r w:rsidR="005C5B8A">
        <w:rPr>
          <w:rFonts w:cs="Open Sans"/>
        </w:rPr>
        <w:t>ing</w:t>
      </w:r>
      <w:r w:rsidRPr="00D06C62">
        <w:rPr>
          <w:rFonts w:cs="Open Sans"/>
        </w:rPr>
        <w:t xml:space="preserve"> it as a strong case for being a disability hate crime. </w:t>
      </w:r>
      <w:r w:rsidR="00852AEF">
        <w:rPr>
          <w:rFonts w:cs="Open Sans"/>
        </w:rPr>
        <w:t>We made this decision</w:t>
      </w:r>
      <w:r w:rsidRPr="00D06C62">
        <w:rPr>
          <w:rFonts w:cs="Open Sans"/>
        </w:rPr>
        <w:t xml:space="preserve"> based on quotes in the articles where </w:t>
      </w:r>
      <w:r w:rsidR="00852AEF">
        <w:rPr>
          <w:rFonts w:cs="Open Sans"/>
        </w:rPr>
        <w:t>disablist</w:t>
      </w:r>
      <w:r w:rsidRPr="00D06C62">
        <w:rPr>
          <w:rFonts w:cs="Open Sans"/>
        </w:rPr>
        <w:t xml:space="preserve"> language and intent </w:t>
      </w:r>
      <w:r w:rsidR="005C5B8A">
        <w:rPr>
          <w:rFonts w:cs="Open Sans"/>
        </w:rPr>
        <w:t xml:space="preserve">from the perpetrator </w:t>
      </w:r>
      <w:r w:rsidRPr="00D06C62">
        <w:rPr>
          <w:rFonts w:cs="Open Sans"/>
        </w:rPr>
        <w:t xml:space="preserve">was present, </w:t>
      </w:r>
      <w:r w:rsidR="005C5B8A">
        <w:rPr>
          <w:rFonts w:cs="Open Sans"/>
        </w:rPr>
        <w:t xml:space="preserve">or </w:t>
      </w:r>
      <w:r w:rsidRPr="00D06C62">
        <w:rPr>
          <w:rFonts w:cs="Open Sans"/>
        </w:rPr>
        <w:t>the victim</w:t>
      </w:r>
      <w:r w:rsidR="005C5B8A">
        <w:rPr>
          <w:rFonts w:cs="Open Sans"/>
        </w:rPr>
        <w:t xml:space="preserve"> or a third-party</w:t>
      </w:r>
      <w:r w:rsidRPr="00D06C62">
        <w:rPr>
          <w:rFonts w:cs="Open Sans"/>
        </w:rPr>
        <w:t xml:space="preserve"> was quoted as stating they felt the</w:t>
      </w:r>
      <w:r w:rsidR="005C5B8A">
        <w:rPr>
          <w:rFonts w:cs="Open Sans"/>
        </w:rPr>
        <w:t xml:space="preserve"> victim</w:t>
      </w:r>
      <w:r w:rsidRPr="00D06C62">
        <w:rPr>
          <w:rFonts w:cs="Open Sans"/>
        </w:rPr>
        <w:t xml:space="preserve"> w</w:t>
      </w:r>
      <w:r w:rsidR="005C5B8A">
        <w:rPr>
          <w:rFonts w:cs="Open Sans"/>
        </w:rPr>
        <w:t>as</w:t>
      </w:r>
      <w:r w:rsidRPr="00D06C62">
        <w:rPr>
          <w:rFonts w:cs="Open Sans"/>
        </w:rPr>
        <w:t xml:space="preserve"> targeted </w:t>
      </w:r>
      <w:r w:rsidR="00852AEF">
        <w:rPr>
          <w:rFonts w:cs="Open Sans"/>
        </w:rPr>
        <w:t xml:space="preserve">specifically </w:t>
      </w:r>
      <w:r w:rsidRPr="00D06C62">
        <w:rPr>
          <w:rFonts w:cs="Open Sans"/>
        </w:rPr>
        <w:t>for their disability</w:t>
      </w:r>
      <w:r w:rsidR="005C5B8A">
        <w:rPr>
          <w:rFonts w:cs="Open Sans"/>
        </w:rPr>
        <w:t>.</w:t>
      </w:r>
      <w:r w:rsidR="00E42887">
        <w:rPr>
          <w:rFonts w:cs="Open Sans"/>
        </w:rPr>
        <w:t xml:space="preserve"> </w:t>
      </w:r>
    </w:p>
    <w:p w14:paraId="1FE0410C" w14:textId="6477279E" w:rsidR="00E42887" w:rsidRDefault="00E42887" w:rsidP="00E42887">
      <w:pPr>
        <w:pStyle w:val="Content"/>
        <w:rPr>
          <w:rFonts w:cs="Open Sans"/>
        </w:rPr>
      </w:pPr>
      <w:r>
        <w:rPr>
          <w:rFonts w:cs="Open Sans"/>
        </w:rPr>
        <w:t xml:space="preserve">For example, the sentencing remarks in the trial of Daniel Boulton for the murder of 9-year-old Darren Henson and his mother, Bethany Vincent acknowledged </w:t>
      </w:r>
      <w:r w:rsidR="001617F2">
        <w:rPr>
          <w:rFonts w:cs="Open Sans"/>
        </w:rPr>
        <w:t>that there was evidence for Boulton’s hostility towards Darren Henson’s disability and took this into consideration during sentencing</w:t>
      </w:r>
      <w:r w:rsidR="003F508D">
        <w:rPr>
          <w:rStyle w:val="FootnoteReference"/>
          <w:rFonts w:cs="Open Sans"/>
        </w:rPr>
        <w:footnoteReference w:id="28"/>
      </w:r>
      <w:r w:rsidR="001617F2">
        <w:rPr>
          <w:rFonts w:cs="Open Sans"/>
        </w:rPr>
        <w:t>. There was, however, no mention of a disability hate crime uplift specifically.</w:t>
      </w:r>
    </w:p>
    <w:p w14:paraId="2E10F7D8" w14:textId="792C19E9" w:rsidR="006F3B4C" w:rsidRPr="00D06C62" w:rsidRDefault="006F3B4C" w:rsidP="006F3B4C">
      <w:pPr>
        <w:pStyle w:val="Content"/>
        <w:rPr>
          <w:rFonts w:cs="Open Sans"/>
        </w:rPr>
      </w:pPr>
    </w:p>
    <w:p w14:paraId="249026E2" w14:textId="7ED41D2D" w:rsidR="00EE112F" w:rsidRDefault="006F3B4C" w:rsidP="00A722F1">
      <w:pPr>
        <w:pStyle w:val="Content"/>
        <w:rPr>
          <w:rFonts w:cs="Open Sans"/>
        </w:rPr>
      </w:pPr>
      <w:r w:rsidRPr="00D06C62">
        <w:rPr>
          <w:rFonts w:cs="Open Sans"/>
        </w:rPr>
        <w:t xml:space="preserve">There were a further </w:t>
      </w:r>
      <w:r>
        <w:rPr>
          <w:rFonts w:cs="Open Sans"/>
        </w:rPr>
        <w:t>111</w:t>
      </w:r>
      <w:r w:rsidR="00D70456">
        <w:rPr>
          <w:rFonts w:cs="Open Sans"/>
        </w:rPr>
        <w:t xml:space="preserve"> (37%)</w:t>
      </w:r>
      <w:r w:rsidRPr="00D06C62">
        <w:rPr>
          <w:rFonts w:cs="Open Sans"/>
        </w:rPr>
        <w:t xml:space="preserve"> cases where </w:t>
      </w:r>
      <w:r w:rsidR="00A722F1">
        <w:rPr>
          <w:rFonts w:cs="Open Sans"/>
        </w:rPr>
        <w:t>t</w:t>
      </w:r>
      <w:r w:rsidRPr="00D06C62">
        <w:rPr>
          <w:rFonts w:cs="Open Sans"/>
        </w:rPr>
        <w:t>here w</w:t>
      </w:r>
      <w:r w:rsidR="00682BEC">
        <w:rPr>
          <w:rFonts w:cs="Open Sans"/>
        </w:rPr>
        <w:t xml:space="preserve">ere indications </w:t>
      </w:r>
      <w:r w:rsidR="0095372C">
        <w:rPr>
          <w:rFonts w:cs="Open Sans"/>
        </w:rPr>
        <w:t>that a crime could have been</w:t>
      </w:r>
      <w:r w:rsidRPr="00D06C62">
        <w:rPr>
          <w:rFonts w:cs="Open Sans"/>
        </w:rPr>
        <w:t xml:space="preserve"> disability hate crime</w:t>
      </w:r>
      <w:r w:rsidR="0095372C">
        <w:rPr>
          <w:rFonts w:cs="Open Sans"/>
        </w:rPr>
        <w:t xml:space="preserve">, particularly if changes to </w:t>
      </w:r>
      <w:r w:rsidR="0095372C">
        <w:rPr>
          <w:rFonts w:cs="Open Sans"/>
        </w:rPr>
        <w:lastRenderedPageBreak/>
        <w:t>disability hate crime law as suggested by other researchers and legal proponents were accepted into law</w:t>
      </w:r>
      <w:r w:rsidR="0095372C">
        <w:rPr>
          <w:rStyle w:val="FootnoteReference"/>
          <w:rFonts w:cs="Open Sans"/>
        </w:rPr>
        <w:footnoteReference w:id="29"/>
      </w:r>
      <w:r w:rsidR="0095372C">
        <w:rPr>
          <w:rFonts w:cs="Open Sans"/>
        </w:rPr>
        <w:t xml:space="preserve">. </w:t>
      </w:r>
    </w:p>
    <w:p w14:paraId="7618F7E5" w14:textId="77777777" w:rsidR="00A05D64" w:rsidRDefault="006F3B4C" w:rsidP="00EE112F">
      <w:pPr>
        <w:pStyle w:val="Content"/>
        <w:rPr>
          <w:rFonts w:cs="Open Sans"/>
        </w:rPr>
      </w:pPr>
      <w:r w:rsidRPr="00EE112F">
        <w:rPr>
          <w:rFonts w:cs="Open Sans"/>
        </w:rPr>
        <w:t>Th</w:t>
      </w:r>
      <w:r w:rsidR="00525CDE" w:rsidRPr="00EE112F">
        <w:rPr>
          <w:rFonts w:cs="Open Sans"/>
        </w:rPr>
        <w:t>ese numbers</w:t>
      </w:r>
      <w:r w:rsidRPr="00EE112F">
        <w:rPr>
          <w:rFonts w:cs="Open Sans"/>
        </w:rPr>
        <w:t xml:space="preserve"> included crimes </w:t>
      </w:r>
      <w:r w:rsidR="00525CDE" w:rsidRPr="00EE112F">
        <w:rPr>
          <w:rFonts w:cs="Open Sans"/>
        </w:rPr>
        <w:t>such as</w:t>
      </w:r>
      <w:r w:rsidR="00A05D64">
        <w:rPr>
          <w:rFonts w:cs="Open Sans"/>
        </w:rPr>
        <w:t>:</w:t>
      </w:r>
    </w:p>
    <w:p w14:paraId="307FE3AB" w14:textId="657A6336" w:rsidR="00A05D64" w:rsidRDefault="00A05D64" w:rsidP="00A05D64">
      <w:pPr>
        <w:pStyle w:val="Content"/>
        <w:numPr>
          <w:ilvl w:val="0"/>
          <w:numId w:val="14"/>
        </w:numPr>
        <w:rPr>
          <w:rFonts w:cs="Open Sans"/>
        </w:rPr>
      </w:pPr>
      <w:r>
        <w:rPr>
          <w:rFonts w:cs="Open Sans"/>
        </w:rPr>
        <w:t>T</w:t>
      </w:r>
      <w:r w:rsidR="00525CDE" w:rsidRPr="00EE112F">
        <w:rPr>
          <w:rFonts w:cs="Open Sans"/>
        </w:rPr>
        <w:t xml:space="preserve">hose involving </w:t>
      </w:r>
      <w:r w:rsidR="006F3B4C" w:rsidRPr="00EE112F">
        <w:rPr>
          <w:rFonts w:cs="Open Sans"/>
        </w:rPr>
        <w:t xml:space="preserve">‘cuckooing’, </w:t>
      </w:r>
      <w:r w:rsidR="00525CDE" w:rsidRPr="00EE112F">
        <w:rPr>
          <w:rFonts w:cs="Open Sans"/>
        </w:rPr>
        <w:t>where</w:t>
      </w:r>
      <w:r w:rsidR="006F3B4C" w:rsidRPr="00EE112F">
        <w:rPr>
          <w:rFonts w:cs="Open Sans"/>
        </w:rPr>
        <w:t xml:space="preserve"> </w:t>
      </w:r>
      <w:r w:rsidR="00525CDE" w:rsidRPr="00EE112F">
        <w:rPr>
          <w:rFonts w:cs="Open Sans"/>
        </w:rPr>
        <w:t xml:space="preserve">Disabled </w:t>
      </w:r>
      <w:r w:rsidR="006F3B4C" w:rsidRPr="00EE112F">
        <w:rPr>
          <w:rFonts w:cs="Open Sans"/>
        </w:rPr>
        <w:t xml:space="preserve">victims </w:t>
      </w:r>
      <w:r w:rsidR="00525CDE" w:rsidRPr="00EE112F">
        <w:rPr>
          <w:rFonts w:cs="Open Sans"/>
        </w:rPr>
        <w:t xml:space="preserve">are </w:t>
      </w:r>
      <w:r w:rsidR="006F3B4C" w:rsidRPr="00EE112F">
        <w:rPr>
          <w:rFonts w:cs="Open Sans"/>
        </w:rPr>
        <w:t xml:space="preserve">almost always selected </w:t>
      </w:r>
      <w:r w:rsidR="0014299B">
        <w:rPr>
          <w:rFonts w:cs="Open Sans"/>
        </w:rPr>
        <w:t>because of the</w:t>
      </w:r>
      <w:r w:rsidR="006F3B4C" w:rsidRPr="00EE112F">
        <w:rPr>
          <w:rFonts w:cs="Open Sans"/>
        </w:rPr>
        <w:t xml:space="preserve"> societal and </w:t>
      </w:r>
      <w:r w:rsidR="00525CDE" w:rsidRPr="00EE112F">
        <w:rPr>
          <w:rFonts w:cs="Open Sans"/>
        </w:rPr>
        <w:t>situational</w:t>
      </w:r>
      <w:r w:rsidR="006F3B4C" w:rsidRPr="00EE112F">
        <w:rPr>
          <w:rFonts w:cs="Open Sans"/>
        </w:rPr>
        <w:t xml:space="preserve"> vulnerabilities created </w:t>
      </w:r>
      <w:r w:rsidR="00682BEC">
        <w:rPr>
          <w:rFonts w:cs="Open Sans"/>
        </w:rPr>
        <w:t>that disadvantage Disabled people</w:t>
      </w:r>
      <w:r>
        <w:rPr>
          <w:rFonts w:cs="Open Sans"/>
        </w:rPr>
        <w:t>.</w:t>
      </w:r>
    </w:p>
    <w:p w14:paraId="27B19B58" w14:textId="3AE3CDF4" w:rsidR="006F3B4C" w:rsidRDefault="00A05D64" w:rsidP="00A05D64">
      <w:pPr>
        <w:pStyle w:val="Content"/>
        <w:numPr>
          <w:ilvl w:val="0"/>
          <w:numId w:val="14"/>
        </w:numPr>
        <w:rPr>
          <w:rFonts w:cs="Open Sans"/>
        </w:rPr>
      </w:pPr>
      <w:r>
        <w:rPr>
          <w:rFonts w:cs="Open Sans"/>
        </w:rPr>
        <w:t xml:space="preserve">Those </w:t>
      </w:r>
      <w:r w:rsidR="009B4C5A" w:rsidRPr="00EE112F">
        <w:rPr>
          <w:rFonts w:cs="Open Sans"/>
        </w:rPr>
        <w:t>where victims were murdered by family members who perceived their disability or impairments to be a burden or fundamentally negative.</w:t>
      </w:r>
      <w:r w:rsidR="00A722F1">
        <w:rPr>
          <w:rFonts w:cs="Open Sans"/>
        </w:rPr>
        <w:t xml:space="preserve"> </w:t>
      </w:r>
    </w:p>
    <w:p w14:paraId="3F7C803E" w14:textId="77777777" w:rsidR="00A722F1" w:rsidRPr="00EE112F" w:rsidRDefault="00A722F1" w:rsidP="00EE112F">
      <w:pPr>
        <w:pStyle w:val="Content"/>
        <w:rPr>
          <w:rFonts w:cs="Open Sans"/>
        </w:rPr>
      </w:pPr>
    </w:p>
    <w:p w14:paraId="63A14613" w14:textId="793268BA" w:rsidR="006F3B4C" w:rsidRPr="00D06C62" w:rsidRDefault="006F3B4C" w:rsidP="006F3B4C">
      <w:pPr>
        <w:pStyle w:val="Content"/>
        <w:rPr>
          <w:rFonts w:cs="Open Sans"/>
        </w:rPr>
      </w:pPr>
      <w:r w:rsidRPr="00D06C62">
        <w:rPr>
          <w:rFonts w:cs="Open Sans"/>
        </w:rPr>
        <w:t xml:space="preserve">There were </w:t>
      </w:r>
      <w:r>
        <w:rPr>
          <w:rFonts w:cs="Open Sans"/>
        </w:rPr>
        <w:t>91</w:t>
      </w:r>
      <w:r w:rsidR="009B4C5A">
        <w:rPr>
          <w:rFonts w:cs="Open Sans"/>
        </w:rPr>
        <w:t xml:space="preserve"> (</w:t>
      </w:r>
      <w:r w:rsidR="004906AC">
        <w:rPr>
          <w:rFonts w:cs="Open Sans"/>
        </w:rPr>
        <w:t>30.3%)</w:t>
      </w:r>
      <w:r w:rsidRPr="00D06C62">
        <w:rPr>
          <w:rFonts w:cs="Open Sans"/>
        </w:rPr>
        <w:t xml:space="preserve"> cases where there</w:t>
      </w:r>
      <w:r w:rsidR="00525CDE">
        <w:rPr>
          <w:rFonts w:cs="Open Sans"/>
        </w:rPr>
        <w:t xml:space="preserve"> </w:t>
      </w:r>
      <w:r w:rsidR="00A05D64" w:rsidRPr="00D06C62">
        <w:rPr>
          <w:rFonts w:cs="Open Sans"/>
        </w:rPr>
        <w:t xml:space="preserve">was </w:t>
      </w:r>
      <w:r w:rsidR="00A05D64">
        <w:rPr>
          <w:rFonts w:cs="Open Sans"/>
        </w:rPr>
        <w:t>no</w:t>
      </w:r>
      <w:r w:rsidRPr="00D06C62">
        <w:rPr>
          <w:rFonts w:cs="Open Sans"/>
        </w:rPr>
        <w:t xml:space="preserve"> </w:t>
      </w:r>
      <w:r w:rsidR="00903F8E">
        <w:rPr>
          <w:rFonts w:cs="Open Sans"/>
        </w:rPr>
        <w:t>evidence either way to suggest or disprove disability hate crime</w:t>
      </w:r>
      <w:r w:rsidRPr="00D06C62">
        <w:rPr>
          <w:rFonts w:cs="Open Sans"/>
        </w:rPr>
        <w:t xml:space="preserve">, and </w:t>
      </w:r>
      <w:r>
        <w:rPr>
          <w:rFonts w:cs="Open Sans"/>
        </w:rPr>
        <w:t>35</w:t>
      </w:r>
      <w:r w:rsidR="004906AC">
        <w:rPr>
          <w:rFonts w:cs="Open Sans"/>
        </w:rPr>
        <w:t xml:space="preserve"> (11.7%)</w:t>
      </w:r>
      <w:r w:rsidRPr="00D06C62">
        <w:rPr>
          <w:rFonts w:cs="Open Sans"/>
        </w:rPr>
        <w:t xml:space="preserve"> where there were conclusive reasons given for the crime that had nothing to do with disability. For example, in one case an autistic man</w:t>
      </w:r>
      <w:r w:rsidR="00971C87">
        <w:rPr>
          <w:rFonts w:cs="Open Sans"/>
        </w:rPr>
        <w:t>, Chad Gordon,</w:t>
      </w:r>
      <w:r w:rsidRPr="00D06C62">
        <w:rPr>
          <w:rFonts w:cs="Open Sans"/>
        </w:rPr>
        <w:t xml:space="preserve"> was murdered in a gang dispute after two men attempting retribution for a</w:t>
      </w:r>
      <w:r w:rsidR="00971C87">
        <w:rPr>
          <w:rFonts w:cs="Open Sans"/>
        </w:rPr>
        <w:t>ction taken</w:t>
      </w:r>
      <w:r w:rsidRPr="00D06C62">
        <w:rPr>
          <w:rFonts w:cs="Open Sans"/>
        </w:rPr>
        <w:t xml:space="preserve"> against their gang</w:t>
      </w:r>
      <w:r w:rsidR="00526A11">
        <w:rPr>
          <w:rFonts w:cs="Open Sans"/>
        </w:rPr>
        <w:t xml:space="preserve">, </w:t>
      </w:r>
      <w:r w:rsidRPr="00D06C62">
        <w:rPr>
          <w:rFonts w:cs="Open Sans"/>
        </w:rPr>
        <w:t>knocked on the wrong door and murdered him</w:t>
      </w:r>
      <w:r w:rsidR="0016182C">
        <w:rPr>
          <w:rStyle w:val="FootnoteReference"/>
          <w:rFonts w:cs="Open Sans"/>
        </w:rPr>
        <w:footnoteReference w:id="30"/>
      </w:r>
      <w:r w:rsidR="00526A11">
        <w:rPr>
          <w:rFonts w:cs="Open Sans"/>
        </w:rPr>
        <w:t>.</w:t>
      </w:r>
      <w:r w:rsidRPr="00D06C62">
        <w:rPr>
          <w:rFonts w:cs="Open Sans"/>
        </w:rPr>
        <w:t xml:space="preserve"> </w:t>
      </w:r>
      <w:r w:rsidR="00526A11">
        <w:rPr>
          <w:rFonts w:cs="Open Sans"/>
        </w:rPr>
        <w:t xml:space="preserve">While </w:t>
      </w:r>
      <w:r w:rsidR="00971C87">
        <w:rPr>
          <w:rFonts w:cs="Open Sans"/>
        </w:rPr>
        <w:t xml:space="preserve">no less </w:t>
      </w:r>
      <w:r w:rsidR="00526A11">
        <w:rPr>
          <w:rFonts w:cs="Open Sans"/>
        </w:rPr>
        <w:t>tragic, t</w:t>
      </w:r>
      <w:r w:rsidRPr="00D06C62">
        <w:rPr>
          <w:rFonts w:cs="Open Sans"/>
        </w:rPr>
        <w:t xml:space="preserve">his murder was a case of mistaken identity and </w:t>
      </w:r>
      <w:r w:rsidR="00526A11">
        <w:rPr>
          <w:rFonts w:cs="Open Sans"/>
        </w:rPr>
        <w:t xml:space="preserve">there was no </w:t>
      </w:r>
      <w:r w:rsidR="00A05D64">
        <w:rPr>
          <w:rFonts w:cs="Open Sans"/>
        </w:rPr>
        <w:t>suggestion</w:t>
      </w:r>
      <w:r w:rsidR="00526A11">
        <w:rPr>
          <w:rFonts w:cs="Open Sans"/>
        </w:rPr>
        <w:t xml:space="preserve"> that </w:t>
      </w:r>
      <w:r w:rsidR="00A05D64">
        <w:rPr>
          <w:rFonts w:cs="Open Sans"/>
        </w:rPr>
        <w:t>hostility</w:t>
      </w:r>
      <w:r w:rsidRPr="00D06C62">
        <w:rPr>
          <w:rFonts w:cs="Open Sans"/>
        </w:rPr>
        <w:t xml:space="preserve"> for Disabled people</w:t>
      </w:r>
      <w:r w:rsidR="00A05D64">
        <w:rPr>
          <w:rFonts w:cs="Open Sans"/>
        </w:rPr>
        <w:t xml:space="preserve"> was the motive</w:t>
      </w:r>
      <w:r w:rsidRPr="00D06C62">
        <w:rPr>
          <w:rFonts w:cs="Open Sans"/>
        </w:rPr>
        <w:t>.</w:t>
      </w:r>
    </w:p>
    <w:p w14:paraId="0A321328" w14:textId="77777777" w:rsidR="00A05D64" w:rsidRDefault="00A24316" w:rsidP="006F3B4C">
      <w:pPr>
        <w:pStyle w:val="Content"/>
        <w:rPr>
          <w:rFonts w:cs="Open Sans"/>
        </w:rPr>
      </w:pPr>
      <w:r>
        <w:rPr>
          <w:rFonts w:cs="Open Sans"/>
        </w:rPr>
        <w:lastRenderedPageBreak/>
        <w:t xml:space="preserve">Even if we only consider the 63 cases which had </w:t>
      </w:r>
      <w:r w:rsidR="00682BEC">
        <w:rPr>
          <w:rFonts w:cs="Open Sans"/>
        </w:rPr>
        <w:t xml:space="preserve">the most </w:t>
      </w:r>
      <w:r w:rsidR="00A05D64">
        <w:rPr>
          <w:rFonts w:cs="Open Sans"/>
        </w:rPr>
        <w:t>evidence</w:t>
      </w:r>
      <w:r w:rsidR="00682BEC">
        <w:rPr>
          <w:rFonts w:cs="Open Sans"/>
        </w:rPr>
        <w:t xml:space="preserve"> of being motivated by disablism</w:t>
      </w:r>
      <w:r w:rsidR="00596D27">
        <w:rPr>
          <w:rFonts w:cs="Open Sans"/>
        </w:rPr>
        <w:t>, this is a significant proportion of cases</w:t>
      </w:r>
      <w:r w:rsidR="00A05D64">
        <w:rPr>
          <w:rFonts w:cs="Open Sans"/>
        </w:rPr>
        <w:t xml:space="preserve"> and considerably more than 5</w:t>
      </w:r>
      <w:r w:rsidR="00596D27">
        <w:rPr>
          <w:rFonts w:cs="Open Sans"/>
        </w:rPr>
        <w:t xml:space="preserve">. </w:t>
      </w:r>
    </w:p>
    <w:p w14:paraId="3D0A2F34" w14:textId="4AB211DF" w:rsidR="006F3B4C" w:rsidRDefault="008A0FEC" w:rsidP="006F3B4C">
      <w:pPr>
        <w:pStyle w:val="Content"/>
        <w:rPr>
          <w:rFonts w:cs="Open Sans"/>
        </w:rPr>
      </w:pPr>
      <w:r>
        <w:rPr>
          <w:rFonts w:cs="Open Sans"/>
        </w:rPr>
        <w:t xml:space="preserve">While there is a possibility that all 63 of these cases </w:t>
      </w:r>
      <w:r w:rsidR="003B3ED3">
        <w:rPr>
          <w:rFonts w:cs="Open Sans"/>
        </w:rPr>
        <w:t xml:space="preserve">did receive a hate crime uplift that just wasn’t reported, </w:t>
      </w:r>
      <w:r w:rsidR="0016182C">
        <w:rPr>
          <w:rFonts w:cs="Open Sans"/>
        </w:rPr>
        <w:t xml:space="preserve">it </w:t>
      </w:r>
      <w:r w:rsidR="003B3ED3">
        <w:rPr>
          <w:rFonts w:cs="Open Sans"/>
        </w:rPr>
        <w:t xml:space="preserve">is unlikely. </w:t>
      </w:r>
      <w:r w:rsidR="00B316F6">
        <w:rPr>
          <w:rFonts w:cs="Open Sans"/>
        </w:rPr>
        <w:t>We know there are significant difficulties in successfully prosecuting a disability hate crime uplift</w:t>
      </w:r>
      <w:r w:rsidR="00110487">
        <w:rPr>
          <w:rStyle w:val="FootnoteReference"/>
          <w:rFonts w:cs="Open Sans"/>
        </w:rPr>
        <w:footnoteReference w:id="31"/>
      </w:r>
      <w:r w:rsidR="00B316F6">
        <w:rPr>
          <w:rFonts w:cs="Open Sans"/>
        </w:rPr>
        <w:t xml:space="preserve">, so it </w:t>
      </w:r>
      <w:r w:rsidR="00A05D64">
        <w:rPr>
          <w:rFonts w:cs="Open Sans"/>
        </w:rPr>
        <w:t>is not</w:t>
      </w:r>
      <w:r w:rsidR="00B316F6">
        <w:rPr>
          <w:rFonts w:cs="Open Sans"/>
        </w:rPr>
        <w:t xml:space="preserve"> an unreasonable assumption to make tha</w:t>
      </w:r>
      <w:r w:rsidR="00507DF1">
        <w:rPr>
          <w:rFonts w:cs="Open Sans"/>
        </w:rPr>
        <w:t>t at least some of these cases were not identified as disability hate crimes.</w:t>
      </w:r>
    </w:p>
    <w:p w14:paraId="4BC981C5" w14:textId="77777777" w:rsidR="00B316F6" w:rsidRPr="00D06C62" w:rsidRDefault="00B316F6" w:rsidP="006F3B4C">
      <w:pPr>
        <w:pStyle w:val="Content"/>
        <w:rPr>
          <w:rFonts w:cs="Open Sans"/>
        </w:rPr>
      </w:pPr>
    </w:p>
    <w:p w14:paraId="03CC5CF5" w14:textId="51BFB0A8" w:rsidR="006F3B4C" w:rsidRDefault="00526A11" w:rsidP="00B316F6">
      <w:pPr>
        <w:pStyle w:val="Heading3"/>
      </w:pPr>
      <w:bookmarkStart w:id="25" w:name="_Toc120713472"/>
      <w:r>
        <w:t>Why is identifying</w:t>
      </w:r>
      <w:r w:rsidR="003E3399">
        <w:t xml:space="preserve"> and successfully prosecuting</w:t>
      </w:r>
      <w:r>
        <w:t xml:space="preserve"> a disability hate crime so difficult?</w:t>
      </w:r>
      <w:bookmarkEnd w:id="25"/>
    </w:p>
    <w:p w14:paraId="41E90BDA" w14:textId="77777777" w:rsidR="00110487" w:rsidRPr="00110487" w:rsidRDefault="00110487" w:rsidP="00110487"/>
    <w:p w14:paraId="5216C672" w14:textId="6C53C14C" w:rsidR="006F3B4C" w:rsidRDefault="00110487" w:rsidP="006F3B4C">
      <w:pPr>
        <w:pStyle w:val="Content"/>
        <w:rPr>
          <w:rFonts w:cs="Open Sans"/>
        </w:rPr>
      </w:pPr>
      <w:r>
        <w:rPr>
          <w:rFonts w:cs="Open Sans"/>
        </w:rPr>
        <w:t>Beyond</w:t>
      </w:r>
      <w:r w:rsidR="00FB09C7">
        <w:rPr>
          <w:rFonts w:cs="Open Sans"/>
        </w:rPr>
        <w:t xml:space="preserve"> the difficulties with defining a</w:t>
      </w:r>
      <w:r w:rsidR="00A05D64">
        <w:rPr>
          <w:rFonts w:cs="Open Sans"/>
        </w:rPr>
        <w:t>ny</w:t>
      </w:r>
      <w:r w:rsidR="00FB09C7">
        <w:rPr>
          <w:rFonts w:cs="Open Sans"/>
        </w:rPr>
        <w:t xml:space="preserve"> hate crime</w:t>
      </w:r>
      <w:r w:rsidR="00A05D64">
        <w:rPr>
          <w:rFonts w:cs="Open Sans"/>
        </w:rPr>
        <w:t xml:space="preserve">, </w:t>
      </w:r>
      <w:r w:rsidR="00FB09C7">
        <w:rPr>
          <w:rFonts w:cs="Open Sans"/>
        </w:rPr>
        <w:t>i</w:t>
      </w:r>
      <w:r w:rsidR="00AB40EB">
        <w:rPr>
          <w:rFonts w:cs="Open Sans"/>
        </w:rPr>
        <w:t>dentifying and prosecuting</w:t>
      </w:r>
      <w:r w:rsidR="006F3B4C">
        <w:rPr>
          <w:rFonts w:cs="Open Sans"/>
        </w:rPr>
        <w:t xml:space="preserve"> a disability hate crime has long been a challenge within the criminal justice system</w:t>
      </w:r>
      <w:r w:rsidR="00FB09C7">
        <w:rPr>
          <w:rFonts w:cs="Open Sans"/>
        </w:rPr>
        <w:t>.</w:t>
      </w:r>
    </w:p>
    <w:p w14:paraId="08FC38D9" w14:textId="5B329420" w:rsidR="003B4539" w:rsidRDefault="006C539A" w:rsidP="003B4539">
      <w:pPr>
        <w:pStyle w:val="Content"/>
        <w:rPr>
          <w:rFonts w:cs="Open Sans"/>
        </w:rPr>
      </w:pPr>
      <w:r>
        <w:rPr>
          <w:rFonts w:cs="Open Sans"/>
        </w:rPr>
        <w:t>A key aspect of proving a hate crime is in evidencing the hostility beyond reasonable doubt</w:t>
      </w:r>
      <w:r w:rsidR="003B4539">
        <w:rPr>
          <w:rFonts w:cs="Open Sans"/>
        </w:rPr>
        <w:t>. Hostility as a concept, even, can be difficult to accurately define</w:t>
      </w:r>
      <w:r w:rsidR="003B4539">
        <w:rPr>
          <w:rStyle w:val="FootnoteReference"/>
          <w:rFonts w:cs="Open Sans"/>
        </w:rPr>
        <w:footnoteReference w:id="32"/>
      </w:r>
      <w:r w:rsidR="003B4539">
        <w:rPr>
          <w:rFonts w:cs="Open Sans"/>
        </w:rPr>
        <w:t xml:space="preserve"> as there is no standard legal definition and the decision over </w:t>
      </w:r>
      <w:r w:rsidR="003B4539">
        <w:rPr>
          <w:rFonts w:cs="Open Sans"/>
        </w:rPr>
        <w:lastRenderedPageBreak/>
        <w:t xml:space="preserve">whether hostility has been proven, is left to </w:t>
      </w:r>
      <w:r w:rsidR="00FA4C96">
        <w:rPr>
          <w:rFonts w:cs="Open Sans"/>
        </w:rPr>
        <w:t>the courts for each individual case</w:t>
      </w:r>
      <w:r w:rsidR="00FA4C96">
        <w:rPr>
          <w:rStyle w:val="FootnoteReference"/>
          <w:rFonts w:cs="Open Sans"/>
        </w:rPr>
        <w:footnoteReference w:id="33"/>
      </w:r>
      <w:r w:rsidR="00FA4C96">
        <w:rPr>
          <w:rFonts w:cs="Open Sans"/>
        </w:rPr>
        <w:t>.</w:t>
      </w:r>
    </w:p>
    <w:p w14:paraId="1EBBB175" w14:textId="62273A41" w:rsidR="009C2DD4" w:rsidRDefault="001E38E6" w:rsidP="006F3B4C">
      <w:pPr>
        <w:pStyle w:val="Content"/>
        <w:rPr>
          <w:rFonts w:cs="Open Sans"/>
        </w:rPr>
      </w:pPr>
      <w:r>
        <w:rPr>
          <w:rFonts w:cs="Open Sans"/>
        </w:rPr>
        <w:t>Evidencing this</w:t>
      </w:r>
      <w:r w:rsidR="00E31BC4">
        <w:rPr>
          <w:rFonts w:cs="Open Sans"/>
        </w:rPr>
        <w:t xml:space="preserve"> </w:t>
      </w:r>
      <w:r w:rsidR="00D7292C">
        <w:rPr>
          <w:rFonts w:cs="Open Sans"/>
        </w:rPr>
        <w:t>can be</w:t>
      </w:r>
      <w:r w:rsidR="00E31BC4">
        <w:rPr>
          <w:rFonts w:cs="Open Sans"/>
        </w:rPr>
        <w:t xml:space="preserve"> particular</w:t>
      </w:r>
      <w:r w:rsidR="00D7292C">
        <w:rPr>
          <w:rFonts w:cs="Open Sans"/>
        </w:rPr>
        <w:t>ly</w:t>
      </w:r>
      <w:r w:rsidR="00E31BC4">
        <w:rPr>
          <w:rFonts w:cs="Open Sans"/>
        </w:rPr>
        <w:t xml:space="preserve"> difficult</w:t>
      </w:r>
      <w:r w:rsidR="00B24230">
        <w:rPr>
          <w:rFonts w:cs="Open Sans"/>
        </w:rPr>
        <w:t>y</w:t>
      </w:r>
      <w:r w:rsidR="00E31BC4">
        <w:rPr>
          <w:rFonts w:cs="Open Sans"/>
        </w:rPr>
        <w:t xml:space="preserve"> in disability hate crimes</w:t>
      </w:r>
      <w:r w:rsidR="00D7292C">
        <w:rPr>
          <w:rStyle w:val="FootnoteReference"/>
          <w:rFonts w:cs="Open Sans"/>
        </w:rPr>
        <w:footnoteReference w:id="34"/>
      </w:r>
      <w:r w:rsidR="00E31BC4">
        <w:rPr>
          <w:rFonts w:cs="Open Sans"/>
        </w:rPr>
        <w:t xml:space="preserve">. </w:t>
      </w:r>
      <w:r w:rsidR="00110487">
        <w:rPr>
          <w:rFonts w:cs="Open Sans"/>
        </w:rPr>
        <w:t>Due to the evolving nature of language, m</w:t>
      </w:r>
      <w:r w:rsidR="00766848">
        <w:rPr>
          <w:rFonts w:cs="Open Sans"/>
        </w:rPr>
        <w:t>any</w:t>
      </w:r>
      <w:r w:rsidR="00E31BC4">
        <w:rPr>
          <w:rFonts w:cs="Open Sans"/>
        </w:rPr>
        <w:t xml:space="preserve"> disablist terms </w:t>
      </w:r>
      <w:r w:rsidR="00766848">
        <w:rPr>
          <w:rFonts w:cs="Open Sans"/>
        </w:rPr>
        <w:t xml:space="preserve">are </w:t>
      </w:r>
      <w:r w:rsidR="00C90BC7">
        <w:rPr>
          <w:rFonts w:cs="Open Sans"/>
        </w:rPr>
        <w:t>used</w:t>
      </w:r>
      <w:r w:rsidR="00A05D64">
        <w:rPr>
          <w:rFonts w:cs="Open Sans"/>
        </w:rPr>
        <w:t xml:space="preserve"> regularly,</w:t>
      </w:r>
      <w:r w:rsidR="00C90BC7">
        <w:rPr>
          <w:rFonts w:cs="Open Sans"/>
        </w:rPr>
        <w:t xml:space="preserve"> without consideration for their origins</w:t>
      </w:r>
      <w:r w:rsidR="00110487">
        <w:rPr>
          <w:rFonts w:cs="Open Sans"/>
        </w:rPr>
        <w:t xml:space="preserve"> being in the discrimination or oppression of Disabled people</w:t>
      </w:r>
      <w:r w:rsidR="00C60BF1">
        <w:rPr>
          <w:rStyle w:val="FootnoteReference"/>
          <w:rFonts w:cs="Open Sans"/>
        </w:rPr>
        <w:footnoteReference w:id="35"/>
      </w:r>
      <w:r w:rsidR="00AE10CC">
        <w:rPr>
          <w:rFonts w:cs="Open Sans"/>
        </w:rPr>
        <w:t>.</w:t>
      </w:r>
      <w:r w:rsidR="00C90BC7">
        <w:rPr>
          <w:rFonts w:cs="Open Sans"/>
        </w:rPr>
        <w:t xml:space="preserve"> </w:t>
      </w:r>
      <w:r w:rsidR="00AE10CC">
        <w:rPr>
          <w:rFonts w:cs="Open Sans"/>
        </w:rPr>
        <w:t>T</w:t>
      </w:r>
      <w:r w:rsidR="00ED50A7">
        <w:rPr>
          <w:rFonts w:cs="Open Sans"/>
        </w:rPr>
        <w:t xml:space="preserve">here were </w:t>
      </w:r>
      <w:r w:rsidR="00766848">
        <w:rPr>
          <w:rFonts w:cs="Open Sans"/>
        </w:rPr>
        <w:t xml:space="preserve">even cases </w:t>
      </w:r>
      <w:r w:rsidR="00ED50A7">
        <w:rPr>
          <w:rFonts w:cs="Open Sans"/>
        </w:rPr>
        <w:t xml:space="preserve">amongst </w:t>
      </w:r>
      <w:r w:rsidR="00AE10CC">
        <w:rPr>
          <w:rFonts w:cs="Open Sans"/>
        </w:rPr>
        <w:t>those</w:t>
      </w:r>
      <w:r w:rsidR="00ED50A7">
        <w:rPr>
          <w:rFonts w:cs="Open Sans"/>
        </w:rPr>
        <w:t xml:space="preserve"> </w:t>
      </w:r>
      <w:r w:rsidR="00443E36">
        <w:rPr>
          <w:rFonts w:cs="Open Sans"/>
        </w:rPr>
        <w:t xml:space="preserve">we </w:t>
      </w:r>
      <w:r w:rsidR="00A05D64">
        <w:rPr>
          <w:rFonts w:cs="Open Sans"/>
        </w:rPr>
        <w:t>researched</w:t>
      </w:r>
      <w:r w:rsidR="00443E36">
        <w:rPr>
          <w:rFonts w:cs="Open Sans"/>
        </w:rPr>
        <w:t xml:space="preserve"> where </w:t>
      </w:r>
      <w:r w:rsidR="00766848">
        <w:rPr>
          <w:rFonts w:cs="Open Sans"/>
        </w:rPr>
        <w:t xml:space="preserve">the prosecution successfully argued </w:t>
      </w:r>
      <w:r w:rsidR="00ED50A7">
        <w:rPr>
          <w:rFonts w:cs="Open Sans"/>
        </w:rPr>
        <w:t xml:space="preserve">that </w:t>
      </w:r>
      <w:r w:rsidR="00A05D64">
        <w:rPr>
          <w:rFonts w:cs="Open Sans"/>
        </w:rPr>
        <w:t xml:space="preserve">the </w:t>
      </w:r>
      <w:r w:rsidR="00ED50A7">
        <w:rPr>
          <w:rFonts w:cs="Open Sans"/>
        </w:rPr>
        <w:t xml:space="preserve">language used was of a disablist </w:t>
      </w:r>
      <w:r w:rsidR="00AE10CC">
        <w:rPr>
          <w:rFonts w:cs="Open Sans"/>
        </w:rPr>
        <w:t>nature</w:t>
      </w:r>
      <w:r w:rsidR="00ED50A7">
        <w:rPr>
          <w:rFonts w:cs="Open Sans"/>
        </w:rPr>
        <w:t xml:space="preserve">, </w:t>
      </w:r>
      <w:r w:rsidR="00443E36">
        <w:rPr>
          <w:rFonts w:cs="Open Sans"/>
        </w:rPr>
        <w:t xml:space="preserve">but the </w:t>
      </w:r>
      <w:r w:rsidR="005A1FCD">
        <w:rPr>
          <w:rFonts w:cs="Open Sans"/>
        </w:rPr>
        <w:t>courts</w:t>
      </w:r>
      <w:r w:rsidR="00443E36">
        <w:rPr>
          <w:rFonts w:cs="Open Sans"/>
        </w:rPr>
        <w:t xml:space="preserve"> ruled that the defendant was</w:t>
      </w:r>
      <w:r w:rsidR="00A05D64">
        <w:rPr>
          <w:rFonts w:cs="Open Sans"/>
        </w:rPr>
        <w:t xml:space="preserve"> no</w:t>
      </w:r>
      <w:r w:rsidR="00443E36">
        <w:rPr>
          <w:rFonts w:cs="Open Sans"/>
        </w:rPr>
        <w:t xml:space="preserve">t </w:t>
      </w:r>
      <w:r w:rsidR="00A05D64">
        <w:rPr>
          <w:rFonts w:cs="Open Sans"/>
        </w:rPr>
        <w:t>“</w:t>
      </w:r>
      <w:r w:rsidR="00443E36">
        <w:rPr>
          <w:rFonts w:cs="Open Sans"/>
        </w:rPr>
        <w:t>necessarily motivated</w:t>
      </w:r>
      <w:r w:rsidR="00A05D64">
        <w:rPr>
          <w:rFonts w:cs="Open Sans"/>
        </w:rPr>
        <w:t>”</w:t>
      </w:r>
      <w:r w:rsidR="00443E36">
        <w:rPr>
          <w:rFonts w:cs="Open Sans"/>
        </w:rPr>
        <w:t xml:space="preserve"> by hostility towards Disabled people</w:t>
      </w:r>
      <w:r w:rsidR="005F2E15">
        <w:rPr>
          <w:rStyle w:val="FootnoteReference"/>
          <w:rFonts w:cs="Open Sans"/>
        </w:rPr>
        <w:footnoteReference w:id="36"/>
      </w:r>
      <w:r w:rsidR="00443E36">
        <w:rPr>
          <w:rFonts w:cs="Open Sans"/>
        </w:rPr>
        <w:t xml:space="preserve">. </w:t>
      </w:r>
      <w:r w:rsidR="007923E9">
        <w:rPr>
          <w:rFonts w:cs="Open Sans"/>
        </w:rPr>
        <w:t xml:space="preserve">Even with </w:t>
      </w:r>
      <w:r w:rsidR="00B357F1">
        <w:rPr>
          <w:rFonts w:cs="Open Sans"/>
        </w:rPr>
        <w:t>in</w:t>
      </w:r>
      <w:r w:rsidR="00BB2760">
        <w:rPr>
          <w:rFonts w:cs="Open Sans"/>
        </w:rPr>
        <w:t>-</w:t>
      </w:r>
      <w:r w:rsidR="00B357F1">
        <w:rPr>
          <w:rFonts w:cs="Open Sans"/>
        </w:rPr>
        <w:t>depth and well-evidence cases, disability hate crime uplifts are rarely secured</w:t>
      </w:r>
      <w:r w:rsidR="00F569F9">
        <w:rPr>
          <w:rStyle w:val="FootnoteReference"/>
          <w:rFonts w:cs="Open Sans"/>
        </w:rPr>
        <w:footnoteReference w:id="37"/>
      </w:r>
      <w:r w:rsidR="00B357F1">
        <w:rPr>
          <w:rFonts w:cs="Open Sans"/>
        </w:rPr>
        <w:t>.</w:t>
      </w:r>
    </w:p>
    <w:p w14:paraId="3EEACB62" w14:textId="6AD4F35F" w:rsidR="0006152C" w:rsidRDefault="00AA2425" w:rsidP="006F3B4C">
      <w:pPr>
        <w:pStyle w:val="Content"/>
        <w:rPr>
          <w:rFonts w:cs="Open Sans"/>
        </w:rPr>
      </w:pPr>
      <w:r>
        <w:rPr>
          <w:rFonts w:cs="Open Sans"/>
        </w:rPr>
        <w:t xml:space="preserve">Further complicating matters, many Disability hate crimes lack </w:t>
      </w:r>
      <w:r w:rsidR="00AE7F07">
        <w:rPr>
          <w:rFonts w:cs="Open Sans"/>
        </w:rPr>
        <w:t>verbal or written demonstrations of hostility. Other factors which may prove hostility towards Disabled people</w:t>
      </w:r>
      <w:r w:rsidR="00F676D3">
        <w:rPr>
          <w:rFonts w:cs="Open Sans"/>
        </w:rPr>
        <w:t xml:space="preserve"> are more difficult to </w:t>
      </w:r>
      <w:r w:rsidR="00485D93">
        <w:rPr>
          <w:rFonts w:cs="Open Sans"/>
        </w:rPr>
        <w:t>evidence</w:t>
      </w:r>
      <w:r w:rsidR="008F2461">
        <w:rPr>
          <w:rFonts w:cs="Open Sans"/>
        </w:rPr>
        <w:t>. A complex relationship exists between the concept</w:t>
      </w:r>
      <w:r w:rsidR="00343B0E">
        <w:rPr>
          <w:rFonts w:cs="Open Sans"/>
        </w:rPr>
        <w:t xml:space="preserve"> and perception of vulnerability, the creation of situational vulnerability, and the motivations for victim </w:t>
      </w:r>
      <w:r w:rsidR="00343B0E">
        <w:rPr>
          <w:rFonts w:cs="Open Sans"/>
        </w:rPr>
        <w:lastRenderedPageBreak/>
        <w:t>selection</w:t>
      </w:r>
      <w:r w:rsidR="003B4539">
        <w:rPr>
          <w:rStyle w:val="FootnoteReference"/>
          <w:rFonts w:cs="Open Sans"/>
        </w:rPr>
        <w:footnoteReference w:id="38"/>
      </w:r>
      <w:r w:rsidR="00343B0E">
        <w:rPr>
          <w:rFonts w:cs="Open Sans"/>
        </w:rPr>
        <w:t xml:space="preserve">. </w:t>
      </w:r>
      <w:r w:rsidR="00F7292D">
        <w:rPr>
          <w:rFonts w:cs="Open Sans"/>
        </w:rPr>
        <w:t xml:space="preserve">Trying to navigate this to prove hostility while </w:t>
      </w:r>
      <w:r w:rsidR="0084208F">
        <w:rPr>
          <w:rFonts w:cs="Open Sans"/>
        </w:rPr>
        <w:t>avoiding</w:t>
      </w:r>
      <w:r w:rsidR="00F7292D">
        <w:rPr>
          <w:rFonts w:cs="Open Sans"/>
        </w:rPr>
        <w:t xml:space="preserve"> </w:t>
      </w:r>
      <w:r w:rsidR="00CE6610">
        <w:rPr>
          <w:rFonts w:cs="Open Sans"/>
        </w:rPr>
        <w:t xml:space="preserve">falsely representing Disabled people as inherently </w:t>
      </w:r>
      <w:r w:rsidR="0084208F">
        <w:rPr>
          <w:rFonts w:cs="Open Sans"/>
        </w:rPr>
        <w:t>vulnerable,</w:t>
      </w:r>
      <w:r w:rsidR="00CE6610">
        <w:rPr>
          <w:rFonts w:cs="Open Sans"/>
        </w:rPr>
        <w:t xml:space="preserve"> is a difficult task</w:t>
      </w:r>
      <w:r w:rsidR="005A6D61">
        <w:rPr>
          <w:rFonts w:cs="Open Sans"/>
        </w:rPr>
        <w:t xml:space="preserve">. Even when argued carefully, judges often decide that </w:t>
      </w:r>
      <w:r w:rsidR="006E1146">
        <w:rPr>
          <w:rFonts w:cs="Open Sans"/>
        </w:rPr>
        <w:t>even if the perpetrator targeted someone because they considered them an “easy target”</w:t>
      </w:r>
      <w:r w:rsidR="00D170D4">
        <w:rPr>
          <w:rFonts w:cs="Open Sans"/>
        </w:rPr>
        <w:t xml:space="preserve"> based on the perpetrator’s perception of disability</w:t>
      </w:r>
      <w:r w:rsidR="006E1146">
        <w:rPr>
          <w:rFonts w:cs="Open Sans"/>
        </w:rPr>
        <w:t>, this does not demonstrate hostility.</w:t>
      </w:r>
    </w:p>
    <w:p w14:paraId="2AC983FB" w14:textId="534FAD4E" w:rsidR="00536061" w:rsidRDefault="00536061" w:rsidP="006F3B4C">
      <w:pPr>
        <w:pStyle w:val="Content"/>
        <w:rPr>
          <w:rFonts w:cs="Open Sans"/>
        </w:rPr>
      </w:pPr>
      <w:r>
        <w:rPr>
          <w:rFonts w:cs="Open Sans"/>
        </w:rPr>
        <w:t>When there are details that suggest contempt for Disabled people or a complete devaluation and disregard for the value of Disabled lives</w:t>
      </w:r>
      <w:r w:rsidR="0013350B">
        <w:rPr>
          <w:rFonts w:cs="Open Sans"/>
        </w:rPr>
        <w:t xml:space="preserve">, it is difficult to call that anything other than </w:t>
      </w:r>
      <w:r w:rsidR="00FA4C96">
        <w:rPr>
          <w:rFonts w:cs="Open Sans"/>
        </w:rPr>
        <w:t>hostility</w:t>
      </w:r>
      <w:r w:rsidR="00CD4E5D">
        <w:rPr>
          <w:rFonts w:cs="Open Sans"/>
        </w:rPr>
        <w:t>,</w:t>
      </w:r>
      <w:r w:rsidR="0013350B">
        <w:rPr>
          <w:rFonts w:cs="Open Sans"/>
        </w:rPr>
        <w:t xml:space="preserve"> if we consider it outside of a legal framework. If you took away the Disabled identity, </w:t>
      </w:r>
      <w:r w:rsidR="00CD4E5D">
        <w:rPr>
          <w:rFonts w:cs="Open Sans"/>
        </w:rPr>
        <w:t>this would</w:t>
      </w:r>
      <w:r w:rsidR="0013350B">
        <w:rPr>
          <w:rFonts w:cs="Open Sans"/>
        </w:rPr>
        <w:t xml:space="preserve"> often remove the </w:t>
      </w:r>
      <w:r w:rsidR="00B67672">
        <w:rPr>
          <w:rFonts w:cs="Open Sans"/>
        </w:rPr>
        <w:t xml:space="preserve">perpetrator’s </w:t>
      </w:r>
      <w:r w:rsidR="0013350B">
        <w:rPr>
          <w:rFonts w:cs="Open Sans"/>
        </w:rPr>
        <w:t xml:space="preserve">decision to target that individual. So, disability </w:t>
      </w:r>
      <w:r w:rsidR="009D2AE5">
        <w:rPr>
          <w:rFonts w:cs="Open Sans"/>
        </w:rPr>
        <w:t xml:space="preserve">and the perpetrator’s perception of disability </w:t>
      </w:r>
      <w:r w:rsidR="00FA4C96">
        <w:rPr>
          <w:rFonts w:cs="Open Sans"/>
        </w:rPr>
        <w:t>are</w:t>
      </w:r>
      <w:r w:rsidR="009D2AE5">
        <w:rPr>
          <w:rFonts w:cs="Open Sans"/>
        </w:rPr>
        <w:t xml:space="preserve"> often</w:t>
      </w:r>
      <w:r w:rsidR="0013350B">
        <w:rPr>
          <w:rFonts w:cs="Open Sans"/>
        </w:rPr>
        <w:t xml:space="preserve"> intrinsically tied up in motivation. </w:t>
      </w:r>
    </w:p>
    <w:p w14:paraId="22D90CB3" w14:textId="06D4A713" w:rsidR="0013350B" w:rsidRDefault="0013350B" w:rsidP="006F3B4C">
      <w:pPr>
        <w:pStyle w:val="Content"/>
        <w:rPr>
          <w:rFonts w:cs="Open Sans"/>
        </w:rPr>
      </w:pPr>
      <w:r>
        <w:rPr>
          <w:rFonts w:cs="Open Sans"/>
        </w:rPr>
        <w:t>Yet, in legal terms, this is</w:t>
      </w:r>
      <w:r w:rsidR="00FA4C96">
        <w:rPr>
          <w:rFonts w:cs="Open Sans"/>
        </w:rPr>
        <w:t xml:space="preserve"> typically</w:t>
      </w:r>
      <w:r>
        <w:rPr>
          <w:rFonts w:cs="Open Sans"/>
        </w:rPr>
        <w:t xml:space="preserve"> </w:t>
      </w:r>
      <w:r w:rsidR="009D2AE5">
        <w:rPr>
          <w:rFonts w:cs="Open Sans"/>
        </w:rPr>
        <w:t>not enough to consider a crime a hate crime</w:t>
      </w:r>
      <w:r>
        <w:rPr>
          <w:rFonts w:cs="Open Sans"/>
        </w:rPr>
        <w:t>.</w:t>
      </w:r>
      <w:r w:rsidR="000374EA">
        <w:rPr>
          <w:rFonts w:cs="Open Sans"/>
        </w:rPr>
        <w:t xml:space="preserve"> These reasons are why arguing successfully for a disability hate crime uplift is so challenging and, since the ability to evidence the use of disablist language does not come close to guaranteeing an uplift, it also </w:t>
      </w:r>
      <w:r w:rsidR="005C555F">
        <w:rPr>
          <w:rFonts w:cs="Open Sans"/>
        </w:rPr>
        <w:t>affects</w:t>
      </w:r>
      <w:r w:rsidR="000374EA">
        <w:rPr>
          <w:rFonts w:cs="Open Sans"/>
        </w:rPr>
        <w:t xml:space="preserve"> which case</w:t>
      </w:r>
      <w:r w:rsidR="005C555F">
        <w:rPr>
          <w:rFonts w:cs="Open Sans"/>
        </w:rPr>
        <w:t>s</w:t>
      </w:r>
      <w:r w:rsidR="000374EA">
        <w:rPr>
          <w:rFonts w:cs="Open Sans"/>
        </w:rPr>
        <w:t xml:space="preserve"> the CPS will</w:t>
      </w:r>
      <w:r w:rsidR="005C555F">
        <w:rPr>
          <w:rFonts w:cs="Open Sans"/>
        </w:rPr>
        <w:t xml:space="preserve"> </w:t>
      </w:r>
      <w:r w:rsidR="000374EA">
        <w:rPr>
          <w:rFonts w:cs="Open Sans"/>
        </w:rPr>
        <w:t xml:space="preserve">try to </w:t>
      </w:r>
      <w:r w:rsidR="00FA4C96">
        <w:rPr>
          <w:rFonts w:cs="Open Sans"/>
        </w:rPr>
        <w:t>get</w:t>
      </w:r>
      <w:r w:rsidR="000374EA">
        <w:rPr>
          <w:rFonts w:cs="Open Sans"/>
        </w:rPr>
        <w:t xml:space="preserve"> a hate crime uplift for.</w:t>
      </w:r>
      <w:r w:rsidR="005C555F">
        <w:rPr>
          <w:rFonts w:cs="Open Sans"/>
        </w:rPr>
        <w:t xml:space="preserve"> </w:t>
      </w:r>
    </w:p>
    <w:p w14:paraId="64043DD8" w14:textId="77777777" w:rsidR="006F3B4C" w:rsidRPr="0056069F" w:rsidRDefault="006F3B4C" w:rsidP="006F3B4C">
      <w:pPr>
        <w:pStyle w:val="Content"/>
        <w:rPr>
          <w:rFonts w:cs="Open Sans"/>
        </w:rPr>
      </w:pPr>
    </w:p>
    <w:p w14:paraId="11C5789D" w14:textId="5BAF080F" w:rsidR="006F3B4C" w:rsidRDefault="000374EA" w:rsidP="0056069F">
      <w:pPr>
        <w:pStyle w:val="Heading4"/>
        <w:rPr>
          <w:rFonts w:cs="Open Sans"/>
        </w:rPr>
      </w:pPr>
      <w:r>
        <w:rPr>
          <w:rFonts w:cs="Open Sans"/>
        </w:rPr>
        <w:t>What are a</w:t>
      </w:r>
      <w:r w:rsidR="006F3B4C" w:rsidRPr="0056069F">
        <w:rPr>
          <w:rFonts w:cs="Open Sans"/>
        </w:rPr>
        <w:t>ssumptions of inherent vulnerability</w:t>
      </w:r>
      <w:r w:rsidR="008F313E">
        <w:rPr>
          <w:rFonts w:cs="Open Sans"/>
        </w:rPr>
        <w:t>?</w:t>
      </w:r>
    </w:p>
    <w:p w14:paraId="64D5094E" w14:textId="77777777" w:rsidR="00110487" w:rsidRPr="00110487" w:rsidRDefault="00110487" w:rsidP="00110487"/>
    <w:p w14:paraId="5AD846DF" w14:textId="1E9E44AC" w:rsidR="000E2FBB" w:rsidRDefault="000E2FBB" w:rsidP="0017613E">
      <w:pPr>
        <w:pStyle w:val="Content"/>
        <w:rPr>
          <w:rFonts w:cs="Open Sans"/>
        </w:rPr>
      </w:pPr>
      <w:r>
        <w:rPr>
          <w:rFonts w:cs="Open Sans"/>
        </w:rPr>
        <w:lastRenderedPageBreak/>
        <w:t xml:space="preserve">The concept of inherent vulnerability is based on the presumption </w:t>
      </w:r>
      <w:r w:rsidR="00351987">
        <w:rPr>
          <w:rFonts w:cs="Open Sans"/>
        </w:rPr>
        <w:t>that if you are Disabled, you are more vulnerable than a non-Disabled person.</w:t>
      </w:r>
      <w:r w:rsidR="00DF1EE2">
        <w:rPr>
          <w:rFonts w:cs="Open Sans"/>
        </w:rPr>
        <w:t xml:space="preserve"> Therefore, Disabled people as a group are at greater risk of being targeted for abuse</w:t>
      </w:r>
      <w:r w:rsidR="00110487">
        <w:rPr>
          <w:rFonts w:cs="Open Sans"/>
        </w:rPr>
        <w:t>,</w:t>
      </w:r>
      <w:r w:rsidR="00DF1EE2">
        <w:rPr>
          <w:rFonts w:cs="Open Sans"/>
        </w:rPr>
        <w:t xml:space="preserve"> harassment</w:t>
      </w:r>
      <w:r w:rsidR="00110487">
        <w:rPr>
          <w:rFonts w:cs="Open Sans"/>
        </w:rPr>
        <w:t xml:space="preserve">, and exploitation, because they </w:t>
      </w:r>
      <w:r w:rsidR="00DF1EE2">
        <w:rPr>
          <w:rFonts w:cs="Open Sans"/>
        </w:rPr>
        <w:t xml:space="preserve">are </w:t>
      </w:r>
      <w:r w:rsidR="008B69B0">
        <w:rPr>
          <w:rFonts w:cs="Open Sans"/>
        </w:rPr>
        <w:t>‘easy target</w:t>
      </w:r>
      <w:r w:rsidR="00110487">
        <w:rPr>
          <w:rFonts w:cs="Open Sans"/>
        </w:rPr>
        <w:t>s</w:t>
      </w:r>
      <w:r w:rsidR="008B69B0">
        <w:rPr>
          <w:rFonts w:cs="Open Sans"/>
        </w:rPr>
        <w:t>’.</w:t>
      </w:r>
    </w:p>
    <w:p w14:paraId="25D1C9A9" w14:textId="311CDE96" w:rsidR="0007141F" w:rsidRDefault="0007141F" w:rsidP="0017613E">
      <w:pPr>
        <w:pStyle w:val="Content"/>
        <w:rPr>
          <w:rFonts w:cs="Open Sans"/>
        </w:rPr>
      </w:pPr>
      <w:r>
        <w:rPr>
          <w:rFonts w:cs="Open Sans"/>
        </w:rPr>
        <w:t xml:space="preserve">Disabled activists and campaigners </w:t>
      </w:r>
      <w:r w:rsidR="0073139C">
        <w:rPr>
          <w:rFonts w:cs="Open Sans"/>
        </w:rPr>
        <w:t xml:space="preserve">strongly </w:t>
      </w:r>
      <w:r w:rsidR="008B2A63">
        <w:rPr>
          <w:rFonts w:cs="Open Sans"/>
        </w:rPr>
        <w:t>challenge this assumption</w:t>
      </w:r>
      <w:r w:rsidR="00FA4C96">
        <w:rPr>
          <w:rFonts w:cs="Open Sans"/>
        </w:rPr>
        <w:t xml:space="preserve">. </w:t>
      </w:r>
      <w:r w:rsidR="00434FF4">
        <w:rPr>
          <w:rFonts w:cs="Open Sans"/>
        </w:rPr>
        <w:t>While</w:t>
      </w:r>
      <w:r>
        <w:rPr>
          <w:rFonts w:cs="Open Sans"/>
        </w:rPr>
        <w:t xml:space="preserve"> many prosecutors will try to avoid </w:t>
      </w:r>
      <w:r w:rsidR="00E06066">
        <w:rPr>
          <w:rFonts w:cs="Open Sans"/>
        </w:rPr>
        <w:t>arguing a case around vulnerability, with research suggesting that many are cognizant of the stereotype</w:t>
      </w:r>
      <w:r w:rsidR="00E06066">
        <w:rPr>
          <w:rStyle w:val="FootnoteReference"/>
          <w:rFonts w:cs="Open Sans"/>
        </w:rPr>
        <w:footnoteReference w:id="39"/>
      </w:r>
      <w:r w:rsidR="00E06066">
        <w:rPr>
          <w:rFonts w:cs="Open Sans"/>
        </w:rPr>
        <w:t xml:space="preserve">, the rulings made when hate crime uplifts fail </w:t>
      </w:r>
      <w:r w:rsidR="004D3F66">
        <w:rPr>
          <w:rFonts w:cs="Open Sans"/>
        </w:rPr>
        <w:t>often include the recognition of aggravating factors such as “deliberate targeting of a vulnerable victim</w:t>
      </w:r>
      <w:r w:rsidR="004D3F66" w:rsidRPr="00FA4C96">
        <w:rPr>
          <w:rFonts w:cs="Open Sans"/>
        </w:rPr>
        <w:t>”.</w:t>
      </w:r>
      <w:r w:rsidR="008F313E" w:rsidRPr="00FA4C96">
        <w:rPr>
          <w:rFonts w:cs="Open Sans"/>
        </w:rPr>
        <w:t xml:space="preserve"> This is</w:t>
      </w:r>
      <w:r w:rsidR="008F313E" w:rsidRPr="00FA4C96" w:rsidDel="00A61BC3">
        <w:rPr>
          <w:rFonts w:cs="Open Sans"/>
        </w:rPr>
        <w:t xml:space="preserve"> </w:t>
      </w:r>
      <w:r w:rsidR="008F313E" w:rsidRPr="00FA4C96">
        <w:rPr>
          <w:rFonts w:cs="Open Sans"/>
        </w:rPr>
        <w:t>the compromise that the CJS</w:t>
      </w:r>
      <w:r w:rsidR="00992E31" w:rsidRPr="00FA4C96">
        <w:rPr>
          <w:rFonts w:cs="Open Sans"/>
        </w:rPr>
        <w:t xml:space="preserve"> sometimes</w:t>
      </w:r>
      <w:r w:rsidR="008F313E" w:rsidRPr="00FA4C96">
        <w:rPr>
          <w:rFonts w:cs="Open Sans"/>
        </w:rPr>
        <w:t xml:space="preserve"> falls back on when </w:t>
      </w:r>
      <w:r w:rsidR="00FA4C96">
        <w:rPr>
          <w:rFonts w:cs="Open Sans"/>
        </w:rPr>
        <w:t>the threshold for hostility required to prove hate crime cannot be achieved</w:t>
      </w:r>
      <w:r w:rsidR="00FA4C96" w:rsidRPr="00FA4C96">
        <w:rPr>
          <w:rFonts w:cs="Open Sans"/>
        </w:rPr>
        <w:t>; they</w:t>
      </w:r>
      <w:r w:rsidR="00FA4C96">
        <w:rPr>
          <w:rFonts w:cs="Open Sans"/>
        </w:rPr>
        <w:t xml:space="preserve"> use the legislation around ‘vulnerable adults’ to get successful convictions. This compromise comes from how legislation is worded and the burden of proof; with societal perceptions of disability being as they are, it is often easier to prove that a Disabled person was vulnerable than it is to prove hostility towards disability.</w:t>
      </w:r>
    </w:p>
    <w:p w14:paraId="6AF063F5" w14:textId="35DC5980" w:rsidR="00770D19" w:rsidRDefault="004D3F66" w:rsidP="004D3F66">
      <w:pPr>
        <w:pStyle w:val="Content"/>
        <w:rPr>
          <w:rFonts w:cs="Open Sans"/>
        </w:rPr>
      </w:pPr>
      <w:r>
        <w:rPr>
          <w:rFonts w:cs="Open Sans"/>
        </w:rPr>
        <w:t xml:space="preserve">The concept of inherent vulnerability ignores the fact that many Disabled people are </w:t>
      </w:r>
      <w:r w:rsidR="00770D19">
        <w:rPr>
          <w:rFonts w:cs="Open Sans"/>
        </w:rPr>
        <w:t>pushed</w:t>
      </w:r>
      <w:r>
        <w:rPr>
          <w:rFonts w:cs="Open Sans"/>
        </w:rPr>
        <w:t xml:space="preserve"> into being </w:t>
      </w:r>
      <w:r w:rsidR="0017613E" w:rsidRPr="00770D19">
        <w:rPr>
          <w:rFonts w:cs="Open Sans"/>
          <w:i/>
          <w:iCs/>
        </w:rPr>
        <w:t>situational</w:t>
      </w:r>
      <w:r w:rsidRPr="00770D19">
        <w:rPr>
          <w:rFonts w:cs="Open Sans"/>
          <w:i/>
          <w:iCs/>
        </w:rPr>
        <w:t>ly</w:t>
      </w:r>
      <w:r w:rsidR="0017613E">
        <w:rPr>
          <w:rFonts w:cs="Open Sans"/>
        </w:rPr>
        <w:t xml:space="preserve"> vulnerab</w:t>
      </w:r>
      <w:r>
        <w:rPr>
          <w:rFonts w:cs="Open Sans"/>
        </w:rPr>
        <w:t>le</w:t>
      </w:r>
      <w:r w:rsidR="00770D19">
        <w:rPr>
          <w:rFonts w:cs="Open Sans"/>
        </w:rPr>
        <w:t xml:space="preserve"> </w:t>
      </w:r>
      <w:r>
        <w:rPr>
          <w:rFonts w:cs="Open Sans"/>
        </w:rPr>
        <w:t>by the barriers in society</w:t>
      </w:r>
      <w:r w:rsidR="00C05920">
        <w:rPr>
          <w:rFonts w:cs="Open Sans"/>
        </w:rPr>
        <w:t xml:space="preserve"> and the</w:t>
      </w:r>
      <w:r>
        <w:rPr>
          <w:rFonts w:cs="Open Sans"/>
        </w:rPr>
        <w:t xml:space="preserve"> removal and inaccessibility of services and support.</w:t>
      </w:r>
      <w:r w:rsidR="00C05920">
        <w:rPr>
          <w:rFonts w:cs="Open Sans"/>
        </w:rPr>
        <w:t xml:space="preserve"> </w:t>
      </w:r>
    </w:p>
    <w:p w14:paraId="1ED6F725" w14:textId="09242157" w:rsidR="0017613E" w:rsidRDefault="00C05920" w:rsidP="004D3F66">
      <w:pPr>
        <w:pStyle w:val="Content"/>
        <w:rPr>
          <w:rFonts w:cs="Open Sans"/>
        </w:rPr>
      </w:pPr>
      <w:r>
        <w:rPr>
          <w:rFonts w:cs="Open Sans"/>
        </w:rPr>
        <w:t xml:space="preserve">When we position Disabled people as vulnerable </w:t>
      </w:r>
      <w:r w:rsidR="00EE7DD5">
        <w:rPr>
          <w:rFonts w:cs="Open Sans"/>
        </w:rPr>
        <w:t>by</w:t>
      </w:r>
      <w:r>
        <w:rPr>
          <w:rFonts w:cs="Open Sans"/>
        </w:rPr>
        <w:t xml:space="preserve"> default, this </w:t>
      </w:r>
      <w:r w:rsidR="009E24B6">
        <w:rPr>
          <w:rFonts w:cs="Open Sans"/>
        </w:rPr>
        <w:t xml:space="preserve">continues to perpetuate patronizing and infantalising concepts, even when this is not </w:t>
      </w:r>
      <w:r w:rsidR="009E24B6">
        <w:rPr>
          <w:rFonts w:cs="Open Sans"/>
        </w:rPr>
        <w:lastRenderedPageBreak/>
        <w:t xml:space="preserve">the intention. It can also lead to a lack of action, precipitated </w:t>
      </w:r>
      <w:r w:rsidR="00850B00">
        <w:rPr>
          <w:rFonts w:cs="Open Sans"/>
        </w:rPr>
        <w:t>by</w:t>
      </w:r>
      <w:r w:rsidR="009E24B6">
        <w:rPr>
          <w:rFonts w:cs="Open Sans"/>
        </w:rPr>
        <w:t xml:space="preserve"> the </w:t>
      </w:r>
      <w:r w:rsidR="00445B68">
        <w:rPr>
          <w:rFonts w:cs="Open Sans"/>
        </w:rPr>
        <w:t xml:space="preserve">idea of ‘Well, what can we do? They’ll always be Disabled so they’ll always be at risk’. </w:t>
      </w:r>
      <w:r w:rsidR="002211DA">
        <w:rPr>
          <w:rFonts w:cs="Open Sans"/>
        </w:rPr>
        <w:t xml:space="preserve">One consequence of this that likely has an impact on the reported numbers of disability hate crime, is that when hate crimes do happen, they may be referred to safeguarding teams rather than to the police. </w:t>
      </w:r>
    </w:p>
    <w:p w14:paraId="1F20EAE6" w14:textId="77777777" w:rsidR="006F3B4C" w:rsidRDefault="006F3B4C" w:rsidP="006F3B4C"/>
    <w:p w14:paraId="4CE04934" w14:textId="2FF72171" w:rsidR="006F3B4C" w:rsidRPr="002B6278" w:rsidRDefault="00EE7DD5" w:rsidP="002B6278">
      <w:pPr>
        <w:pStyle w:val="Heading4"/>
        <w:rPr>
          <w:rFonts w:cs="Open Sans"/>
        </w:rPr>
      </w:pPr>
      <w:r>
        <w:rPr>
          <w:rFonts w:cs="Open Sans"/>
        </w:rPr>
        <w:t>How</w:t>
      </w:r>
      <w:r w:rsidR="006F3B4C" w:rsidRPr="002B6278">
        <w:rPr>
          <w:rFonts w:cs="Open Sans"/>
        </w:rPr>
        <w:t xml:space="preserve"> situational vulnerability</w:t>
      </w:r>
      <w:r>
        <w:rPr>
          <w:rFonts w:cs="Open Sans"/>
        </w:rPr>
        <w:t xml:space="preserve"> is created.</w:t>
      </w:r>
    </w:p>
    <w:p w14:paraId="349E955B" w14:textId="77777777" w:rsidR="00E53A1C" w:rsidRDefault="00E53A1C" w:rsidP="006F3B4C">
      <w:pPr>
        <w:pStyle w:val="Content"/>
        <w:rPr>
          <w:rFonts w:cs="Open Sans"/>
        </w:rPr>
      </w:pPr>
    </w:p>
    <w:p w14:paraId="53652CF3" w14:textId="6DEF717C" w:rsidR="006F3B4C" w:rsidRPr="00F93D24" w:rsidRDefault="00E53A1C" w:rsidP="006F3B4C">
      <w:pPr>
        <w:pStyle w:val="Content"/>
        <w:rPr>
          <w:rFonts w:cs="Open Sans"/>
        </w:rPr>
      </w:pPr>
      <w:r w:rsidRPr="002211DA">
        <w:rPr>
          <w:rFonts w:cs="Open Sans"/>
        </w:rPr>
        <w:t xml:space="preserve">For Disabled people, situational vulnerability is often the result of </w:t>
      </w:r>
      <w:r w:rsidR="00C117DE" w:rsidRPr="002211DA">
        <w:rPr>
          <w:rFonts w:cs="Open Sans"/>
        </w:rPr>
        <w:t xml:space="preserve">continuing </w:t>
      </w:r>
      <w:r w:rsidR="006F3B4C" w:rsidRPr="002211DA">
        <w:rPr>
          <w:rFonts w:cs="Open Sans"/>
        </w:rPr>
        <w:t>austerity</w:t>
      </w:r>
      <w:r w:rsidR="00C117DE" w:rsidRPr="002211DA">
        <w:rPr>
          <w:rFonts w:cs="Open Sans"/>
        </w:rPr>
        <w:t xml:space="preserve"> measures by the UK Government</w:t>
      </w:r>
      <w:r w:rsidR="006F3B4C" w:rsidRPr="002211DA">
        <w:rPr>
          <w:rFonts w:cs="Open Sans"/>
        </w:rPr>
        <w:t xml:space="preserve">, </w:t>
      </w:r>
      <w:r w:rsidR="00126D4B" w:rsidRPr="002211DA">
        <w:rPr>
          <w:rFonts w:cs="Open Sans"/>
        </w:rPr>
        <w:t>policies</w:t>
      </w:r>
      <w:r w:rsidR="00C117DE" w:rsidRPr="002211DA">
        <w:rPr>
          <w:rFonts w:cs="Open Sans"/>
        </w:rPr>
        <w:t xml:space="preserve"> and practices that </w:t>
      </w:r>
      <w:r w:rsidR="0065735B" w:rsidRPr="002211DA">
        <w:rPr>
          <w:rFonts w:cs="Open Sans"/>
        </w:rPr>
        <w:t xml:space="preserve">compound a </w:t>
      </w:r>
      <w:r w:rsidR="006F3B4C" w:rsidRPr="002211DA">
        <w:rPr>
          <w:rFonts w:cs="Open Sans"/>
        </w:rPr>
        <w:t xml:space="preserve">devaluation of Disabled life, </w:t>
      </w:r>
      <w:r w:rsidRPr="002211DA">
        <w:rPr>
          <w:rFonts w:cs="Open Sans"/>
        </w:rPr>
        <w:t>and historical norms</w:t>
      </w:r>
      <w:r w:rsidR="0065735B" w:rsidRPr="002211DA">
        <w:rPr>
          <w:rFonts w:cs="Open Sans"/>
        </w:rPr>
        <w:t xml:space="preserve"> </w:t>
      </w:r>
      <w:r w:rsidR="002A5FDA" w:rsidRPr="002211DA">
        <w:rPr>
          <w:rFonts w:cs="Open Sans"/>
        </w:rPr>
        <w:t xml:space="preserve">based on </w:t>
      </w:r>
      <w:r w:rsidRPr="002211DA">
        <w:rPr>
          <w:rFonts w:cs="Open Sans"/>
        </w:rPr>
        <w:t>d</w:t>
      </w:r>
      <w:r w:rsidR="002A5FDA" w:rsidRPr="002211DA">
        <w:rPr>
          <w:rFonts w:cs="Open Sans"/>
        </w:rPr>
        <w:t>isablism</w:t>
      </w:r>
      <w:r w:rsidR="002211DA">
        <w:rPr>
          <w:rStyle w:val="FootnoteReference"/>
          <w:rFonts w:cs="Open Sans"/>
        </w:rPr>
        <w:footnoteReference w:id="40"/>
      </w:r>
      <w:r w:rsidRPr="002211DA">
        <w:rPr>
          <w:rFonts w:cs="Open Sans"/>
        </w:rPr>
        <w:t>. These combined mean</w:t>
      </w:r>
      <w:r w:rsidR="006F3B4C" w:rsidRPr="002211DA">
        <w:rPr>
          <w:rFonts w:cs="Open Sans"/>
        </w:rPr>
        <w:t xml:space="preserve"> Disabled people are more frequently placed into</w:t>
      </w:r>
      <w:r w:rsidR="006F3B4C" w:rsidRPr="00F93D24">
        <w:rPr>
          <w:rFonts w:cs="Open Sans"/>
        </w:rPr>
        <w:t xml:space="preserve"> situations where they are made vulnerable than they would be if societ</w:t>
      </w:r>
      <w:r w:rsidR="004E3D85">
        <w:rPr>
          <w:rFonts w:cs="Open Sans"/>
        </w:rPr>
        <w:t>y removed</w:t>
      </w:r>
      <w:r w:rsidR="006F3B4C" w:rsidRPr="00F93D24">
        <w:rPr>
          <w:rFonts w:cs="Open Sans"/>
        </w:rPr>
        <w:t xml:space="preserve"> barriers and prejudices</w:t>
      </w:r>
      <w:r w:rsidR="00503B8B">
        <w:rPr>
          <w:rFonts w:cs="Open Sans"/>
        </w:rPr>
        <w:t>,</w:t>
      </w:r>
      <w:r w:rsidR="006C2921">
        <w:rPr>
          <w:rFonts w:cs="Open Sans"/>
        </w:rPr>
        <w:t xml:space="preserve"> and services and support were readily available</w:t>
      </w:r>
      <w:r>
        <w:rPr>
          <w:rFonts w:cs="Open Sans"/>
        </w:rPr>
        <w:t xml:space="preserve"> and adequately funded.</w:t>
      </w:r>
    </w:p>
    <w:p w14:paraId="1E989DE7" w14:textId="617E80AC" w:rsidR="00E53A1C" w:rsidRDefault="006F3B4C" w:rsidP="00E53A1C">
      <w:pPr>
        <w:pStyle w:val="Content"/>
        <w:rPr>
          <w:rFonts w:cs="Open Sans"/>
        </w:rPr>
      </w:pPr>
      <w:r w:rsidRPr="00F93D24">
        <w:rPr>
          <w:rFonts w:cs="Open Sans"/>
        </w:rPr>
        <w:t>Anyone can be</w:t>
      </w:r>
      <w:r w:rsidR="002B267E">
        <w:rPr>
          <w:rFonts w:cs="Open Sans"/>
        </w:rPr>
        <w:t>come</w:t>
      </w:r>
      <w:r w:rsidRPr="00F93D24">
        <w:rPr>
          <w:rFonts w:cs="Open Sans"/>
        </w:rPr>
        <w:t xml:space="preserve"> vulnerable </w:t>
      </w:r>
      <w:r w:rsidR="00515026">
        <w:rPr>
          <w:rFonts w:cs="Open Sans"/>
        </w:rPr>
        <w:t>depending on the</w:t>
      </w:r>
      <w:r w:rsidR="006C2921" w:rsidDel="00515026">
        <w:rPr>
          <w:rFonts w:cs="Open Sans"/>
        </w:rPr>
        <w:t xml:space="preserve"> </w:t>
      </w:r>
      <w:r w:rsidR="006C2921">
        <w:rPr>
          <w:rFonts w:cs="Open Sans"/>
        </w:rPr>
        <w:t>circumstances</w:t>
      </w:r>
      <w:r w:rsidR="00E53A1C">
        <w:rPr>
          <w:rFonts w:cs="Open Sans"/>
        </w:rPr>
        <w:t xml:space="preserve">; even something as simple as being distracted at a cash machine, late at night in an unfamiliar part of the </w:t>
      </w:r>
      <w:r w:rsidR="002211DA">
        <w:rPr>
          <w:rFonts w:cs="Open Sans"/>
        </w:rPr>
        <w:t>city,</w:t>
      </w:r>
      <w:r w:rsidR="00E53A1C">
        <w:rPr>
          <w:rFonts w:cs="Open Sans"/>
        </w:rPr>
        <w:t xml:space="preserve"> can create situational vulnerability</w:t>
      </w:r>
      <w:r w:rsidRPr="00F93D24">
        <w:rPr>
          <w:rFonts w:cs="Open Sans"/>
        </w:rPr>
        <w:t xml:space="preserve">. </w:t>
      </w:r>
    </w:p>
    <w:p w14:paraId="6C294C66" w14:textId="7FE56675" w:rsidR="00E53A1C" w:rsidRDefault="00E53A1C" w:rsidP="00E53A1C">
      <w:pPr>
        <w:pStyle w:val="Content"/>
        <w:rPr>
          <w:rFonts w:cs="Open Sans"/>
        </w:rPr>
      </w:pPr>
      <w:r>
        <w:rPr>
          <w:rFonts w:cs="Open Sans"/>
        </w:rPr>
        <w:t>W</w:t>
      </w:r>
      <w:r w:rsidRPr="00E53A1C">
        <w:rPr>
          <w:rFonts w:cs="Open Sans"/>
        </w:rPr>
        <w:t xml:space="preserve">hen someone is isolated, on a low income or not in work, without social and/or family support, in poor health and living in inadequate housing, for </w:t>
      </w:r>
      <w:r w:rsidRPr="00E53A1C">
        <w:rPr>
          <w:rFonts w:cs="Open Sans"/>
        </w:rPr>
        <w:lastRenderedPageBreak/>
        <w:t xml:space="preserve">example, these circumstances will impact on their resilience and reliance on others. </w:t>
      </w:r>
    </w:p>
    <w:p w14:paraId="446AC19D" w14:textId="2582D884" w:rsidR="00E53A1C" w:rsidRPr="00E53A1C" w:rsidRDefault="00E53A1C" w:rsidP="00E53A1C">
      <w:pPr>
        <w:pStyle w:val="Content"/>
        <w:rPr>
          <w:rFonts w:cs="Open Sans"/>
        </w:rPr>
      </w:pPr>
      <w:r w:rsidRPr="00E53A1C">
        <w:rPr>
          <w:rFonts w:cs="Open Sans"/>
        </w:rPr>
        <w:t xml:space="preserve">Not all Disabled people experience these circumstances; however, Disabled people </w:t>
      </w:r>
      <w:r>
        <w:rPr>
          <w:rFonts w:cs="Open Sans"/>
        </w:rPr>
        <w:t xml:space="preserve">experience these at </w:t>
      </w:r>
      <w:r w:rsidRPr="00E53A1C">
        <w:rPr>
          <w:rFonts w:cs="Open Sans"/>
        </w:rPr>
        <w:t>disp</w:t>
      </w:r>
      <w:r>
        <w:rPr>
          <w:rFonts w:cs="Open Sans"/>
        </w:rPr>
        <w:t>r</w:t>
      </w:r>
      <w:r w:rsidRPr="00E53A1C">
        <w:rPr>
          <w:rFonts w:cs="Open Sans"/>
        </w:rPr>
        <w:t>o</w:t>
      </w:r>
      <w:r>
        <w:rPr>
          <w:rFonts w:cs="Open Sans"/>
        </w:rPr>
        <w:t>por</w:t>
      </w:r>
      <w:r w:rsidRPr="00E53A1C">
        <w:rPr>
          <w:rFonts w:cs="Open Sans"/>
        </w:rPr>
        <w:t>tionat</w:t>
      </w:r>
      <w:r>
        <w:rPr>
          <w:rFonts w:cs="Open Sans"/>
        </w:rPr>
        <w:t>e rates compared to their non-Disabled peers</w:t>
      </w:r>
      <w:r w:rsidRPr="00E53A1C">
        <w:rPr>
          <w:rFonts w:cs="Open Sans"/>
        </w:rPr>
        <w:t xml:space="preserve">. </w:t>
      </w:r>
      <w:r w:rsidR="002211DA">
        <w:rPr>
          <w:rFonts w:cs="Open Sans"/>
        </w:rPr>
        <w:t>Because of</w:t>
      </w:r>
      <w:r w:rsidRPr="00E53A1C">
        <w:rPr>
          <w:rFonts w:cs="Open Sans"/>
        </w:rPr>
        <w:t xml:space="preserve"> these circumstances, a perpetrator is more likely to be able to take advantage of someone. If that same person has access to a good income, a fulfilling social life</w:t>
      </w:r>
      <w:r>
        <w:rPr>
          <w:rFonts w:cs="Open Sans"/>
        </w:rPr>
        <w:t>,</w:t>
      </w:r>
      <w:r w:rsidRPr="00E53A1C">
        <w:rPr>
          <w:rFonts w:cs="Open Sans"/>
        </w:rPr>
        <w:t xml:space="preserve"> and lives in adequate housing with good social networks, it is less likely they will be targeted.</w:t>
      </w:r>
    </w:p>
    <w:p w14:paraId="6B7A570B" w14:textId="27B8FD2C" w:rsidR="006F3B4C" w:rsidRPr="00F93D24" w:rsidRDefault="00E53A1C" w:rsidP="006F3B4C">
      <w:pPr>
        <w:pStyle w:val="Content"/>
        <w:rPr>
          <w:rFonts w:cs="Open Sans"/>
        </w:rPr>
      </w:pPr>
      <w:r>
        <w:rPr>
          <w:rFonts w:cs="Open Sans"/>
        </w:rPr>
        <w:t>Even when they have had these things, a</w:t>
      </w:r>
      <w:r w:rsidR="006F3B4C" w:rsidRPr="00F93D24">
        <w:rPr>
          <w:rFonts w:cs="Open Sans"/>
        </w:rPr>
        <w:t xml:space="preserve"> Disabled person may be made </w:t>
      </w:r>
      <w:r w:rsidR="002D4012">
        <w:rPr>
          <w:rFonts w:cs="Open Sans"/>
        </w:rPr>
        <w:t>situationally</w:t>
      </w:r>
      <w:r w:rsidR="006F3B4C" w:rsidRPr="00F93D24">
        <w:rPr>
          <w:rFonts w:cs="Open Sans"/>
        </w:rPr>
        <w:t xml:space="preserve"> vulnerable because support or resources are withdrawn</w:t>
      </w:r>
      <w:r w:rsidR="009934F4">
        <w:rPr>
          <w:rFonts w:cs="Open Sans"/>
        </w:rPr>
        <w:t xml:space="preserve"> or the accessibility of services which </w:t>
      </w:r>
      <w:r w:rsidR="00ED7DFD">
        <w:rPr>
          <w:rFonts w:cs="Open Sans"/>
        </w:rPr>
        <w:t>are</w:t>
      </w:r>
      <w:r w:rsidR="009934F4">
        <w:rPr>
          <w:rFonts w:cs="Open Sans"/>
        </w:rPr>
        <w:t xml:space="preserve"> there to support people</w:t>
      </w:r>
      <w:r w:rsidR="00694031">
        <w:rPr>
          <w:rFonts w:cs="Open Sans"/>
        </w:rPr>
        <w:t xml:space="preserve"> is inadequate</w:t>
      </w:r>
      <w:r w:rsidR="00D6450B">
        <w:rPr>
          <w:rFonts w:cs="Open Sans"/>
        </w:rPr>
        <w:t>; a situation that has become increasingly common over the years</w:t>
      </w:r>
      <w:r w:rsidR="002211DA">
        <w:rPr>
          <w:rStyle w:val="FootnoteReference"/>
          <w:rFonts w:cs="Open Sans"/>
        </w:rPr>
        <w:footnoteReference w:id="41"/>
      </w:r>
      <w:r w:rsidR="009934F4">
        <w:rPr>
          <w:rFonts w:cs="Open Sans"/>
        </w:rPr>
        <w:t xml:space="preserve">. </w:t>
      </w:r>
    </w:p>
    <w:p w14:paraId="4F6A28FF" w14:textId="0A6B4DA5" w:rsidR="00694031" w:rsidRDefault="00694031">
      <w:pPr>
        <w:rPr>
          <w:rFonts w:cs="Open Sans"/>
          <w:b/>
        </w:rPr>
      </w:pPr>
      <w:r>
        <w:rPr>
          <w:rFonts w:cs="Open Sans"/>
          <w:b/>
        </w:rPr>
        <w:br w:type="page"/>
      </w:r>
    </w:p>
    <w:p w14:paraId="36B39CF9" w14:textId="2CED68E2" w:rsidR="006F3B4C" w:rsidRDefault="006F3B4C" w:rsidP="003D5051">
      <w:pPr>
        <w:pStyle w:val="Heading1"/>
      </w:pPr>
      <w:bookmarkStart w:id="26" w:name="_Toc120713473"/>
      <w:r w:rsidRPr="00D06C62">
        <w:lastRenderedPageBreak/>
        <w:t>Language used in news reports</w:t>
      </w:r>
      <w:bookmarkEnd w:id="26"/>
    </w:p>
    <w:p w14:paraId="1770B72D" w14:textId="280AB746" w:rsidR="003D5051" w:rsidRDefault="000B045C" w:rsidP="003D5051">
      <w:pPr>
        <w:pStyle w:val="Heading2"/>
      </w:pPr>
      <w:bookmarkStart w:id="27" w:name="_Toc120713474"/>
      <w:r>
        <w:t>Overview of language and how it can perpetrate disablism</w:t>
      </w:r>
      <w:bookmarkEnd w:id="27"/>
    </w:p>
    <w:p w14:paraId="6AA2C10A" w14:textId="63B22F79" w:rsidR="000B045C" w:rsidRDefault="000B045C" w:rsidP="000B045C"/>
    <w:p w14:paraId="16EEFFF2" w14:textId="202D7F24" w:rsidR="00137881" w:rsidRPr="00137881" w:rsidRDefault="000B045C" w:rsidP="00137881">
      <w:pPr>
        <w:spacing w:line="360" w:lineRule="auto"/>
        <w:rPr>
          <w:rFonts w:eastAsiaTheme="minorEastAsia" w:cs="Open Sans"/>
          <w:color w:val="000000" w:themeColor="text1"/>
          <w:lang w:val="en-US"/>
        </w:rPr>
      </w:pPr>
      <w:r w:rsidRPr="00137881">
        <w:rPr>
          <w:rFonts w:eastAsiaTheme="minorEastAsia" w:cs="Open Sans"/>
          <w:color w:val="000000" w:themeColor="text1"/>
          <w:lang w:val="en-US"/>
        </w:rPr>
        <w:t xml:space="preserve">Having </w:t>
      </w:r>
      <w:r w:rsidR="00ED7DFD">
        <w:rPr>
          <w:rFonts w:eastAsiaTheme="minorEastAsia" w:cs="Open Sans"/>
          <w:color w:val="000000" w:themeColor="text1"/>
          <w:lang w:val="en-US"/>
        </w:rPr>
        <w:t>summarised</w:t>
      </w:r>
      <w:r w:rsidR="00137881" w:rsidRPr="00137881">
        <w:rPr>
          <w:rFonts w:eastAsiaTheme="minorEastAsia" w:cs="Open Sans"/>
          <w:color w:val="000000" w:themeColor="text1"/>
          <w:lang w:val="en-US"/>
        </w:rPr>
        <w:t xml:space="preserve"> the issues at hand, the </w:t>
      </w:r>
      <w:r w:rsidR="009B18E1" w:rsidRPr="00137881">
        <w:rPr>
          <w:rFonts w:eastAsiaTheme="minorEastAsia" w:cs="Open Sans"/>
          <w:color w:val="000000" w:themeColor="text1"/>
          <w:lang w:val="en-US"/>
        </w:rPr>
        <w:t>cases</w:t>
      </w:r>
      <w:r w:rsidR="00137881" w:rsidRPr="00137881">
        <w:rPr>
          <w:rFonts w:eastAsiaTheme="minorEastAsia" w:cs="Open Sans"/>
          <w:color w:val="000000" w:themeColor="text1"/>
          <w:lang w:val="en-US"/>
        </w:rPr>
        <w:t>, and other information such as media coverage, disability hate crime uplifts, and the contextual issues around those, we now move onto the second part of this report</w:t>
      </w:r>
      <w:r w:rsidR="00A54321">
        <w:rPr>
          <w:rFonts w:eastAsiaTheme="minorEastAsia" w:cs="Open Sans"/>
          <w:color w:val="000000" w:themeColor="text1"/>
          <w:lang w:val="en-US"/>
        </w:rPr>
        <w:t>:</w:t>
      </w:r>
      <w:r w:rsidR="00E11FD8">
        <w:rPr>
          <w:rFonts w:eastAsiaTheme="minorEastAsia" w:cs="Open Sans"/>
          <w:color w:val="000000" w:themeColor="text1"/>
          <w:lang w:val="en-US"/>
        </w:rPr>
        <w:t xml:space="preserve"> t</w:t>
      </w:r>
      <w:r w:rsidR="00137881" w:rsidRPr="00137881">
        <w:rPr>
          <w:rFonts w:eastAsiaTheme="minorEastAsia" w:cs="Open Sans"/>
          <w:color w:val="000000" w:themeColor="text1"/>
          <w:lang w:val="en-US"/>
        </w:rPr>
        <w:t>he language used to report on crimes against Disabled people.</w:t>
      </w:r>
    </w:p>
    <w:p w14:paraId="5DF0281A" w14:textId="7477C77C" w:rsidR="006F3B4C" w:rsidRPr="00D06C62" w:rsidRDefault="00694031" w:rsidP="006F3B4C">
      <w:pPr>
        <w:pStyle w:val="Content"/>
        <w:rPr>
          <w:rFonts w:cs="Open Sans"/>
        </w:rPr>
      </w:pPr>
      <w:r>
        <w:rPr>
          <w:rFonts w:cs="Open Sans"/>
        </w:rPr>
        <w:t>Throughout our work, we found n</w:t>
      </w:r>
      <w:r w:rsidR="006F3B4C" w:rsidRPr="00D06C62">
        <w:rPr>
          <w:rFonts w:cs="Open Sans"/>
        </w:rPr>
        <w:t>ews articles about crimes against Disabled people</w:t>
      </w:r>
      <w:r>
        <w:rPr>
          <w:rFonts w:cs="Open Sans"/>
        </w:rPr>
        <w:t xml:space="preserve"> as recently as this year</w:t>
      </w:r>
      <w:r w:rsidR="00137881">
        <w:rPr>
          <w:rFonts w:cs="Open Sans"/>
        </w:rPr>
        <w:t xml:space="preserve"> which</w:t>
      </w:r>
      <w:r>
        <w:rPr>
          <w:rFonts w:cs="Open Sans"/>
        </w:rPr>
        <w:t xml:space="preserve"> contained disablist</w:t>
      </w:r>
      <w:r w:rsidR="006F3B4C" w:rsidRPr="00D06C62">
        <w:rPr>
          <w:rFonts w:cs="Open Sans"/>
        </w:rPr>
        <w:t xml:space="preserve"> language, assumptions, infantilization, and the same attitudes which lead to societal discrimination against Disabled people. This </w:t>
      </w:r>
      <w:r w:rsidR="002211DA">
        <w:rPr>
          <w:rFonts w:cs="Open Sans"/>
        </w:rPr>
        <w:t>was seen</w:t>
      </w:r>
      <w:r>
        <w:rPr>
          <w:rFonts w:cs="Open Sans"/>
        </w:rPr>
        <w:t xml:space="preserve"> in multiple ways, such as </w:t>
      </w:r>
      <w:r w:rsidR="00137881">
        <w:rPr>
          <w:rFonts w:cs="Open Sans"/>
        </w:rPr>
        <w:t xml:space="preserve">in </w:t>
      </w:r>
      <w:r w:rsidR="006F3B4C" w:rsidRPr="00D06C62">
        <w:rPr>
          <w:rFonts w:cs="Open Sans"/>
        </w:rPr>
        <w:t>descri</w:t>
      </w:r>
      <w:r w:rsidR="00137881">
        <w:rPr>
          <w:rFonts w:cs="Open Sans"/>
        </w:rPr>
        <w:t>ptions of</w:t>
      </w:r>
      <w:r w:rsidR="006F3B4C" w:rsidRPr="00D06C62">
        <w:rPr>
          <w:rFonts w:cs="Open Sans"/>
        </w:rPr>
        <w:t xml:space="preserve"> the victim, the perpetrator</w:t>
      </w:r>
      <w:r w:rsidR="00137881">
        <w:rPr>
          <w:rFonts w:cs="Open Sans"/>
        </w:rPr>
        <w:t xml:space="preserve"> and their motives</w:t>
      </w:r>
      <w:r w:rsidR="006F3B4C" w:rsidRPr="00D06C62">
        <w:rPr>
          <w:rFonts w:cs="Open Sans"/>
        </w:rPr>
        <w:t>, or the events.</w:t>
      </w:r>
    </w:p>
    <w:p w14:paraId="553F5A70" w14:textId="2CF0C589" w:rsidR="006F3B4C" w:rsidRPr="00D06C62" w:rsidRDefault="006F3B4C" w:rsidP="006F3B4C">
      <w:pPr>
        <w:pStyle w:val="Content"/>
        <w:rPr>
          <w:rFonts w:cs="Open Sans"/>
        </w:rPr>
      </w:pPr>
      <w:r w:rsidRPr="00D06C62">
        <w:rPr>
          <w:rFonts w:cs="Open Sans"/>
        </w:rPr>
        <w:t xml:space="preserve">Writers may believe that </w:t>
      </w:r>
      <w:r w:rsidR="00173D80">
        <w:rPr>
          <w:rFonts w:cs="Open Sans"/>
        </w:rPr>
        <w:t>by</w:t>
      </w:r>
      <w:r w:rsidRPr="00D06C62">
        <w:rPr>
          <w:rFonts w:cs="Open Sans"/>
        </w:rPr>
        <w:t xml:space="preserve"> portraying Disabled victims as particularly vulnerable and highlighting that vulnerability through language choices, they are increasing empathy towards the victims, but this </w:t>
      </w:r>
      <w:r w:rsidR="00027E9C">
        <w:rPr>
          <w:rFonts w:cs="Open Sans"/>
        </w:rPr>
        <w:t>is</w:t>
      </w:r>
      <w:r w:rsidRPr="00D06C62">
        <w:rPr>
          <w:rFonts w:cs="Open Sans"/>
        </w:rPr>
        <w:t xml:space="preserve"> not always what happens. There is an example within one news story of how </w:t>
      </w:r>
      <w:r w:rsidR="00027E9C">
        <w:rPr>
          <w:rFonts w:cs="Open Sans"/>
        </w:rPr>
        <w:t>disa</w:t>
      </w:r>
      <w:r w:rsidRPr="00D06C62">
        <w:rPr>
          <w:rFonts w:cs="Open Sans"/>
        </w:rPr>
        <w:t xml:space="preserve">blist assumptions </w:t>
      </w:r>
      <w:r w:rsidR="00027E9C">
        <w:rPr>
          <w:rFonts w:cs="Open Sans"/>
        </w:rPr>
        <w:t xml:space="preserve">rooted in a Disabled person “not understanding due to their vulnerability” </w:t>
      </w:r>
      <w:r w:rsidRPr="00D06C62">
        <w:rPr>
          <w:rFonts w:cs="Open Sans"/>
        </w:rPr>
        <w:t>led to a defense lawyer arguing that a rape was less traumatic for a victim with a learning disability</w:t>
      </w:r>
      <w:r w:rsidR="00137881">
        <w:rPr>
          <w:rFonts w:cs="Open Sans"/>
        </w:rPr>
        <w:t xml:space="preserve"> than it would be for a non-Disabled victim</w:t>
      </w:r>
      <w:r w:rsidR="00646F3A">
        <w:rPr>
          <w:rStyle w:val="FootnoteReference"/>
          <w:rFonts w:cs="Open Sans"/>
        </w:rPr>
        <w:footnoteReference w:id="42"/>
      </w:r>
      <w:r w:rsidR="00137881">
        <w:rPr>
          <w:rFonts w:cs="Open Sans"/>
        </w:rPr>
        <w:t>.</w:t>
      </w:r>
    </w:p>
    <w:p w14:paraId="56E51842" w14:textId="34F1F7D5" w:rsidR="00182535" w:rsidRDefault="008548A0" w:rsidP="00733F5D">
      <w:pPr>
        <w:pStyle w:val="Content"/>
        <w:rPr>
          <w:rFonts w:cs="Open Sans"/>
        </w:rPr>
      </w:pPr>
      <w:r w:rsidRPr="00D06C62">
        <w:rPr>
          <w:rFonts w:cs="Open Sans"/>
        </w:rPr>
        <w:lastRenderedPageBreak/>
        <w:t>Th</w:t>
      </w:r>
      <w:r>
        <w:rPr>
          <w:rFonts w:cs="Open Sans"/>
        </w:rPr>
        <w:t>ere are other</w:t>
      </w:r>
      <w:r w:rsidR="00027E9C">
        <w:rPr>
          <w:rFonts w:cs="Open Sans"/>
        </w:rPr>
        <w:t xml:space="preserve"> </w:t>
      </w:r>
      <w:r w:rsidR="00AB2FCE">
        <w:rPr>
          <w:rFonts w:cs="Open Sans"/>
        </w:rPr>
        <w:t xml:space="preserve">dehumanising </w:t>
      </w:r>
      <w:r w:rsidR="00027E9C">
        <w:rPr>
          <w:rFonts w:cs="Open Sans"/>
        </w:rPr>
        <w:t>assumptions and</w:t>
      </w:r>
      <w:r w:rsidR="00AB2FCE">
        <w:rPr>
          <w:rFonts w:cs="Open Sans"/>
        </w:rPr>
        <w:t xml:space="preserve"> misconceptions</w:t>
      </w:r>
      <w:r>
        <w:rPr>
          <w:rFonts w:cs="Open Sans"/>
        </w:rPr>
        <w:t xml:space="preserve"> discussed below</w:t>
      </w:r>
      <w:r w:rsidR="00AB2FCE">
        <w:rPr>
          <w:rFonts w:cs="Open Sans"/>
        </w:rPr>
        <w:t xml:space="preserve"> </w:t>
      </w:r>
      <w:r w:rsidR="00A6421D">
        <w:rPr>
          <w:rFonts w:cs="Open Sans"/>
        </w:rPr>
        <w:t>which show</w:t>
      </w:r>
      <w:r w:rsidR="00391EF5">
        <w:rPr>
          <w:rFonts w:cs="Open Sans"/>
        </w:rPr>
        <w:t xml:space="preserve"> what</w:t>
      </w:r>
      <w:r w:rsidR="006F3B4C" w:rsidRPr="00D06C62">
        <w:rPr>
          <w:rFonts w:cs="Open Sans"/>
        </w:rPr>
        <w:t xml:space="preserve"> </w:t>
      </w:r>
      <w:r w:rsidR="00B94E84">
        <w:rPr>
          <w:rFonts w:cs="Open Sans"/>
        </w:rPr>
        <w:t>disablist</w:t>
      </w:r>
      <w:r w:rsidR="006F3B4C" w:rsidRPr="00D06C62">
        <w:rPr>
          <w:rFonts w:cs="Open Sans"/>
        </w:rPr>
        <w:t xml:space="preserve"> language</w:t>
      </w:r>
      <w:r w:rsidR="00FC7571">
        <w:rPr>
          <w:rFonts w:cs="Open Sans"/>
        </w:rPr>
        <w:t xml:space="preserve"> and attitudes</w:t>
      </w:r>
      <w:r w:rsidR="006F3B4C" w:rsidRPr="00D06C62">
        <w:rPr>
          <w:rFonts w:cs="Open Sans"/>
        </w:rPr>
        <w:t xml:space="preserve"> can </w:t>
      </w:r>
      <w:r w:rsidR="00391EF5">
        <w:rPr>
          <w:rFonts w:cs="Open Sans"/>
        </w:rPr>
        <w:t>feed into</w:t>
      </w:r>
      <w:r w:rsidR="00E11FD8">
        <w:rPr>
          <w:rFonts w:cs="Open Sans"/>
        </w:rPr>
        <w:t>,</w:t>
      </w:r>
      <w:r w:rsidR="00B94E84">
        <w:rPr>
          <w:rFonts w:cs="Open Sans"/>
        </w:rPr>
        <w:t xml:space="preserve"> and it is why the language </w:t>
      </w:r>
      <w:r w:rsidR="00AB2FCE">
        <w:rPr>
          <w:rFonts w:cs="Open Sans"/>
        </w:rPr>
        <w:t>used in the media</w:t>
      </w:r>
      <w:r w:rsidR="00AF0378">
        <w:rPr>
          <w:rFonts w:cs="Open Sans"/>
        </w:rPr>
        <w:t xml:space="preserve"> matters</w:t>
      </w:r>
      <w:r w:rsidR="00B94E84">
        <w:rPr>
          <w:rFonts w:cs="Open Sans"/>
        </w:rPr>
        <w:t>.</w:t>
      </w:r>
      <w:r w:rsidR="00AF0378">
        <w:rPr>
          <w:rFonts w:cs="Open Sans"/>
        </w:rPr>
        <w:t xml:space="preserve"> Disabled people have longed argued that a key </w:t>
      </w:r>
      <w:r w:rsidR="00AB2FCE">
        <w:rPr>
          <w:rFonts w:cs="Open Sans"/>
        </w:rPr>
        <w:t>part of</w:t>
      </w:r>
      <w:r w:rsidR="00AF0378">
        <w:rPr>
          <w:rFonts w:cs="Open Sans"/>
        </w:rPr>
        <w:t xml:space="preserve"> addressing disability hate crimes </w:t>
      </w:r>
      <w:r w:rsidR="00AE37A4">
        <w:rPr>
          <w:rFonts w:cs="Open Sans"/>
        </w:rPr>
        <w:t>comes from</w:t>
      </w:r>
      <w:r w:rsidR="00AF0378">
        <w:rPr>
          <w:rFonts w:cs="Open Sans"/>
        </w:rPr>
        <w:t xml:space="preserve"> education and how society </w:t>
      </w:r>
      <w:r w:rsidR="00E11FD8">
        <w:rPr>
          <w:rFonts w:cs="Open Sans"/>
        </w:rPr>
        <w:t>discusses</w:t>
      </w:r>
      <w:r w:rsidR="00AF0378">
        <w:rPr>
          <w:rFonts w:cs="Open Sans"/>
        </w:rPr>
        <w:t xml:space="preserve"> </w:t>
      </w:r>
      <w:r w:rsidR="00AE37A4">
        <w:rPr>
          <w:rFonts w:cs="Open Sans"/>
        </w:rPr>
        <w:t>disability</w:t>
      </w:r>
      <w:r w:rsidR="00AF0378">
        <w:rPr>
          <w:rFonts w:cs="Open Sans"/>
        </w:rPr>
        <w:t xml:space="preserve">. </w:t>
      </w:r>
      <w:r w:rsidR="00733F5D" w:rsidRPr="00AF0378">
        <w:rPr>
          <w:rFonts w:cs="Open Sans"/>
        </w:rPr>
        <w:t xml:space="preserve">Ableism and disablism are deeply rooted </w:t>
      </w:r>
      <w:r w:rsidR="00B87552">
        <w:rPr>
          <w:rFonts w:cs="Open Sans"/>
        </w:rPr>
        <w:t xml:space="preserve">throughout </w:t>
      </w:r>
      <w:r w:rsidR="00733F5D" w:rsidRPr="00AF0378">
        <w:rPr>
          <w:rFonts w:cs="Open Sans"/>
        </w:rPr>
        <w:t xml:space="preserve">society, to the point that </w:t>
      </w:r>
      <w:r w:rsidR="00AE37A4">
        <w:rPr>
          <w:rFonts w:cs="Open Sans"/>
        </w:rPr>
        <w:t>—</w:t>
      </w:r>
      <w:r w:rsidR="00733F5D" w:rsidRPr="00AF0378">
        <w:rPr>
          <w:rFonts w:cs="Open Sans"/>
        </w:rPr>
        <w:t xml:space="preserve"> much like with other forms of bigotry</w:t>
      </w:r>
      <w:r w:rsidR="00672FA9">
        <w:rPr>
          <w:rFonts w:cs="Open Sans"/>
        </w:rPr>
        <w:t xml:space="preserve"> — </w:t>
      </w:r>
      <w:r w:rsidR="00286449">
        <w:rPr>
          <w:rFonts w:cs="Open Sans"/>
        </w:rPr>
        <w:t xml:space="preserve">even outside of overt discrimination, </w:t>
      </w:r>
      <w:r w:rsidR="00B15C81">
        <w:rPr>
          <w:rFonts w:cs="Open Sans"/>
        </w:rPr>
        <w:t>people perpetuate these ideas without realizing they are doing it</w:t>
      </w:r>
      <w:r w:rsidR="00A64363">
        <w:rPr>
          <w:rFonts w:cs="Open Sans"/>
        </w:rPr>
        <w:t>, and other times people accept these concepts as facts and never challenge their own thinking.</w:t>
      </w:r>
      <w:r w:rsidR="00DE1291">
        <w:rPr>
          <w:rFonts w:cs="Open Sans"/>
        </w:rPr>
        <w:t xml:space="preserve"> </w:t>
      </w:r>
      <w:r w:rsidR="00B87552">
        <w:rPr>
          <w:rFonts w:cs="Open Sans"/>
        </w:rPr>
        <w:t>The media plays a key role in improving this.</w:t>
      </w:r>
      <w:r w:rsidR="00AA6F05">
        <w:rPr>
          <w:rFonts w:cs="Open Sans"/>
        </w:rPr>
        <w:t xml:space="preserve"> </w:t>
      </w:r>
      <w:r w:rsidR="00182535">
        <w:rPr>
          <w:rFonts w:cs="Open Sans"/>
        </w:rPr>
        <w:t xml:space="preserve">The language used in </w:t>
      </w:r>
      <w:r w:rsidR="00AA6F05">
        <w:rPr>
          <w:rFonts w:cs="Open Sans"/>
        </w:rPr>
        <w:t xml:space="preserve">one part of </w:t>
      </w:r>
      <w:r w:rsidR="00182535">
        <w:rPr>
          <w:rFonts w:cs="Open Sans"/>
        </w:rPr>
        <w:t xml:space="preserve">the media is often reflected in and reflects the language of other </w:t>
      </w:r>
      <w:r w:rsidR="002B3329">
        <w:rPr>
          <w:rFonts w:cs="Open Sans"/>
        </w:rPr>
        <w:t xml:space="preserve">parts of society, including the criminal justice system, as we will see in </w:t>
      </w:r>
      <w:r w:rsidR="00A6421D">
        <w:rPr>
          <w:rFonts w:cs="Open Sans"/>
        </w:rPr>
        <w:t>some examples below</w:t>
      </w:r>
      <w:r w:rsidR="002B3329">
        <w:rPr>
          <w:rFonts w:cs="Open Sans"/>
        </w:rPr>
        <w:t>.</w:t>
      </w:r>
      <w:r w:rsidR="009C609C">
        <w:rPr>
          <w:rFonts w:cs="Open Sans"/>
        </w:rPr>
        <w:t xml:space="preserve"> </w:t>
      </w:r>
    </w:p>
    <w:p w14:paraId="3E107D52" w14:textId="4ED42A32" w:rsidR="00263546" w:rsidRDefault="00B87552" w:rsidP="00263546">
      <w:pPr>
        <w:pStyle w:val="Content"/>
        <w:rPr>
          <w:rFonts w:cs="Open Sans"/>
        </w:rPr>
      </w:pPr>
      <w:r>
        <w:rPr>
          <w:rFonts w:cs="Open Sans"/>
        </w:rPr>
        <w:t>Below we discuss examples of disablism under broad headings</w:t>
      </w:r>
      <w:r w:rsidR="00C5329E">
        <w:rPr>
          <w:rFonts w:cs="Open Sans"/>
        </w:rPr>
        <w:t xml:space="preserve">, using direct quotes and summaries of the cases to provide context, as well as offering commentary </w:t>
      </w:r>
      <w:r w:rsidR="005E3330">
        <w:rPr>
          <w:rFonts w:cs="Open Sans"/>
        </w:rPr>
        <w:t>on</w:t>
      </w:r>
      <w:r w:rsidR="00C5329E">
        <w:rPr>
          <w:rFonts w:cs="Open Sans"/>
        </w:rPr>
        <w:t xml:space="preserve"> the impact these language choices have</w:t>
      </w:r>
      <w:r w:rsidR="00B345A3">
        <w:rPr>
          <w:rFonts w:cs="Open Sans"/>
        </w:rPr>
        <w:t>, and what writing choices could be made instead</w:t>
      </w:r>
      <w:r w:rsidR="00C5329E">
        <w:rPr>
          <w:rFonts w:cs="Open Sans"/>
        </w:rPr>
        <w:t>.</w:t>
      </w:r>
      <w:r w:rsidR="00263546" w:rsidRPr="00263546">
        <w:rPr>
          <w:rFonts w:cs="Open Sans"/>
        </w:rPr>
        <w:t xml:space="preserve"> </w:t>
      </w:r>
    </w:p>
    <w:p w14:paraId="1CCDBC0C" w14:textId="06198FD9" w:rsidR="00B87552" w:rsidRDefault="00B87552" w:rsidP="00733F5D">
      <w:pPr>
        <w:pStyle w:val="Content"/>
        <w:rPr>
          <w:rFonts w:cs="Open Sans"/>
        </w:rPr>
      </w:pPr>
    </w:p>
    <w:p w14:paraId="1D2EEB8C" w14:textId="2C0F19C6" w:rsidR="00C5329E" w:rsidRDefault="00C5329E">
      <w:pPr>
        <w:rPr>
          <w:rFonts w:eastAsiaTheme="minorEastAsia" w:cs="Open Sans"/>
          <w:color w:val="000000" w:themeColor="text1"/>
          <w:lang w:val="en-US"/>
        </w:rPr>
      </w:pPr>
      <w:r>
        <w:rPr>
          <w:rFonts w:cs="Open Sans"/>
        </w:rPr>
        <w:br w:type="page"/>
      </w:r>
    </w:p>
    <w:p w14:paraId="0587A67F" w14:textId="35DE3263" w:rsidR="00270665" w:rsidRDefault="00306418" w:rsidP="00A6421D">
      <w:pPr>
        <w:pStyle w:val="Heading3"/>
        <w:spacing w:before="240" w:after="240" w:line="360" w:lineRule="auto"/>
        <w:rPr>
          <w:rFonts w:cs="Open Sans"/>
        </w:rPr>
      </w:pPr>
      <w:bookmarkStart w:id="28" w:name="_Toc120713475"/>
      <w:r>
        <w:rPr>
          <w:rFonts w:cs="Open Sans"/>
        </w:rPr>
        <w:lastRenderedPageBreak/>
        <w:t>Quotes and summaries</w:t>
      </w:r>
      <w:bookmarkEnd w:id="28"/>
    </w:p>
    <w:p w14:paraId="669BE5A4" w14:textId="3C63A1A5" w:rsidR="005A3D4A" w:rsidRDefault="005A3D4A" w:rsidP="00A6421D">
      <w:pPr>
        <w:pStyle w:val="Heading4"/>
        <w:spacing w:before="240" w:after="240" w:line="360" w:lineRule="auto"/>
      </w:pPr>
      <w:r>
        <w:t>Overview</w:t>
      </w:r>
    </w:p>
    <w:p w14:paraId="26927897" w14:textId="1C6104A6" w:rsidR="00B66D9E" w:rsidRDefault="00B66D9E" w:rsidP="00A6421D">
      <w:pPr>
        <w:pStyle w:val="Content"/>
      </w:pPr>
      <w:r>
        <w:t>E</w:t>
      </w:r>
      <w:r w:rsidR="00D04165">
        <w:t xml:space="preserve">ven when the quote comes from a family member or a professional in the </w:t>
      </w:r>
      <w:r w:rsidR="00A6421D">
        <w:t>CJS</w:t>
      </w:r>
      <w:r w:rsidR="00D04165">
        <w:t xml:space="preserve">, the person writing </w:t>
      </w:r>
      <w:r w:rsidR="005338CC">
        <w:t xml:space="preserve">or editing </w:t>
      </w:r>
      <w:r w:rsidR="00D04165">
        <w:t>the article</w:t>
      </w:r>
      <w:r w:rsidR="005338CC">
        <w:t xml:space="preserve"> made the final decision</w:t>
      </w:r>
      <w:r w:rsidR="00D04165">
        <w:t xml:space="preserve"> </w:t>
      </w:r>
      <w:r w:rsidR="005E3330">
        <w:t>about</w:t>
      </w:r>
      <w:r w:rsidR="00D04165">
        <w:t xml:space="preserve"> whether to include it.</w:t>
      </w:r>
      <w:r>
        <w:t xml:space="preserve"> Summaries of multiple quotes, such as during a court case, are also the result of multiple decisions over what to include and what to exclude.</w:t>
      </w:r>
    </w:p>
    <w:p w14:paraId="6135D6F4" w14:textId="4AEBDC48" w:rsidR="00D04165" w:rsidRDefault="002E4948" w:rsidP="00A6421D">
      <w:pPr>
        <w:pStyle w:val="Content"/>
      </w:pPr>
      <w:r>
        <w:t xml:space="preserve">Journalists </w:t>
      </w:r>
      <w:r w:rsidR="00A6421D">
        <w:t>decide</w:t>
      </w:r>
      <w:r>
        <w:t xml:space="preserve"> what to include </w:t>
      </w:r>
      <w:r w:rsidR="00B66D9E">
        <w:t xml:space="preserve">in </w:t>
      </w:r>
      <w:r>
        <w:t>their work</w:t>
      </w:r>
      <w:r w:rsidR="004F0EC7">
        <w:t xml:space="preserve">, and sometimes the quotes they choose to include </w:t>
      </w:r>
      <w:r w:rsidR="00B66D9E">
        <w:t>about</w:t>
      </w:r>
      <w:r w:rsidR="004F0EC7">
        <w:t xml:space="preserve"> Disabled victims and perpetrators seem to offer little in the way of information about the crime and a lot in the way of disablist implications.</w:t>
      </w:r>
    </w:p>
    <w:p w14:paraId="2C2B4196" w14:textId="0831C7AC" w:rsidR="004F0EC7" w:rsidRDefault="00DE5BD3" w:rsidP="00A6421D">
      <w:pPr>
        <w:pStyle w:val="Content"/>
      </w:pPr>
      <w:r>
        <w:t xml:space="preserve">These issues will appear throughout </w:t>
      </w:r>
      <w:r w:rsidR="009B18E1">
        <w:t>all</w:t>
      </w:r>
      <w:r>
        <w:t xml:space="preserve"> the categories below, but we felt their inclusion as a standalone topic at the top was important</w:t>
      </w:r>
      <w:r w:rsidR="00EC41CB">
        <w:t xml:space="preserve"> to frame the examples we use later.</w:t>
      </w:r>
    </w:p>
    <w:p w14:paraId="14611529" w14:textId="77777777" w:rsidR="00C43FF5" w:rsidRPr="00C43FF5" w:rsidRDefault="00C43FF5" w:rsidP="00A6421D">
      <w:pPr>
        <w:spacing w:before="240" w:after="240" w:line="360" w:lineRule="auto"/>
      </w:pPr>
    </w:p>
    <w:p w14:paraId="1C37A023" w14:textId="31235BC3" w:rsidR="00C43FF5" w:rsidRDefault="00C43FF5" w:rsidP="00A6421D">
      <w:pPr>
        <w:pStyle w:val="Heading4"/>
        <w:spacing w:before="240" w:after="240" w:line="360" w:lineRule="auto"/>
      </w:pPr>
      <w:r>
        <w:t>Example</w:t>
      </w:r>
    </w:p>
    <w:p w14:paraId="4849ED35" w14:textId="1667E7B2" w:rsidR="00EC41CB" w:rsidRDefault="00784E78" w:rsidP="00A6421D">
      <w:pPr>
        <w:spacing w:before="240" w:after="240" w:line="360" w:lineRule="auto"/>
        <w:rPr>
          <w:rFonts w:eastAsiaTheme="minorEastAsia"/>
          <w:color w:val="000000" w:themeColor="text1"/>
          <w:lang w:val="en-US"/>
        </w:rPr>
      </w:pPr>
      <w:r w:rsidRPr="009B18E1">
        <w:rPr>
          <w:rFonts w:eastAsiaTheme="minorEastAsia"/>
          <w:color w:val="000000" w:themeColor="text1"/>
          <w:lang w:val="en-US"/>
        </w:rPr>
        <w:t xml:space="preserve">The </w:t>
      </w:r>
      <w:r w:rsidR="0034150C" w:rsidRPr="009B18E1">
        <w:rPr>
          <w:rFonts w:eastAsiaTheme="minorEastAsia"/>
          <w:color w:val="000000" w:themeColor="text1"/>
          <w:lang w:val="en-US"/>
        </w:rPr>
        <w:t xml:space="preserve">articles with the most prominent examples of this </w:t>
      </w:r>
      <w:r w:rsidR="009B61EF">
        <w:rPr>
          <w:rFonts w:eastAsiaTheme="minorEastAsia"/>
          <w:color w:val="000000" w:themeColor="text1"/>
          <w:lang w:val="en-US"/>
        </w:rPr>
        <w:t>are often</w:t>
      </w:r>
      <w:r w:rsidR="0034150C" w:rsidRPr="009B18E1">
        <w:rPr>
          <w:rFonts w:eastAsiaTheme="minorEastAsia"/>
          <w:color w:val="000000" w:themeColor="text1"/>
          <w:lang w:val="en-US"/>
        </w:rPr>
        <w:t xml:space="preserve"> those where the Disabled victim, who has usually been murder</w:t>
      </w:r>
      <w:r w:rsidR="00FA14D4">
        <w:rPr>
          <w:rFonts w:eastAsiaTheme="minorEastAsia"/>
          <w:color w:val="000000" w:themeColor="text1"/>
          <w:lang w:val="en-US"/>
        </w:rPr>
        <w:t>ed</w:t>
      </w:r>
      <w:r w:rsidR="0034150C" w:rsidRPr="009B18E1">
        <w:rPr>
          <w:rFonts w:eastAsiaTheme="minorEastAsia"/>
          <w:color w:val="000000" w:themeColor="text1"/>
          <w:lang w:val="en-US"/>
        </w:rPr>
        <w:t xml:space="preserve">, is framed as a ‘burden’ to the family member(s) who killed them, using </w:t>
      </w:r>
      <w:r w:rsidR="00A6421D">
        <w:rPr>
          <w:rFonts w:eastAsiaTheme="minorEastAsia"/>
          <w:color w:val="000000" w:themeColor="text1"/>
          <w:lang w:val="en-US"/>
        </w:rPr>
        <w:t xml:space="preserve">direct or summarised </w:t>
      </w:r>
      <w:r w:rsidR="0034150C" w:rsidRPr="009B18E1">
        <w:rPr>
          <w:rFonts w:eastAsiaTheme="minorEastAsia"/>
          <w:color w:val="000000" w:themeColor="text1"/>
          <w:lang w:val="en-US"/>
        </w:rPr>
        <w:t>quotes about how ‘difficult’ they were from living relatives.</w:t>
      </w:r>
    </w:p>
    <w:p w14:paraId="0BFC714F" w14:textId="77777777" w:rsidR="00A6421D" w:rsidRDefault="00E704FF" w:rsidP="00A6421D">
      <w:pPr>
        <w:spacing w:before="240" w:after="240" w:line="360" w:lineRule="auto"/>
        <w:rPr>
          <w:rFonts w:eastAsiaTheme="minorEastAsia"/>
          <w:color w:val="000000" w:themeColor="text1"/>
          <w:lang w:val="en-US"/>
        </w:rPr>
      </w:pPr>
      <w:r>
        <w:rPr>
          <w:rFonts w:eastAsiaTheme="minorEastAsia"/>
          <w:color w:val="000000" w:themeColor="text1"/>
          <w:lang w:val="en-US"/>
        </w:rPr>
        <w:lastRenderedPageBreak/>
        <w:t xml:space="preserve">One </w:t>
      </w:r>
      <w:r w:rsidR="00A6421D">
        <w:rPr>
          <w:rFonts w:eastAsiaTheme="minorEastAsia"/>
          <w:color w:val="000000" w:themeColor="text1"/>
          <w:lang w:val="en-US"/>
        </w:rPr>
        <w:t xml:space="preserve">such </w:t>
      </w:r>
      <w:r>
        <w:rPr>
          <w:rFonts w:eastAsiaTheme="minorEastAsia"/>
          <w:color w:val="000000" w:themeColor="text1"/>
          <w:lang w:val="en-US"/>
        </w:rPr>
        <w:t>case was the murder of Glen Freaney, an autistic 11-year-old murdered by his mother</w:t>
      </w:r>
      <w:r w:rsidR="00AE5300">
        <w:rPr>
          <w:rFonts w:eastAsiaTheme="minorEastAsia"/>
          <w:color w:val="000000" w:themeColor="text1"/>
          <w:lang w:val="en-US"/>
        </w:rPr>
        <w:t>, Yvonne Freaney</w:t>
      </w:r>
      <w:r>
        <w:rPr>
          <w:rFonts w:eastAsiaTheme="minorEastAsia"/>
          <w:color w:val="000000" w:themeColor="text1"/>
          <w:lang w:val="en-US"/>
        </w:rPr>
        <w:t>, who was ultimately acquitted</w:t>
      </w:r>
      <w:r w:rsidR="00FA14D4">
        <w:rPr>
          <w:rStyle w:val="FootnoteReference"/>
          <w:rFonts w:eastAsiaTheme="minorEastAsia"/>
          <w:color w:val="000000" w:themeColor="text1"/>
          <w:lang w:val="en-US"/>
        </w:rPr>
        <w:footnoteReference w:id="43"/>
      </w:r>
      <w:r>
        <w:rPr>
          <w:rFonts w:eastAsiaTheme="minorEastAsia"/>
          <w:color w:val="000000" w:themeColor="text1"/>
          <w:lang w:val="en-US"/>
        </w:rPr>
        <w:t>.</w:t>
      </w:r>
      <w:r w:rsidR="00FC34F3">
        <w:rPr>
          <w:rFonts w:eastAsiaTheme="minorEastAsia"/>
          <w:color w:val="000000" w:themeColor="text1"/>
          <w:lang w:val="en-US"/>
        </w:rPr>
        <w:t xml:space="preserve"> </w:t>
      </w:r>
    </w:p>
    <w:p w14:paraId="0E9CD03B" w14:textId="2BF20231" w:rsidR="00E704FF" w:rsidRPr="00A6421D" w:rsidRDefault="00FC34F3" w:rsidP="00A6421D">
      <w:pPr>
        <w:spacing w:before="240" w:after="240" w:line="360" w:lineRule="auto"/>
        <w:rPr>
          <w:rFonts w:eastAsiaTheme="minorEastAsia"/>
          <w:i/>
          <w:iCs/>
          <w:color w:val="000000" w:themeColor="text1"/>
          <w:lang w:val="en-US"/>
        </w:rPr>
      </w:pPr>
      <w:r>
        <w:rPr>
          <w:rFonts w:eastAsiaTheme="minorEastAsia"/>
          <w:color w:val="000000" w:themeColor="text1"/>
          <w:lang w:val="en-US"/>
        </w:rPr>
        <w:t xml:space="preserve">Quotes </w:t>
      </w:r>
      <w:r w:rsidR="00C841DD">
        <w:rPr>
          <w:rFonts w:eastAsiaTheme="minorEastAsia"/>
          <w:color w:val="000000" w:themeColor="text1"/>
          <w:lang w:val="en-US"/>
        </w:rPr>
        <w:t xml:space="preserve">from Yvonne </w:t>
      </w:r>
      <w:r>
        <w:rPr>
          <w:rFonts w:eastAsiaTheme="minorEastAsia"/>
          <w:color w:val="000000" w:themeColor="text1"/>
          <w:lang w:val="en-US"/>
        </w:rPr>
        <w:t>emphasizing Glen’s support needs</w:t>
      </w:r>
      <w:r w:rsidR="00C841DD">
        <w:rPr>
          <w:rFonts w:eastAsiaTheme="minorEastAsia"/>
          <w:color w:val="000000" w:themeColor="text1"/>
          <w:lang w:val="en-US"/>
        </w:rPr>
        <w:t xml:space="preserve"> </w:t>
      </w:r>
      <w:r w:rsidR="00C841DD">
        <w:rPr>
          <w:rFonts w:cs="Open Sans"/>
        </w:rPr>
        <w:t>—</w:t>
      </w:r>
      <w:r>
        <w:rPr>
          <w:rFonts w:eastAsiaTheme="minorEastAsia"/>
          <w:color w:val="000000" w:themeColor="text1"/>
          <w:lang w:val="en-US"/>
        </w:rPr>
        <w:t xml:space="preserve"> including details of</w:t>
      </w:r>
      <w:r w:rsidR="00A6421D">
        <w:rPr>
          <w:rFonts w:eastAsiaTheme="minorEastAsia"/>
          <w:color w:val="000000" w:themeColor="text1"/>
          <w:lang w:val="en-US"/>
        </w:rPr>
        <w:t xml:space="preserve"> his</w:t>
      </w:r>
      <w:r>
        <w:rPr>
          <w:rFonts w:eastAsiaTheme="minorEastAsia"/>
          <w:color w:val="000000" w:themeColor="text1"/>
          <w:lang w:val="en-US"/>
        </w:rPr>
        <w:t xml:space="preserve"> intimate personal care</w:t>
      </w:r>
      <w:r w:rsidR="00A6421D">
        <w:rPr>
          <w:rFonts w:eastAsiaTheme="minorEastAsia"/>
          <w:color w:val="000000" w:themeColor="text1"/>
          <w:lang w:val="en-US"/>
        </w:rPr>
        <w:t xml:space="preserve"> needs</w:t>
      </w:r>
      <w:r w:rsidR="00C841DD">
        <w:rPr>
          <w:rFonts w:eastAsiaTheme="minorEastAsia"/>
          <w:color w:val="000000" w:themeColor="text1"/>
          <w:lang w:val="en-US"/>
        </w:rPr>
        <w:t xml:space="preserve"> </w:t>
      </w:r>
      <w:r w:rsidR="00C841DD">
        <w:rPr>
          <w:rFonts w:cs="Open Sans"/>
        </w:rPr>
        <w:t xml:space="preserve">— </w:t>
      </w:r>
      <w:r>
        <w:rPr>
          <w:rFonts w:eastAsiaTheme="minorEastAsia"/>
          <w:color w:val="000000" w:themeColor="text1"/>
          <w:lang w:val="en-US"/>
        </w:rPr>
        <w:t xml:space="preserve">and </w:t>
      </w:r>
      <w:r w:rsidR="0036529F">
        <w:rPr>
          <w:rFonts w:eastAsiaTheme="minorEastAsia"/>
          <w:color w:val="000000" w:themeColor="text1"/>
          <w:lang w:val="en-US"/>
        </w:rPr>
        <w:t xml:space="preserve">justifying his murder were included in most articles about the case. One </w:t>
      </w:r>
      <w:r w:rsidR="00A6421D">
        <w:rPr>
          <w:rFonts w:eastAsiaTheme="minorEastAsia"/>
          <w:color w:val="000000" w:themeColor="text1"/>
          <w:lang w:val="en-US"/>
        </w:rPr>
        <w:t xml:space="preserve">article </w:t>
      </w:r>
      <w:r w:rsidR="0036529F">
        <w:rPr>
          <w:rFonts w:eastAsiaTheme="minorEastAsia"/>
          <w:color w:val="000000" w:themeColor="text1"/>
          <w:lang w:val="en-US"/>
        </w:rPr>
        <w:t xml:space="preserve">even </w:t>
      </w:r>
      <w:r w:rsidR="00B7304A">
        <w:rPr>
          <w:rFonts w:eastAsiaTheme="minorEastAsia"/>
          <w:color w:val="000000" w:themeColor="text1"/>
          <w:lang w:val="en-US"/>
        </w:rPr>
        <w:t xml:space="preserve">ran with </w:t>
      </w:r>
      <w:r w:rsidR="00F9786C">
        <w:rPr>
          <w:rFonts w:eastAsiaTheme="minorEastAsia"/>
          <w:color w:val="000000" w:themeColor="text1"/>
          <w:lang w:val="en-US"/>
        </w:rPr>
        <w:t xml:space="preserve">the following quote as a part of </w:t>
      </w:r>
      <w:r w:rsidR="00B7304A">
        <w:rPr>
          <w:rFonts w:eastAsiaTheme="minorEastAsia"/>
          <w:color w:val="000000" w:themeColor="text1"/>
          <w:lang w:val="en-US"/>
        </w:rPr>
        <w:t xml:space="preserve">the </w:t>
      </w:r>
      <w:r w:rsidR="00A6421D">
        <w:rPr>
          <w:rFonts w:eastAsiaTheme="minorEastAsia"/>
          <w:color w:val="000000" w:themeColor="text1"/>
          <w:lang w:val="en-US"/>
        </w:rPr>
        <w:t>headline:</w:t>
      </w:r>
      <w:r w:rsidR="00B7304A">
        <w:rPr>
          <w:rFonts w:eastAsiaTheme="minorEastAsia"/>
          <w:color w:val="000000" w:themeColor="text1"/>
          <w:lang w:val="en-US"/>
        </w:rPr>
        <w:t xml:space="preserve"> </w:t>
      </w:r>
      <w:r w:rsidR="00B7304A">
        <w:rPr>
          <w:rFonts w:eastAsiaTheme="minorEastAsia"/>
          <w:i/>
          <w:iCs/>
          <w:color w:val="000000" w:themeColor="text1"/>
          <w:lang w:val="en-US"/>
        </w:rPr>
        <w:t>“He was laughing when I strangled him. Then I knew he was happy”</w:t>
      </w:r>
      <w:r w:rsidR="00A6421D">
        <w:rPr>
          <w:rFonts w:eastAsiaTheme="minorEastAsia"/>
          <w:i/>
          <w:iCs/>
          <w:color w:val="000000" w:themeColor="text1"/>
          <w:lang w:val="en-US"/>
        </w:rPr>
        <w:t xml:space="preserve">. </w:t>
      </w:r>
      <w:r w:rsidR="00A6421D">
        <w:rPr>
          <w:rFonts w:eastAsiaTheme="minorEastAsia"/>
          <w:color w:val="000000" w:themeColor="text1"/>
          <w:lang w:val="en-US"/>
        </w:rPr>
        <w:t xml:space="preserve">The article then went on to state </w:t>
      </w:r>
      <w:r w:rsidR="00F9786C">
        <w:rPr>
          <w:rFonts w:eastAsiaTheme="minorEastAsia"/>
          <w:color w:val="000000" w:themeColor="text1"/>
          <w:lang w:val="en-US"/>
        </w:rPr>
        <w:t xml:space="preserve">in the opening paragraph that Yvonne had murdered her son to “end his suffering”, despite </w:t>
      </w:r>
      <w:r w:rsidR="00A6421D">
        <w:rPr>
          <w:rFonts w:eastAsiaTheme="minorEastAsia"/>
          <w:color w:val="000000" w:themeColor="text1"/>
          <w:lang w:val="en-US"/>
        </w:rPr>
        <w:t>there being n</w:t>
      </w:r>
      <w:r w:rsidR="00F9786C">
        <w:rPr>
          <w:rFonts w:eastAsiaTheme="minorEastAsia"/>
          <w:color w:val="000000" w:themeColor="text1"/>
          <w:lang w:val="en-US"/>
        </w:rPr>
        <w:t>o</w:t>
      </w:r>
      <w:r w:rsidR="00A6421D">
        <w:rPr>
          <w:rFonts w:eastAsiaTheme="minorEastAsia"/>
          <w:color w:val="000000" w:themeColor="text1"/>
          <w:lang w:val="en-US"/>
        </w:rPr>
        <w:t xml:space="preserve"> further</w:t>
      </w:r>
      <w:r w:rsidR="005234C1">
        <w:rPr>
          <w:rFonts w:eastAsiaTheme="minorEastAsia"/>
          <w:color w:val="000000" w:themeColor="text1"/>
          <w:lang w:val="en-US"/>
        </w:rPr>
        <w:t xml:space="preserve"> information in the</w:t>
      </w:r>
      <w:r w:rsidR="00F9786C">
        <w:rPr>
          <w:rFonts w:eastAsiaTheme="minorEastAsia"/>
          <w:color w:val="000000" w:themeColor="text1"/>
          <w:lang w:val="en-US"/>
        </w:rPr>
        <w:t xml:space="preserve"> article suggesting that Glen was suffering</w:t>
      </w:r>
      <w:r w:rsidR="00110C51">
        <w:rPr>
          <w:rFonts w:eastAsiaTheme="minorEastAsia"/>
          <w:color w:val="000000" w:themeColor="text1"/>
          <w:lang w:val="en-US"/>
        </w:rPr>
        <w:t xml:space="preserve">, other than reporting on his </w:t>
      </w:r>
      <w:r w:rsidR="0000409D">
        <w:rPr>
          <w:rFonts w:eastAsiaTheme="minorEastAsia"/>
          <w:color w:val="000000" w:themeColor="text1"/>
          <w:lang w:val="en-US"/>
        </w:rPr>
        <w:t>disability</w:t>
      </w:r>
      <w:r w:rsidR="00F9786C">
        <w:rPr>
          <w:rFonts w:eastAsiaTheme="minorEastAsia"/>
          <w:color w:val="000000" w:themeColor="text1"/>
          <w:lang w:val="en-US"/>
        </w:rPr>
        <w:t>.</w:t>
      </w:r>
      <w:r w:rsidR="00A00CD3">
        <w:rPr>
          <w:rFonts w:eastAsiaTheme="minorEastAsia"/>
          <w:color w:val="000000" w:themeColor="text1"/>
          <w:lang w:val="en-US"/>
        </w:rPr>
        <w:t xml:space="preserve"> </w:t>
      </w:r>
      <w:r w:rsidR="0000409D">
        <w:rPr>
          <w:rFonts w:eastAsiaTheme="minorEastAsia"/>
          <w:color w:val="000000" w:themeColor="text1"/>
          <w:lang w:val="en-US"/>
        </w:rPr>
        <w:t xml:space="preserve">The implication is that Disabled people are ‘suffering’ from their conditions and/or impairments </w:t>
      </w:r>
      <w:r w:rsidR="00A6421D">
        <w:rPr>
          <w:rFonts w:eastAsiaTheme="minorEastAsia"/>
          <w:color w:val="000000" w:themeColor="text1"/>
          <w:lang w:val="en-US"/>
        </w:rPr>
        <w:t>and this becomes tied up with the concept of ‘being put out of their misery’, even with no evidence that the individual felt this way.</w:t>
      </w:r>
    </w:p>
    <w:p w14:paraId="52623CBF" w14:textId="77777777" w:rsidR="00C43FF5" w:rsidRPr="00C43FF5" w:rsidRDefault="00C43FF5" w:rsidP="00A6421D">
      <w:pPr>
        <w:spacing w:before="240" w:after="240" w:line="360" w:lineRule="auto"/>
      </w:pPr>
    </w:p>
    <w:p w14:paraId="2943DECE" w14:textId="77777777" w:rsidR="00C43FF5" w:rsidRDefault="00C43FF5" w:rsidP="00A6421D">
      <w:pPr>
        <w:pStyle w:val="Heading4"/>
        <w:spacing w:before="240" w:after="240" w:line="360" w:lineRule="auto"/>
      </w:pPr>
      <w:r>
        <w:t>Why it matters</w:t>
      </w:r>
    </w:p>
    <w:p w14:paraId="7460C71F" w14:textId="03220991" w:rsidR="00C43FF5" w:rsidRDefault="00074FC5" w:rsidP="00A6421D">
      <w:pPr>
        <w:spacing w:before="240" w:after="240" w:line="360" w:lineRule="auto"/>
      </w:pPr>
      <w:r>
        <w:t xml:space="preserve">While the content of the quotes will vary, and </w:t>
      </w:r>
      <w:r w:rsidR="00A77A1A">
        <w:t>we will discuss these</w:t>
      </w:r>
      <w:r>
        <w:t xml:space="preserve"> in other places throughout this report, quotes have a certain power </w:t>
      </w:r>
      <w:r w:rsidR="003E0700">
        <w:t xml:space="preserve">to them that makes decisions about their inclusion </w:t>
      </w:r>
      <w:r w:rsidR="005F3B6F">
        <w:t>even more</w:t>
      </w:r>
      <w:r w:rsidR="003E0700">
        <w:t xml:space="preserve"> important.</w:t>
      </w:r>
      <w:r w:rsidR="00644C33">
        <w:t xml:space="preserve"> As summarised </w:t>
      </w:r>
      <w:r w:rsidR="00644C33">
        <w:lastRenderedPageBreak/>
        <w:t>by van Krieken (2019), journalists are encouraged to include quotes because of their value in improving engagement and credibility</w:t>
      </w:r>
      <w:r w:rsidR="00644C33">
        <w:rPr>
          <w:rStyle w:val="FootnoteReference"/>
        </w:rPr>
        <w:footnoteReference w:id="44"/>
      </w:r>
      <w:r w:rsidR="00644C33">
        <w:t>.</w:t>
      </w:r>
    </w:p>
    <w:p w14:paraId="5725D830" w14:textId="0AF75A91" w:rsidR="00A63064" w:rsidRDefault="00644C33" w:rsidP="00A6421D">
      <w:pPr>
        <w:spacing w:before="240" w:after="240" w:line="360" w:lineRule="auto"/>
      </w:pPr>
      <w:r>
        <w:t xml:space="preserve">So, when these direct quotes are weighted more </w:t>
      </w:r>
      <w:r w:rsidR="00D56968">
        <w:t>towards perpetrating</w:t>
      </w:r>
      <w:r w:rsidR="00C1332F">
        <w:t xml:space="preserve"> </w:t>
      </w:r>
      <w:r w:rsidR="00AE5300">
        <w:t xml:space="preserve">disablist concepts and ideas, and less </w:t>
      </w:r>
      <w:r w:rsidR="00C1332F">
        <w:t>towards</w:t>
      </w:r>
      <w:r w:rsidR="00AE5300">
        <w:t xml:space="preserve"> providing information, their inclusion will engage people at the expense of Disabled people. </w:t>
      </w:r>
      <w:r w:rsidR="00D56968">
        <w:t>Too</w:t>
      </w:r>
      <w:r w:rsidR="00FF49C9">
        <w:t xml:space="preserve"> often, Disabled people will have heard similar sentiments </w:t>
      </w:r>
      <w:r w:rsidR="00AE5300">
        <w:t xml:space="preserve">to those quoted in </w:t>
      </w:r>
      <w:r w:rsidR="00D56968">
        <w:t xml:space="preserve">those </w:t>
      </w:r>
      <w:r w:rsidR="00AE5300">
        <w:t xml:space="preserve">articles </w:t>
      </w:r>
      <w:r w:rsidR="00FF49C9">
        <w:t>from people in their own lives.</w:t>
      </w:r>
      <w:r w:rsidR="00AE5300">
        <w:t xml:space="preserve"> </w:t>
      </w:r>
    </w:p>
    <w:p w14:paraId="19D95F4B" w14:textId="1064C5F4" w:rsidR="005234C1" w:rsidRDefault="005234C1" w:rsidP="00A6421D">
      <w:pPr>
        <w:spacing w:before="240" w:after="240" w:line="360" w:lineRule="auto"/>
      </w:pPr>
      <w:r>
        <w:t xml:space="preserve">The direct quotes </w:t>
      </w:r>
      <w:r w:rsidR="00C1332F">
        <w:t>might</w:t>
      </w:r>
      <w:r>
        <w:t xml:space="preserve"> also alter the entire tone and interpretation of an article, such as </w:t>
      </w:r>
      <w:r w:rsidR="00C1332F">
        <w:t>with Glen</w:t>
      </w:r>
      <w:r>
        <w:t xml:space="preserve"> Freaney above. No information given, nor any quotes from anyone other than Yvonne, suggested that Glen suffered living his life as a Disabled child. </w:t>
      </w:r>
      <w:r w:rsidR="00C13B60">
        <w:t>Societal b</w:t>
      </w:r>
      <w:r>
        <w:t xml:space="preserve">arriers and the need for </w:t>
      </w:r>
      <w:r w:rsidR="009C2550">
        <w:t>lifelong</w:t>
      </w:r>
      <w:r>
        <w:t xml:space="preserve"> support were included, but no evidence of suffering</w:t>
      </w:r>
      <w:r w:rsidR="00B14F0C">
        <w:t xml:space="preserve">. In fact, </w:t>
      </w:r>
      <w:r w:rsidR="00AE779E">
        <w:t xml:space="preserve">information from </w:t>
      </w:r>
      <w:r w:rsidR="00FF6D01">
        <w:t>the rest of his family and</w:t>
      </w:r>
      <w:r w:rsidR="00AE779E">
        <w:t xml:space="preserve"> s</w:t>
      </w:r>
      <w:r w:rsidR="00FF6D01">
        <w:t>chool</w:t>
      </w:r>
      <w:r w:rsidR="00AE779E">
        <w:t xml:space="preserve"> staff suggested the opposite</w:t>
      </w:r>
      <w:r w:rsidR="00AF2ADD">
        <w:t>, that Glen lived a happy life</w:t>
      </w:r>
      <w:r>
        <w:t>. However, because the article opens with th</w:t>
      </w:r>
      <w:r w:rsidR="002C0F40">
        <w:t>at quote from his mother, the point is framed as true, even without evidence.</w:t>
      </w:r>
    </w:p>
    <w:p w14:paraId="1591074E" w14:textId="77777777" w:rsidR="00FF49C9" w:rsidRDefault="00FF49C9" w:rsidP="00A6421D">
      <w:pPr>
        <w:spacing w:before="240" w:after="240" w:line="360" w:lineRule="auto"/>
      </w:pPr>
    </w:p>
    <w:p w14:paraId="2DCF48B5" w14:textId="02D2BF8F" w:rsidR="009B18E1" w:rsidRDefault="009B18E1" w:rsidP="00A6421D">
      <w:pPr>
        <w:pStyle w:val="Heading4"/>
        <w:spacing w:before="240" w:after="240" w:line="360" w:lineRule="auto"/>
      </w:pPr>
      <w:r>
        <w:t xml:space="preserve">What could </w:t>
      </w:r>
      <w:r w:rsidR="00484B5E">
        <w:t>journalists do</w:t>
      </w:r>
      <w:r>
        <w:t xml:space="preserve"> </w:t>
      </w:r>
      <w:r w:rsidR="00990B09">
        <w:t>instead?</w:t>
      </w:r>
    </w:p>
    <w:p w14:paraId="66FF5290" w14:textId="5DCBE66C" w:rsidR="00006675" w:rsidRDefault="00AF2ADD" w:rsidP="00A6421D">
      <w:pPr>
        <w:spacing w:before="240" w:after="240" w:line="360" w:lineRule="auto"/>
      </w:pPr>
      <w:r>
        <w:t>Decisions</w:t>
      </w:r>
      <w:r w:rsidR="00006675">
        <w:t xml:space="preserve"> about which quotes to use should be considered in the context of what they add to the article. </w:t>
      </w:r>
      <w:r w:rsidR="00AF2264">
        <w:t xml:space="preserve">If the quote demeans, dehumanises, or </w:t>
      </w:r>
      <w:r w:rsidR="00CF1710">
        <w:t>‘</w:t>
      </w:r>
      <w:r w:rsidR="00AF2264">
        <w:t>others</w:t>
      </w:r>
      <w:r w:rsidR="00CF1710">
        <w:t>’</w:t>
      </w:r>
      <w:r w:rsidR="00AF2264">
        <w:t xml:space="preserve"> the Disabled person it is</w:t>
      </w:r>
      <w:r w:rsidR="005E64A5">
        <w:t xml:space="preserve"> written</w:t>
      </w:r>
      <w:r w:rsidR="00AF2264">
        <w:t xml:space="preserve"> about, and adds very little or nothing in the </w:t>
      </w:r>
      <w:r w:rsidR="00AF2264">
        <w:lastRenderedPageBreak/>
        <w:t xml:space="preserve">way of information, then its inclusion only really serves to </w:t>
      </w:r>
      <w:r w:rsidR="00641099">
        <w:t>reinforce</w:t>
      </w:r>
      <w:r w:rsidR="0043554E">
        <w:t xml:space="preserve"> disablism.</w:t>
      </w:r>
    </w:p>
    <w:p w14:paraId="1F0F38D5" w14:textId="712DEF3E" w:rsidR="00214F3F" w:rsidRDefault="00AF2ADD" w:rsidP="00A6421D">
      <w:pPr>
        <w:spacing w:before="240" w:after="240" w:line="360" w:lineRule="auto"/>
      </w:pPr>
      <w:r>
        <w:t>Sometimes</w:t>
      </w:r>
      <w:r w:rsidR="006A2638">
        <w:t xml:space="preserve"> the quotes, if used</w:t>
      </w:r>
      <w:r w:rsidR="00263DE2">
        <w:t xml:space="preserve">, </w:t>
      </w:r>
      <w:r w:rsidR="006A2638">
        <w:t>c</w:t>
      </w:r>
      <w:r w:rsidR="00040322">
        <w:t xml:space="preserve">ould be included alongside </w:t>
      </w:r>
      <w:r w:rsidR="006A2638">
        <w:t xml:space="preserve">an </w:t>
      </w:r>
      <w:r w:rsidR="00226B5E">
        <w:t>opposing perspective or</w:t>
      </w:r>
      <w:r w:rsidR="00040322">
        <w:t xml:space="preserve"> rebuttal</w:t>
      </w:r>
      <w:r w:rsidR="00C13B77">
        <w:t xml:space="preserve">. For example, in one article’s write-up of the rape committed by </w:t>
      </w:r>
      <w:r w:rsidR="005350F4">
        <w:t>I</w:t>
      </w:r>
      <w:r w:rsidR="00C13B77">
        <w:t xml:space="preserve">lie </w:t>
      </w:r>
      <w:r w:rsidR="00DB5BC1">
        <w:t>Ciubortaru</w:t>
      </w:r>
      <w:r w:rsidR="00226B5E">
        <w:t xml:space="preserve"> against a man in his 50s with a learning disability</w:t>
      </w:r>
      <w:r w:rsidR="00395413">
        <w:t>, the defense lawyer stated in his mitigation</w:t>
      </w:r>
      <w:r w:rsidR="007E69DF">
        <w:t>,</w:t>
      </w:r>
      <w:r w:rsidR="00395413">
        <w:t xml:space="preserve"> </w:t>
      </w:r>
      <w:r w:rsidR="00395413" w:rsidRPr="007E69DF">
        <w:rPr>
          <w:i/>
          <w:iCs/>
        </w:rPr>
        <w:t>“</w:t>
      </w:r>
      <w:r w:rsidR="007E69DF" w:rsidRPr="007E69DF">
        <w:rPr>
          <w:i/>
          <w:iCs/>
        </w:rPr>
        <w:t>While the victim is particularly vulnerable and that does make the offence worse, it is quite clear it appears from the record that it has not impacted on him as much as it would on someone without his vulnerabilities</w:t>
      </w:r>
      <w:r w:rsidR="008C7DC7">
        <w:rPr>
          <w:i/>
          <w:iCs/>
        </w:rPr>
        <w:t>.</w:t>
      </w:r>
      <w:r w:rsidR="007E69DF" w:rsidRPr="007E69DF">
        <w:rPr>
          <w:i/>
          <w:iCs/>
        </w:rPr>
        <w:t>”</w:t>
      </w:r>
      <w:r w:rsidR="007E69DF">
        <w:t xml:space="preserve"> </w:t>
      </w:r>
      <w:r w:rsidR="008C7DC7">
        <w:t xml:space="preserve">Alongside this quote was a summary of </w:t>
      </w:r>
      <w:r w:rsidR="007E69DF">
        <w:t>the judge’s response</w:t>
      </w:r>
      <w:r w:rsidR="008C7DC7">
        <w:t>,</w:t>
      </w:r>
      <w:r w:rsidR="00A36333">
        <w:t xml:space="preserve"> dismiss</w:t>
      </w:r>
      <w:r w:rsidR="008C7DC7">
        <w:t>ing</w:t>
      </w:r>
      <w:r w:rsidR="00A36333">
        <w:t xml:space="preserve"> the efforts to mitigate and describ</w:t>
      </w:r>
      <w:r w:rsidR="00DB41F9">
        <w:t>ing</w:t>
      </w:r>
      <w:r w:rsidR="00A36333">
        <w:t xml:space="preserve"> the</w:t>
      </w:r>
      <w:r w:rsidR="00347474">
        <w:t xml:space="preserve"> attempt to use such an argument </w:t>
      </w:r>
      <w:r>
        <w:t xml:space="preserve">in starkly </w:t>
      </w:r>
      <w:r w:rsidR="00347474">
        <w:t>unfavourabl</w:t>
      </w:r>
      <w:r>
        <w:t>e terms</w:t>
      </w:r>
      <w:r w:rsidR="007C4CA1">
        <w:rPr>
          <w:rStyle w:val="FootnoteReference"/>
        </w:rPr>
        <w:footnoteReference w:id="45"/>
      </w:r>
      <w:r w:rsidR="00347474">
        <w:t xml:space="preserve">. </w:t>
      </w:r>
    </w:p>
    <w:p w14:paraId="5CA5FE12" w14:textId="0C6F8C8E" w:rsidR="00357DCE" w:rsidRPr="00DB41F9" w:rsidRDefault="00214F3F" w:rsidP="00A6421D">
      <w:pPr>
        <w:spacing w:before="240" w:after="240" w:line="360" w:lineRule="auto"/>
      </w:pPr>
      <w:r>
        <w:t>In doing this,</w:t>
      </w:r>
      <w:r w:rsidR="00347474">
        <w:t xml:space="preserve"> the author of the piece did not put forward their </w:t>
      </w:r>
      <w:r>
        <w:t xml:space="preserve">own </w:t>
      </w:r>
      <w:r w:rsidR="00347474">
        <w:t xml:space="preserve">opinion, </w:t>
      </w:r>
      <w:r>
        <w:t xml:space="preserve">but </w:t>
      </w:r>
      <w:r w:rsidR="00347474">
        <w:t>they frame</w:t>
      </w:r>
      <w:r w:rsidR="006A2638">
        <w:t>d</w:t>
      </w:r>
      <w:r w:rsidR="00347474">
        <w:t xml:space="preserve"> the profoundly disablist suggestion that a Disabled man was less impacted by his rape than a non-Disabled person would be</w:t>
      </w:r>
      <w:r w:rsidR="006A2638">
        <w:t xml:space="preserve">, against a rebuttal in another quote which </w:t>
      </w:r>
      <w:r w:rsidR="00AF2ADD">
        <w:t>highlighted</w:t>
      </w:r>
      <w:r w:rsidR="006A2638">
        <w:t xml:space="preserve"> the offensiveness of the quote.</w:t>
      </w:r>
    </w:p>
    <w:p w14:paraId="70A954EF" w14:textId="77777777" w:rsidR="00270665" w:rsidRDefault="00270665" w:rsidP="00A6421D">
      <w:pPr>
        <w:pStyle w:val="Heading3"/>
        <w:spacing w:before="240" w:after="240" w:line="360" w:lineRule="auto"/>
        <w:rPr>
          <w:rFonts w:cs="Open Sans"/>
        </w:rPr>
      </w:pPr>
    </w:p>
    <w:p w14:paraId="2165DCE1" w14:textId="13FF4567" w:rsidR="006F3B4C" w:rsidRDefault="006F3B4C" w:rsidP="00A6421D">
      <w:pPr>
        <w:pStyle w:val="Heading3"/>
        <w:spacing w:before="240" w:after="240" w:line="360" w:lineRule="auto"/>
        <w:rPr>
          <w:rFonts w:cs="Open Sans"/>
        </w:rPr>
      </w:pPr>
      <w:bookmarkStart w:id="29" w:name="_Toc120713476"/>
      <w:r w:rsidRPr="00D06C62">
        <w:rPr>
          <w:rFonts w:cs="Open Sans"/>
        </w:rPr>
        <w:t xml:space="preserve">Outright </w:t>
      </w:r>
      <w:r w:rsidR="00661A54">
        <w:rPr>
          <w:rFonts w:cs="Open Sans"/>
        </w:rPr>
        <w:t>dis</w:t>
      </w:r>
      <w:r w:rsidR="00661A54" w:rsidRPr="00D06C62">
        <w:rPr>
          <w:rFonts w:cs="Open Sans"/>
        </w:rPr>
        <w:t>ablist</w:t>
      </w:r>
      <w:r w:rsidRPr="00D06C62">
        <w:rPr>
          <w:rFonts w:cs="Open Sans"/>
        </w:rPr>
        <w:t xml:space="preserve"> </w:t>
      </w:r>
      <w:r w:rsidR="00661A54">
        <w:rPr>
          <w:rFonts w:cs="Open Sans"/>
        </w:rPr>
        <w:t>language and insults</w:t>
      </w:r>
      <w:bookmarkEnd w:id="29"/>
    </w:p>
    <w:p w14:paraId="76939A2A" w14:textId="77777777" w:rsidR="00C43FF5" w:rsidRDefault="00C43FF5" w:rsidP="00A6421D">
      <w:pPr>
        <w:pStyle w:val="Heading4"/>
        <w:spacing w:before="240" w:after="240" w:line="360" w:lineRule="auto"/>
      </w:pPr>
      <w:r>
        <w:t>Overview</w:t>
      </w:r>
    </w:p>
    <w:p w14:paraId="2638086C" w14:textId="5EFAF645" w:rsidR="00207746" w:rsidRDefault="00242B4C" w:rsidP="00A6421D">
      <w:pPr>
        <w:spacing w:before="240" w:after="240" w:line="360" w:lineRule="auto"/>
        <w:rPr>
          <w:rFonts w:cs="Open Sans"/>
        </w:rPr>
      </w:pPr>
      <w:r w:rsidRPr="00D06C62">
        <w:rPr>
          <w:rFonts w:cs="Open Sans"/>
        </w:rPr>
        <w:t>Some news articles</w:t>
      </w:r>
      <w:r>
        <w:rPr>
          <w:rFonts w:cs="Open Sans"/>
        </w:rPr>
        <w:t>, though mercifully fewer as the years went on,</w:t>
      </w:r>
      <w:r w:rsidRPr="00D06C62">
        <w:rPr>
          <w:rFonts w:cs="Open Sans"/>
        </w:rPr>
        <w:t xml:space="preserve"> were</w:t>
      </w:r>
      <w:r>
        <w:rPr>
          <w:rFonts w:cs="Open Sans"/>
        </w:rPr>
        <w:t xml:space="preserve"> </w:t>
      </w:r>
      <w:r w:rsidRPr="00D06C62">
        <w:rPr>
          <w:rFonts w:cs="Open Sans"/>
        </w:rPr>
        <w:t>n</w:t>
      </w:r>
      <w:r>
        <w:rPr>
          <w:rFonts w:cs="Open Sans"/>
        </w:rPr>
        <w:t>o</w:t>
      </w:r>
      <w:r w:rsidRPr="00D06C62">
        <w:rPr>
          <w:rFonts w:cs="Open Sans"/>
        </w:rPr>
        <w:t>t subtle in the language choices</w:t>
      </w:r>
      <w:r>
        <w:rPr>
          <w:rFonts w:cs="Open Sans"/>
        </w:rPr>
        <w:t xml:space="preserve"> used in their articles</w:t>
      </w:r>
      <w:r w:rsidR="00207746">
        <w:rPr>
          <w:rFonts w:cs="Open Sans"/>
        </w:rPr>
        <w:t xml:space="preserve"> and</w:t>
      </w:r>
      <w:r w:rsidR="00AF2ADD">
        <w:rPr>
          <w:rFonts w:cs="Open Sans"/>
        </w:rPr>
        <w:t xml:space="preserve"> </w:t>
      </w:r>
      <w:r w:rsidR="00207746">
        <w:rPr>
          <w:rFonts w:cs="Open Sans"/>
        </w:rPr>
        <w:t xml:space="preserve">included words commonly known to be disablist </w:t>
      </w:r>
      <w:r w:rsidR="00F737B8">
        <w:rPr>
          <w:rFonts w:cs="Open Sans"/>
        </w:rPr>
        <w:t>insults</w:t>
      </w:r>
      <w:r w:rsidR="00F35CC1">
        <w:rPr>
          <w:rStyle w:val="FootnoteReference"/>
          <w:rFonts w:cs="Open Sans"/>
        </w:rPr>
        <w:footnoteReference w:id="46"/>
      </w:r>
      <w:r>
        <w:rPr>
          <w:rFonts w:cs="Open Sans"/>
        </w:rPr>
        <w:t xml:space="preserve">. </w:t>
      </w:r>
    </w:p>
    <w:p w14:paraId="491F57FA" w14:textId="4AE62F1D" w:rsidR="00F737B8" w:rsidRDefault="00F737B8" w:rsidP="00A6421D">
      <w:pPr>
        <w:spacing w:before="240" w:after="240" w:line="360" w:lineRule="auto"/>
        <w:rPr>
          <w:rFonts w:cs="Open Sans"/>
        </w:rPr>
      </w:pPr>
      <w:r>
        <w:rPr>
          <w:rFonts w:cs="Open Sans"/>
        </w:rPr>
        <w:t xml:space="preserve">Other language choices may not have fallen into the category of outright </w:t>
      </w:r>
      <w:r w:rsidR="00AF2ADD">
        <w:rPr>
          <w:rFonts w:cs="Open Sans"/>
        </w:rPr>
        <w:t>insults,</w:t>
      </w:r>
      <w:r w:rsidR="00A96D6F">
        <w:rPr>
          <w:rFonts w:cs="Open Sans"/>
        </w:rPr>
        <w:t xml:space="preserve"> but</w:t>
      </w:r>
      <w:r>
        <w:rPr>
          <w:rFonts w:cs="Open Sans"/>
        </w:rPr>
        <w:t xml:space="preserve"> were certainly words rejected by the wider Disabled community as </w:t>
      </w:r>
      <w:r w:rsidR="00B21B87">
        <w:rPr>
          <w:rFonts w:cs="Open Sans"/>
        </w:rPr>
        <w:t>disablist</w:t>
      </w:r>
      <w:r w:rsidR="00F35CC1">
        <w:rPr>
          <w:rFonts w:cs="Open Sans"/>
        </w:rPr>
        <w:t>, such as ‘wheelchair bound’ or ‘special needs’</w:t>
      </w:r>
      <w:r w:rsidR="00B21B87">
        <w:rPr>
          <w:rFonts w:cs="Open Sans"/>
        </w:rPr>
        <w:t>.</w:t>
      </w:r>
    </w:p>
    <w:p w14:paraId="28D481C9" w14:textId="77777777" w:rsidR="00242B4C" w:rsidRPr="00C43FF5" w:rsidRDefault="00242B4C" w:rsidP="00A6421D">
      <w:pPr>
        <w:spacing w:before="240" w:after="240" w:line="360" w:lineRule="auto"/>
      </w:pPr>
    </w:p>
    <w:p w14:paraId="4329D408" w14:textId="77777777" w:rsidR="00C43FF5" w:rsidRDefault="00C43FF5" w:rsidP="00A6421D">
      <w:pPr>
        <w:pStyle w:val="Heading4"/>
        <w:spacing w:before="240" w:after="240" w:line="360" w:lineRule="auto"/>
      </w:pPr>
      <w:r>
        <w:t>Examples</w:t>
      </w:r>
    </w:p>
    <w:p w14:paraId="3B25105F" w14:textId="2A170A04" w:rsidR="00B21B87" w:rsidRDefault="00B21B87" w:rsidP="00A6421D">
      <w:pPr>
        <w:pStyle w:val="Content"/>
        <w:rPr>
          <w:rFonts w:cs="Open Sans"/>
        </w:rPr>
      </w:pPr>
      <w:r w:rsidRPr="00D06C62">
        <w:rPr>
          <w:rFonts w:cs="Open Sans"/>
        </w:rPr>
        <w:t xml:space="preserve">In </w:t>
      </w:r>
      <w:r w:rsidR="00C351E0">
        <w:rPr>
          <w:rFonts w:cs="Open Sans"/>
        </w:rPr>
        <w:t xml:space="preserve">multiple write-ups of </w:t>
      </w:r>
      <w:r w:rsidR="00683718">
        <w:rPr>
          <w:rFonts w:cs="Open Sans"/>
        </w:rPr>
        <w:t xml:space="preserve">the murder of Michael Mairs by Daniel Sharples, there were examples of disablist language </w:t>
      </w:r>
      <w:r w:rsidR="00AF2ADD">
        <w:rPr>
          <w:rFonts w:cs="Open Sans"/>
        </w:rPr>
        <w:t>in describing</w:t>
      </w:r>
      <w:r w:rsidR="00683718">
        <w:rPr>
          <w:rFonts w:cs="Open Sans"/>
        </w:rPr>
        <w:t xml:space="preserve"> both Michael and Daniel. Michael was described in </w:t>
      </w:r>
      <w:r w:rsidR="00AE03BB">
        <w:rPr>
          <w:rFonts w:cs="Open Sans"/>
        </w:rPr>
        <w:t>some</w:t>
      </w:r>
      <w:r w:rsidR="00683718">
        <w:rPr>
          <w:rFonts w:cs="Open Sans"/>
        </w:rPr>
        <w:t xml:space="preserve"> articles as </w:t>
      </w:r>
      <w:r w:rsidR="00AE03BB">
        <w:rPr>
          <w:rFonts w:cs="Open Sans"/>
        </w:rPr>
        <w:t xml:space="preserve">“helpless and </w:t>
      </w:r>
      <w:r w:rsidR="00683718">
        <w:rPr>
          <w:rFonts w:cs="Open Sans"/>
        </w:rPr>
        <w:t>wheelchair bound</w:t>
      </w:r>
      <w:r w:rsidR="00AE03BB">
        <w:rPr>
          <w:rFonts w:cs="Open Sans"/>
        </w:rPr>
        <w:t>”</w:t>
      </w:r>
      <w:r w:rsidR="00C74425">
        <w:rPr>
          <w:rStyle w:val="FootnoteReference"/>
          <w:rFonts w:cs="Open Sans"/>
        </w:rPr>
        <w:footnoteReference w:id="47"/>
      </w:r>
      <w:r w:rsidR="00683718">
        <w:rPr>
          <w:rFonts w:cs="Open Sans"/>
        </w:rPr>
        <w:t xml:space="preserve">, </w:t>
      </w:r>
      <w:r w:rsidR="008B0E17">
        <w:rPr>
          <w:rFonts w:cs="Open Sans"/>
        </w:rPr>
        <w:t>while Daniel was described as a “lunatic” and a “nutcase”</w:t>
      </w:r>
      <w:r w:rsidR="008B0E17">
        <w:rPr>
          <w:rStyle w:val="FootnoteReference"/>
          <w:rFonts w:cs="Open Sans"/>
        </w:rPr>
        <w:footnoteReference w:id="48"/>
      </w:r>
      <w:r w:rsidR="008B0E17">
        <w:rPr>
          <w:rFonts w:cs="Open Sans"/>
        </w:rPr>
        <w:t>. Both lunatic and nutcase are disablist insults commonly aimed at people with mental distress and trauma.</w:t>
      </w:r>
    </w:p>
    <w:p w14:paraId="60B8519D" w14:textId="0C44C0FA" w:rsidR="00B21B87" w:rsidRPr="00D06C62" w:rsidRDefault="00B21B87" w:rsidP="00A6421D">
      <w:pPr>
        <w:pStyle w:val="Content"/>
        <w:rPr>
          <w:rFonts w:cs="Open Sans"/>
        </w:rPr>
      </w:pPr>
      <w:r>
        <w:rPr>
          <w:rFonts w:cs="Open Sans"/>
        </w:rPr>
        <w:lastRenderedPageBreak/>
        <w:t xml:space="preserve">In </w:t>
      </w:r>
      <w:r w:rsidR="00945B3E">
        <w:rPr>
          <w:rFonts w:cs="Open Sans"/>
        </w:rPr>
        <w:t xml:space="preserve">an article written about </w:t>
      </w:r>
      <w:r w:rsidR="00C67C84">
        <w:rPr>
          <w:rFonts w:cs="Open Sans"/>
        </w:rPr>
        <w:t>Carolyn Hyatt’s murder</w:t>
      </w:r>
      <w:r w:rsidR="00945B3E">
        <w:rPr>
          <w:rFonts w:cs="Open Sans"/>
        </w:rPr>
        <w:t xml:space="preserve">, she was described as </w:t>
      </w:r>
      <w:r w:rsidR="00C67C84">
        <w:rPr>
          <w:rFonts w:cs="Open Sans"/>
        </w:rPr>
        <w:t>David</w:t>
      </w:r>
      <w:r w:rsidR="00FB2D8B">
        <w:rPr>
          <w:rFonts w:cs="Open Sans"/>
        </w:rPr>
        <w:t xml:space="preserve"> Dunstan’s</w:t>
      </w:r>
      <w:r w:rsidR="00945B3E">
        <w:rPr>
          <w:rFonts w:cs="Open Sans"/>
        </w:rPr>
        <w:t xml:space="preserve"> “special needs girlfriend”</w:t>
      </w:r>
      <w:r w:rsidR="007B0167">
        <w:rPr>
          <w:rStyle w:val="FootnoteReference"/>
          <w:rFonts w:cs="Open Sans"/>
        </w:rPr>
        <w:footnoteReference w:id="49"/>
      </w:r>
      <w:r w:rsidR="00945B3E">
        <w:rPr>
          <w:rFonts w:cs="Open Sans"/>
        </w:rPr>
        <w:t>. The Disabled community have frequently discussed how this phrase is already an issue within the education system, but that its use outside of education is even worse</w:t>
      </w:r>
      <w:r w:rsidR="00A7431D">
        <w:rPr>
          <w:rStyle w:val="FootnoteReference"/>
          <w:rFonts w:cs="Open Sans"/>
        </w:rPr>
        <w:footnoteReference w:id="50"/>
      </w:r>
      <w:r w:rsidR="00A7431D">
        <w:rPr>
          <w:rFonts w:cs="Open Sans"/>
        </w:rPr>
        <w:t>.</w:t>
      </w:r>
      <w:r w:rsidR="00945B3E">
        <w:rPr>
          <w:rFonts w:cs="Open Sans"/>
        </w:rPr>
        <w:t xml:space="preserve"> A person is not “special needs”</w:t>
      </w:r>
      <w:r w:rsidR="0091571F">
        <w:rPr>
          <w:rFonts w:cs="Open Sans"/>
        </w:rPr>
        <w:t>. In an ideal world, the use of this phrase would be phased out even from writing about education, but at the very least, it</w:t>
      </w:r>
      <w:r w:rsidR="0034738B">
        <w:rPr>
          <w:rFonts w:cs="Open Sans"/>
        </w:rPr>
        <w:t xml:space="preserve"> should not be used in articles not pertaining to education</w:t>
      </w:r>
      <w:r w:rsidR="0091571F">
        <w:rPr>
          <w:rFonts w:cs="Open Sans"/>
        </w:rPr>
        <w:t>.</w:t>
      </w:r>
    </w:p>
    <w:p w14:paraId="36B82042" w14:textId="77777777" w:rsidR="00C43FF5" w:rsidRPr="00C43FF5" w:rsidRDefault="00C43FF5" w:rsidP="00A6421D">
      <w:pPr>
        <w:spacing w:before="240" w:after="240" w:line="360" w:lineRule="auto"/>
      </w:pPr>
    </w:p>
    <w:p w14:paraId="50BA464A" w14:textId="77777777" w:rsidR="00C43FF5" w:rsidRDefault="00C43FF5" w:rsidP="00A6421D">
      <w:pPr>
        <w:pStyle w:val="Heading4"/>
        <w:spacing w:before="240" w:after="240" w:line="360" w:lineRule="auto"/>
      </w:pPr>
      <w:r>
        <w:t>Why it matters</w:t>
      </w:r>
    </w:p>
    <w:p w14:paraId="4E14EEDF" w14:textId="415D613A" w:rsidR="00B21B87" w:rsidRDefault="00FB2D8B" w:rsidP="00A6421D">
      <w:pPr>
        <w:pStyle w:val="Content"/>
        <w:rPr>
          <w:rFonts w:cs="Open Sans"/>
        </w:rPr>
      </w:pPr>
      <w:r>
        <w:rPr>
          <w:rFonts w:cs="Open Sans"/>
        </w:rPr>
        <w:t xml:space="preserve">Many of the outright disablist language includes </w:t>
      </w:r>
      <w:r w:rsidR="00B21B87" w:rsidRPr="00D06C62">
        <w:rPr>
          <w:rFonts w:cs="Open Sans"/>
        </w:rPr>
        <w:t xml:space="preserve">words commonly used </w:t>
      </w:r>
      <w:r>
        <w:rPr>
          <w:rFonts w:cs="Open Sans"/>
        </w:rPr>
        <w:t>in relation to</w:t>
      </w:r>
      <w:r w:rsidR="00B21B87" w:rsidRPr="00D06C62">
        <w:rPr>
          <w:rFonts w:cs="Open Sans"/>
        </w:rPr>
        <w:t xml:space="preserve"> people who have mental distress or trauma, or mental health</w:t>
      </w:r>
      <w:r w:rsidR="00B21B87">
        <w:rPr>
          <w:rFonts w:cs="Open Sans"/>
        </w:rPr>
        <w:t xml:space="preserve"> conditions, and have</w:t>
      </w:r>
      <w:r w:rsidR="0037132D">
        <w:rPr>
          <w:rFonts w:cs="Open Sans"/>
        </w:rPr>
        <w:t xml:space="preserve"> historically</w:t>
      </w:r>
      <w:r w:rsidR="00B21B87">
        <w:rPr>
          <w:rFonts w:cs="Open Sans"/>
        </w:rPr>
        <w:t xml:space="preserve"> been used this way</w:t>
      </w:r>
      <w:r w:rsidR="00B21B87" w:rsidRPr="00D06C62">
        <w:rPr>
          <w:rFonts w:cs="Open Sans"/>
        </w:rPr>
        <w:t>.</w:t>
      </w:r>
      <w:r w:rsidR="00B21B87">
        <w:rPr>
          <w:rFonts w:cs="Open Sans"/>
        </w:rPr>
        <w:t xml:space="preserve"> In the current day, they </w:t>
      </w:r>
      <w:r w:rsidR="00AF2ADD">
        <w:rPr>
          <w:rFonts w:cs="Open Sans"/>
        </w:rPr>
        <w:t>are often</w:t>
      </w:r>
      <w:r w:rsidR="009B0D5E">
        <w:rPr>
          <w:rFonts w:cs="Open Sans"/>
        </w:rPr>
        <w:t xml:space="preserve"> used in a more</w:t>
      </w:r>
      <w:r w:rsidR="00AF1214">
        <w:rPr>
          <w:rFonts w:cs="Open Sans"/>
        </w:rPr>
        <w:t xml:space="preserve"> </w:t>
      </w:r>
      <w:r w:rsidR="00B21B87">
        <w:rPr>
          <w:rFonts w:cs="Open Sans"/>
        </w:rPr>
        <w:t xml:space="preserve">informal and colloquial </w:t>
      </w:r>
      <w:r w:rsidR="00AF2ADD">
        <w:rPr>
          <w:rFonts w:cs="Open Sans"/>
        </w:rPr>
        <w:t>manner,</w:t>
      </w:r>
      <w:r w:rsidR="00AF1214">
        <w:rPr>
          <w:rFonts w:cs="Open Sans"/>
        </w:rPr>
        <w:t xml:space="preserve"> but</w:t>
      </w:r>
      <w:r w:rsidR="00B21B87">
        <w:rPr>
          <w:rFonts w:cs="Open Sans"/>
        </w:rPr>
        <w:t xml:space="preserve"> </w:t>
      </w:r>
      <w:r w:rsidR="00AF2ADD">
        <w:rPr>
          <w:rFonts w:cs="Open Sans"/>
        </w:rPr>
        <w:t xml:space="preserve">remain </w:t>
      </w:r>
      <w:r w:rsidR="00B21B87">
        <w:rPr>
          <w:rFonts w:cs="Open Sans"/>
        </w:rPr>
        <w:t xml:space="preserve">undeniably linked to </w:t>
      </w:r>
      <w:r w:rsidR="00AF2ADD">
        <w:rPr>
          <w:rFonts w:cs="Open Sans"/>
        </w:rPr>
        <w:t>their</w:t>
      </w:r>
      <w:r w:rsidR="00086DEE">
        <w:rPr>
          <w:rFonts w:cs="Open Sans"/>
        </w:rPr>
        <w:t xml:space="preserve"> origins</w:t>
      </w:r>
      <w:r w:rsidR="00B21B87">
        <w:rPr>
          <w:rFonts w:cs="Open Sans"/>
        </w:rPr>
        <w:t xml:space="preserve"> when you </w:t>
      </w:r>
      <w:r w:rsidR="00086DEE">
        <w:rPr>
          <w:rFonts w:cs="Open Sans"/>
        </w:rPr>
        <w:t>consider</w:t>
      </w:r>
      <w:r w:rsidR="00B21B87">
        <w:rPr>
          <w:rFonts w:cs="Open Sans"/>
        </w:rPr>
        <w:t xml:space="preserve"> the concepts being portrayed.</w:t>
      </w:r>
      <w:r w:rsidR="00B21B87" w:rsidRPr="00D06C62">
        <w:rPr>
          <w:rFonts w:cs="Open Sans"/>
        </w:rPr>
        <w:t xml:space="preserve"> </w:t>
      </w:r>
    </w:p>
    <w:p w14:paraId="4C93B07F" w14:textId="37239F19" w:rsidR="0034738B" w:rsidRDefault="0034738B" w:rsidP="00A6421D">
      <w:pPr>
        <w:pStyle w:val="Content"/>
        <w:rPr>
          <w:rFonts w:cs="Open Sans"/>
        </w:rPr>
      </w:pPr>
      <w:r w:rsidRPr="00D06C62">
        <w:rPr>
          <w:rFonts w:cs="Open Sans"/>
        </w:rPr>
        <w:t xml:space="preserve">While people may defend the language choices as not meaning to refer to mental health on a wider scale, and that the language was ‘only’ to highlight the severity or horrific nature of the crimes, there are wider impacts of </w:t>
      </w:r>
      <w:r w:rsidRPr="00D06C62">
        <w:rPr>
          <w:rFonts w:cs="Open Sans"/>
        </w:rPr>
        <w:lastRenderedPageBreak/>
        <w:t>these language choices</w:t>
      </w:r>
      <w:r w:rsidR="00266636">
        <w:rPr>
          <w:rStyle w:val="FootnoteReference"/>
          <w:rFonts w:cs="Open Sans"/>
        </w:rPr>
        <w:footnoteReference w:id="51"/>
      </w:r>
      <w:r w:rsidRPr="00D06C62">
        <w:rPr>
          <w:rFonts w:cs="Open Sans"/>
        </w:rPr>
        <w:t>.</w:t>
      </w:r>
      <w:r>
        <w:rPr>
          <w:rFonts w:cs="Open Sans"/>
        </w:rPr>
        <w:t xml:space="preserve"> </w:t>
      </w:r>
      <w:r w:rsidR="00AF2ADD">
        <w:rPr>
          <w:rFonts w:cs="Open Sans"/>
        </w:rPr>
        <w:t>These</w:t>
      </w:r>
      <w:r>
        <w:rPr>
          <w:rFonts w:cs="Open Sans"/>
        </w:rPr>
        <w:t xml:space="preserve"> statements</w:t>
      </w:r>
      <w:r w:rsidR="00AF2ADD">
        <w:rPr>
          <w:rFonts w:cs="Open Sans"/>
        </w:rPr>
        <w:t xml:space="preserve"> can imply</w:t>
      </w:r>
      <w:r>
        <w:rPr>
          <w:rFonts w:cs="Open Sans"/>
        </w:rPr>
        <w:t xml:space="preserve"> that anyone who does these things must not “think like the rest of us”, and </w:t>
      </w:r>
      <w:r w:rsidR="00AF2ADD">
        <w:rPr>
          <w:rFonts w:cs="Open Sans"/>
        </w:rPr>
        <w:t>then</w:t>
      </w:r>
      <w:r>
        <w:rPr>
          <w:rFonts w:cs="Open Sans"/>
        </w:rPr>
        <w:t xml:space="preserve"> the reverse of that comes to settle as a possibility in people’s minds</w:t>
      </w:r>
      <w:r w:rsidR="00B34386">
        <w:rPr>
          <w:rFonts w:cs="Open Sans"/>
        </w:rPr>
        <w:t xml:space="preserve"> via association activation</w:t>
      </w:r>
      <w:r>
        <w:rPr>
          <w:rFonts w:cs="Open Sans"/>
        </w:rPr>
        <w:t>: that people who think differently are more likely to be dangerous and commit violent crimes</w:t>
      </w:r>
      <w:r w:rsidR="00AF2ADD">
        <w:rPr>
          <w:rStyle w:val="FootnoteReference"/>
          <w:rFonts w:cs="Open Sans"/>
        </w:rPr>
        <w:footnoteReference w:id="52"/>
      </w:r>
      <w:r>
        <w:rPr>
          <w:rFonts w:cs="Open Sans"/>
        </w:rPr>
        <w:t xml:space="preserve">. </w:t>
      </w:r>
    </w:p>
    <w:p w14:paraId="64851AE5" w14:textId="1630122B" w:rsidR="007702E7" w:rsidRPr="00D06C62" w:rsidRDefault="00AF2ADD" w:rsidP="00A6421D">
      <w:pPr>
        <w:pStyle w:val="Content"/>
        <w:rPr>
          <w:rFonts w:cs="Open Sans"/>
        </w:rPr>
      </w:pPr>
      <w:r>
        <w:rPr>
          <w:rFonts w:cs="Open Sans"/>
        </w:rPr>
        <w:t>Phrases</w:t>
      </w:r>
      <w:r w:rsidR="007702E7">
        <w:rPr>
          <w:rFonts w:cs="Open Sans"/>
        </w:rPr>
        <w:t xml:space="preserve"> such as being “special needs” or “</w:t>
      </w:r>
      <w:r w:rsidR="00CD58F2">
        <w:rPr>
          <w:rFonts w:cs="Open Sans"/>
        </w:rPr>
        <w:t>wheelchair bound”</w:t>
      </w:r>
      <w:r w:rsidR="005B76AC">
        <w:rPr>
          <w:rFonts w:cs="Open Sans"/>
        </w:rPr>
        <w:t>, have also long been criticized by the Disabled community</w:t>
      </w:r>
      <w:r w:rsidR="00D14B4F">
        <w:rPr>
          <w:rFonts w:cs="Open Sans"/>
        </w:rPr>
        <w:t xml:space="preserve"> for </w:t>
      </w:r>
      <w:r w:rsidR="002F293A">
        <w:rPr>
          <w:rFonts w:cs="Open Sans"/>
        </w:rPr>
        <w:t xml:space="preserve">implying that having different support needs </w:t>
      </w:r>
      <w:r w:rsidR="001E374F">
        <w:rPr>
          <w:rFonts w:cs="Open Sans"/>
        </w:rPr>
        <w:t>is</w:t>
      </w:r>
      <w:r w:rsidR="002F293A">
        <w:rPr>
          <w:rFonts w:cs="Open Sans"/>
        </w:rPr>
        <w:t xml:space="preserve"> “special” or suggesting that wheelchair users are “stuck” in their chairs as a restriction, when in fact mobility devices are far more often liberating</w:t>
      </w:r>
      <w:r w:rsidR="00DB2EE9">
        <w:rPr>
          <w:rStyle w:val="FootnoteReference"/>
          <w:rFonts w:cs="Open Sans"/>
        </w:rPr>
        <w:footnoteReference w:id="53"/>
      </w:r>
      <w:r w:rsidR="00F75BA6">
        <w:rPr>
          <w:rFonts w:cs="Open Sans"/>
        </w:rPr>
        <w:t>.</w:t>
      </w:r>
    </w:p>
    <w:p w14:paraId="1CF177F4" w14:textId="77777777" w:rsidR="00C43FF5" w:rsidRDefault="00C43FF5" w:rsidP="00A6421D">
      <w:pPr>
        <w:spacing w:before="240" w:after="240" w:line="360" w:lineRule="auto"/>
      </w:pPr>
    </w:p>
    <w:p w14:paraId="50224DA2" w14:textId="5E6F2F44" w:rsidR="009B18E1" w:rsidRDefault="009B18E1" w:rsidP="00A6421D">
      <w:pPr>
        <w:pStyle w:val="Heading4"/>
        <w:spacing w:before="240" w:after="240" w:line="360" w:lineRule="auto"/>
      </w:pPr>
      <w:r>
        <w:t xml:space="preserve">What could </w:t>
      </w:r>
      <w:r w:rsidR="004C68BE">
        <w:t>journalists do</w:t>
      </w:r>
      <w:r>
        <w:t xml:space="preserve"> instead</w:t>
      </w:r>
      <w:r w:rsidR="004C68BE">
        <w:t>?</w:t>
      </w:r>
    </w:p>
    <w:p w14:paraId="3FE33CCB" w14:textId="4D35B89D" w:rsidR="00306EA4" w:rsidRDefault="0034738B" w:rsidP="00A6421D">
      <w:pPr>
        <w:spacing w:before="240" w:after="240" w:line="360" w:lineRule="auto"/>
      </w:pPr>
      <w:r>
        <w:t xml:space="preserve">There is simply no need to use the words in question when there are </w:t>
      </w:r>
      <w:r w:rsidR="008C2F8D">
        <w:t>plenty</w:t>
      </w:r>
      <w:r>
        <w:t xml:space="preserve"> other words to describe the horrific nature of a crime without resorting to </w:t>
      </w:r>
      <w:r w:rsidR="004C68BE">
        <w:t>’</w:t>
      </w:r>
      <w:r>
        <w:t>shock value</w:t>
      </w:r>
      <w:r w:rsidR="004C68BE">
        <w:t xml:space="preserve">‘ </w:t>
      </w:r>
      <w:r>
        <w:t>insults t</w:t>
      </w:r>
      <w:r w:rsidR="008D7C73">
        <w:t>hat are rooted in disablism.</w:t>
      </w:r>
      <w:r w:rsidR="008C2F8D">
        <w:t xml:space="preserve"> </w:t>
      </w:r>
      <w:r w:rsidR="00F75BA6">
        <w:t>Likewise, p</w:t>
      </w:r>
      <w:r w:rsidR="00DE4C84">
        <w:t>hrases such as “special needs” or “wheelchair bound” can easily be replaced by “Disable</w:t>
      </w:r>
      <w:r w:rsidR="00306EA4">
        <w:rPr>
          <w:rFonts w:cs="Open Sans"/>
        </w:rPr>
        <w:t>d” or “wheelchair user”.</w:t>
      </w:r>
    </w:p>
    <w:p w14:paraId="45B6DDBD" w14:textId="68426B8D" w:rsidR="00D7302E" w:rsidRPr="00C43FF5" w:rsidRDefault="000019CB" w:rsidP="00A6421D">
      <w:pPr>
        <w:spacing w:before="240" w:after="240" w:line="360" w:lineRule="auto"/>
      </w:pPr>
      <w:r>
        <w:t>Here, there truly is only one alternative to avoid disablism</w:t>
      </w:r>
      <w:r w:rsidR="001E374F">
        <w:t>, which we found most journalists did: d</w:t>
      </w:r>
      <w:r>
        <w:t>o not use the words</w:t>
      </w:r>
      <w:r w:rsidR="00CE4914">
        <w:t xml:space="preserve"> and find alternative words to </w:t>
      </w:r>
      <w:r w:rsidR="00CE4914">
        <w:lastRenderedPageBreak/>
        <w:t>use</w:t>
      </w:r>
      <w:r>
        <w:t xml:space="preserve">. Language is rich </w:t>
      </w:r>
      <w:r w:rsidR="001E374F">
        <w:t>in</w:t>
      </w:r>
      <w:r>
        <w:t xml:space="preserve"> </w:t>
      </w:r>
      <w:r w:rsidR="008C2F8D">
        <w:t>vocabulary</w:t>
      </w:r>
      <w:r>
        <w:t xml:space="preserve"> that </w:t>
      </w:r>
      <w:r w:rsidR="001E374F">
        <w:t>can portray</w:t>
      </w:r>
      <w:r>
        <w:t xml:space="preserve"> how tragic, violent, awful, or devastating a crime is without resorting to dehumanising language</w:t>
      </w:r>
      <w:r w:rsidR="00A93AD2">
        <w:t>.</w:t>
      </w:r>
    </w:p>
    <w:p w14:paraId="5BD754E4" w14:textId="77777777" w:rsidR="006F3B4C" w:rsidRPr="00D06C62" w:rsidRDefault="006F3B4C" w:rsidP="00A6421D">
      <w:pPr>
        <w:spacing w:before="240" w:after="240" w:line="360" w:lineRule="auto"/>
        <w:rPr>
          <w:rFonts w:cs="Open Sans"/>
        </w:rPr>
      </w:pPr>
    </w:p>
    <w:p w14:paraId="5D6557F9" w14:textId="1642AAB9" w:rsidR="006F3B4C" w:rsidRDefault="006F3B4C" w:rsidP="00A6421D">
      <w:pPr>
        <w:pStyle w:val="Heading3"/>
        <w:spacing w:before="240" w:after="240" w:line="360" w:lineRule="auto"/>
        <w:rPr>
          <w:rFonts w:cs="Open Sans"/>
        </w:rPr>
      </w:pPr>
      <w:bookmarkStart w:id="30" w:name="_Toc120713477"/>
      <w:r w:rsidRPr="00D06C62">
        <w:rPr>
          <w:rFonts w:cs="Open Sans"/>
        </w:rPr>
        <w:t xml:space="preserve">Diminishing the harm perpetuated by shifting blaming onto the victim </w:t>
      </w:r>
      <w:r w:rsidR="00BA2F97">
        <w:rPr>
          <w:rFonts w:cs="Open Sans"/>
        </w:rPr>
        <w:t>and</w:t>
      </w:r>
      <w:r w:rsidRPr="00D06C62">
        <w:rPr>
          <w:rFonts w:cs="Open Sans"/>
        </w:rPr>
        <w:t xml:space="preserve"> downplaying the impact</w:t>
      </w:r>
      <w:bookmarkEnd w:id="30"/>
    </w:p>
    <w:p w14:paraId="7D222037" w14:textId="77777777" w:rsidR="00C43FF5" w:rsidRDefault="00C43FF5" w:rsidP="00A6421D">
      <w:pPr>
        <w:pStyle w:val="Heading4"/>
        <w:spacing w:before="240" w:after="240" w:line="360" w:lineRule="auto"/>
      </w:pPr>
      <w:r>
        <w:t>Overview</w:t>
      </w:r>
    </w:p>
    <w:p w14:paraId="4993631C" w14:textId="18AAF051" w:rsidR="00BA2F97" w:rsidRPr="00D06C62" w:rsidRDefault="00BA2F97" w:rsidP="00A6421D">
      <w:pPr>
        <w:pStyle w:val="Content"/>
        <w:rPr>
          <w:rFonts w:cs="Open Sans"/>
        </w:rPr>
      </w:pPr>
      <w:r w:rsidRPr="00D06C62">
        <w:rPr>
          <w:rFonts w:cs="Open Sans"/>
        </w:rPr>
        <w:t>There were multiple articles where</w:t>
      </w:r>
      <w:r w:rsidR="001E374F">
        <w:rPr>
          <w:rFonts w:cs="Open Sans"/>
        </w:rPr>
        <w:t xml:space="preserve"> language choices, quotes used from professionals involved in the case, or the general write-up of the case shifted</w:t>
      </w:r>
      <w:r w:rsidRPr="00D06C62">
        <w:rPr>
          <w:rFonts w:cs="Open Sans"/>
        </w:rPr>
        <w:t xml:space="preserve"> some or most of the blame for the crime onto the victim</w:t>
      </w:r>
      <w:r w:rsidR="001E374F">
        <w:rPr>
          <w:rFonts w:cs="Open Sans"/>
        </w:rPr>
        <w:t xml:space="preserve"> or downplayed</w:t>
      </w:r>
      <w:r w:rsidRPr="00D06C62">
        <w:rPr>
          <w:rFonts w:cs="Open Sans"/>
        </w:rPr>
        <w:t xml:space="preserve"> the impact of the crime.</w:t>
      </w:r>
      <w:r>
        <w:rPr>
          <w:rFonts w:cs="Open Sans"/>
        </w:rPr>
        <w:t xml:space="preserve"> This </w:t>
      </w:r>
      <w:r w:rsidR="001E374F">
        <w:rPr>
          <w:rFonts w:cs="Open Sans"/>
        </w:rPr>
        <w:t>differs slightly from</w:t>
      </w:r>
      <w:r>
        <w:rPr>
          <w:rFonts w:cs="Open Sans"/>
        </w:rPr>
        <w:t xml:space="preserve"> the concept of burden, though</w:t>
      </w:r>
      <w:r w:rsidR="001E374F">
        <w:rPr>
          <w:rFonts w:cs="Open Sans"/>
        </w:rPr>
        <w:t xml:space="preserve"> it is</w:t>
      </w:r>
      <w:r>
        <w:rPr>
          <w:rFonts w:cs="Open Sans"/>
        </w:rPr>
        <w:t xml:space="preserve"> in the same broad category. </w:t>
      </w:r>
    </w:p>
    <w:p w14:paraId="213AD857" w14:textId="77777777" w:rsidR="00C43FF5" w:rsidRPr="00C43FF5" w:rsidRDefault="00C43FF5" w:rsidP="00A6421D">
      <w:pPr>
        <w:spacing w:before="240" w:after="240" w:line="360" w:lineRule="auto"/>
      </w:pPr>
    </w:p>
    <w:p w14:paraId="698A4CE8" w14:textId="77777777" w:rsidR="00C43FF5" w:rsidRDefault="00C43FF5" w:rsidP="00A6421D">
      <w:pPr>
        <w:pStyle w:val="Heading4"/>
        <w:spacing w:before="240" w:after="240" w:line="360" w:lineRule="auto"/>
      </w:pPr>
      <w:r>
        <w:t>Examples</w:t>
      </w:r>
    </w:p>
    <w:p w14:paraId="5E1F38B0" w14:textId="3F953E2C" w:rsidR="006D3E3A" w:rsidRDefault="001E374F" w:rsidP="00A6421D">
      <w:pPr>
        <w:pStyle w:val="Content"/>
        <w:rPr>
          <w:rFonts w:cs="Open Sans"/>
        </w:rPr>
      </w:pPr>
      <w:r>
        <w:rPr>
          <w:rFonts w:cs="Open Sans"/>
        </w:rPr>
        <w:t>With David</w:t>
      </w:r>
      <w:r w:rsidR="00BA2F97" w:rsidRPr="00D06C62">
        <w:rPr>
          <w:rFonts w:cs="Open Sans"/>
        </w:rPr>
        <w:t xml:space="preserve"> Cox’s death, </w:t>
      </w:r>
      <w:r w:rsidRPr="00D06C62">
        <w:rPr>
          <w:rFonts w:cs="Open Sans"/>
        </w:rPr>
        <w:t>the</w:t>
      </w:r>
      <w:r w:rsidR="00BA2F97" w:rsidRPr="00D06C62">
        <w:rPr>
          <w:rFonts w:cs="Open Sans"/>
        </w:rPr>
        <w:t xml:space="preserve"> </w:t>
      </w:r>
      <w:r w:rsidR="006721D3">
        <w:rPr>
          <w:rFonts w:cs="Open Sans"/>
        </w:rPr>
        <w:t>CPS</w:t>
      </w:r>
      <w:r w:rsidR="00BA2F97" w:rsidRPr="00D06C62">
        <w:rPr>
          <w:rFonts w:cs="Open Sans"/>
        </w:rPr>
        <w:t xml:space="preserve"> decided not to bring charges against the perpetrators, who argued they had acted in self-defense</w:t>
      </w:r>
      <w:r w:rsidR="006421D6">
        <w:rPr>
          <w:rStyle w:val="FootnoteReference"/>
          <w:rFonts w:cs="Open Sans"/>
        </w:rPr>
        <w:footnoteReference w:id="54"/>
      </w:r>
      <w:r w:rsidR="00BA2F97" w:rsidRPr="00D06C62">
        <w:rPr>
          <w:rFonts w:cs="Open Sans"/>
        </w:rPr>
        <w:t xml:space="preserve">. </w:t>
      </w:r>
      <w:r w:rsidR="00921E59">
        <w:rPr>
          <w:rFonts w:cs="Open Sans"/>
        </w:rPr>
        <w:t xml:space="preserve">In some articles, </w:t>
      </w:r>
      <w:r w:rsidR="00BA2F97" w:rsidRPr="00D06C62">
        <w:rPr>
          <w:rFonts w:cs="Open Sans"/>
        </w:rPr>
        <w:t>repeated claims that “his (</w:t>
      </w:r>
      <w:r w:rsidR="00C27C6B">
        <w:rPr>
          <w:rFonts w:cs="Open Sans"/>
        </w:rPr>
        <w:t>David</w:t>
      </w:r>
      <w:r w:rsidR="00BA2F97" w:rsidRPr="00D06C62">
        <w:rPr>
          <w:rFonts w:cs="Open Sans"/>
        </w:rPr>
        <w:t>’s) judgment and actions were affected by his Aspergers”</w:t>
      </w:r>
      <w:r w:rsidR="00C27C6B">
        <w:rPr>
          <w:rFonts w:cs="Open Sans"/>
        </w:rPr>
        <w:t xml:space="preserve"> and </w:t>
      </w:r>
      <w:r w:rsidR="00921E59">
        <w:rPr>
          <w:rFonts w:cs="Open Sans"/>
        </w:rPr>
        <w:t xml:space="preserve">multiple </w:t>
      </w:r>
      <w:r w:rsidR="00C27C6B">
        <w:rPr>
          <w:rFonts w:cs="Open Sans"/>
        </w:rPr>
        <w:t xml:space="preserve">direct quotes from the assailants </w:t>
      </w:r>
      <w:r w:rsidR="00921E59">
        <w:rPr>
          <w:rFonts w:cs="Open Sans"/>
        </w:rPr>
        <w:t>minimizing</w:t>
      </w:r>
      <w:r w:rsidR="00C27C6B">
        <w:rPr>
          <w:rFonts w:cs="Open Sans"/>
        </w:rPr>
        <w:t xml:space="preserve"> or deny</w:t>
      </w:r>
      <w:r w:rsidR="00921E59">
        <w:rPr>
          <w:rFonts w:cs="Open Sans"/>
        </w:rPr>
        <w:t>ing</w:t>
      </w:r>
      <w:r w:rsidR="00C27C6B">
        <w:rPr>
          <w:rFonts w:cs="Open Sans"/>
        </w:rPr>
        <w:t xml:space="preserve"> the events</w:t>
      </w:r>
      <w:r w:rsidR="00C07ADC">
        <w:rPr>
          <w:rFonts w:cs="Open Sans"/>
        </w:rPr>
        <w:t xml:space="preserve"> </w:t>
      </w:r>
      <w:r w:rsidR="00921E59">
        <w:rPr>
          <w:rFonts w:cs="Open Sans"/>
        </w:rPr>
        <w:t xml:space="preserve">were included </w:t>
      </w:r>
      <w:r w:rsidR="00C07ADC">
        <w:rPr>
          <w:rFonts w:cs="Open Sans"/>
        </w:rPr>
        <w:t>—</w:t>
      </w:r>
      <w:r w:rsidR="00C27C6B">
        <w:rPr>
          <w:rFonts w:cs="Open Sans"/>
        </w:rPr>
        <w:t xml:space="preserve"> “it was just a brush of his jaw, if </w:t>
      </w:r>
      <w:r w:rsidR="00C27C6B">
        <w:rPr>
          <w:rFonts w:cs="Open Sans"/>
        </w:rPr>
        <w:lastRenderedPageBreak/>
        <w:t>anything”,</w:t>
      </w:r>
      <w:r w:rsidR="00921E59">
        <w:rPr>
          <w:rFonts w:cs="Open Sans"/>
        </w:rPr>
        <w:t xml:space="preserve"> “just flicked my arm out”,</w:t>
      </w:r>
      <w:r w:rsidR="00C27C6B">
        <w:rPr>
          <w:rFonts w:cs="Open Sans"/>
        </w:rPr>
        <w:t xml:space="preserve"> “he tripped and fell”</w:t>
      </w:r>
      <w:r w:rsidR="00C07ADC">
        <w:rPr>
          <w:rFonts w:cs="Open Sans"/>
        </w:rPr>
        <w:t xml:space="preserve"> — </w:t>
      </w:r>
      <w:r w:rsidR="00921E59">
        <w:rPr>
          <w:rFonts w:cs="Open Sans"/>
        </w:rPr>
        <w:t xml:space="preserve">while </w:t>
      </w:r>
      <w:r w:rsidR="00067E63">
        <w:rPr>
          <w:rFonts w:cs="Open Sans"/>
        </w:rPr>
        <w:t xml:space="preserve">very </w:t>
      </w:r>
      <w:r w:rsidR="00921E59">
        <w:rPr>
          <w:rFonts w:cs="Open Sans"/>
        </w:rPr>
        <w:t>few quotes from David’s friends and family were included</w:t>
      </w:r>
      <w:r w:rsidR="00BA2F97" w:rsidRPr="00D06C62">
        <w:rPr>
          <w:rFonts w:cs="Open Sans"/>
        </w:rPr>
        <w:t>.</w:t>
      </w:r>
      <w:r w:rsidR="00921E59">
        <w:rPr>
          <w:rFonts w:cs="Open Sans"/>
        </w:rPr>
        <w:t xml:space="preserve"> </w:t>
      </w:r>
    </w:p>
    <w:p w14:paraId="084A8025" w14:textId="5B7EFC05" w:rsidR="00BA2F97" w:rsidRDefault="00BA2F97" w:rsidP="00A6421D">
      <w:pPr>
        <w:pStyle w:val="Content"/>
        <w:rPr>
          <w:rFonts w:cs="Open Sans"/>
        </w:rPr>
      </w:pPr>
      <w:r w:rsidRPr="00D06C62">
        <w:rPr>
          <w:rFonts w:cs="Open Sans"/>
        </w:rPr>
        <w:t>There was criticism of the handling of the case</w:t>
      </w:r>
      <w:r w:rsidR="006421D6">
        <w:rPr>
          <w:rFonts w:cs="Open Sans"/>
        </w:rPr>
        <w:t xml:space="preserve"> by the coroner</w:t>
      </w:r>
      <w:r w:rsidRPr="00D06C62">
        <w:rPr>
          <w:rFonts w:cs="Open Sans"/>
        </w:rPr>
        <w:t xml:space="preserve"> and Cox’s family have voiced their views that it should be revisited, however the case has remained closed. </w:t>
      </w:r>
      <w:r w:rsidR="00C27C6B">
        <w:rPr>
          <w:rFonts w:cs="Open Sans"/>
        </w:rPr>
        <w:t xml:space="preserve">There were other disablist framings in this </w:t>
      </w:r>
      <w:r w:rsidR="00B87173">
        <w:rPr>
          <w:rFonts w:cs="Open Sans"/>
        </w:rPr>
        <w:t>case</w:t>
      </w:r>
      <w:r w:rsidR="00C27C6B">
        <w:rPr>
          <w:rFonts w:cs="Open Sans"/>
        </w:rPr>
        <w:t xml:space="preserve"> as well, including </w:t>
      </w:r>
      <w:r w:rsidR="00240F49">
        <w:rPr>
          <w:rFonts w:cs="Open Sans"/>
        </w:rPr>
        <w:t>repeated</w:t>
      </w:r>
      <w:r w:rsidR="00C27C6B">
        <w:rPr>
          <w:rFonts w:cs="Open Sans"/>
        </w:rPr>
        <w:t xml:space="preserve"> use of “mental age” and referring to David as “suffering” from autism.</w:t>
      </w:r>
    </w:p>
    <w:p w14:paraId="04D155D7" w14:textId="77777777" w:rsidR="001E374F" w:rsidRDefault="001E374F" w:rsidP="00A6421D">
      <w:pPr>
        <w:pStyle w:val="Content"/>
        <w:rPr>
          <w:rFonts w:cs="Open Sans"/>
        </w:rPr>
      </w:pPr>
      <w:r>
        <w:rPr>
          <w:rFonts w:cs="Open Sans"/>
        </w:rPr>
        <w:t>Some</w:t>
      </w:r>
      <w:r w:rsidR="006D3E3A">
        <w:rPr>
          <w:rFonts w:cs="Open Sans"/>
        </w:rPr>
        <w:t xml:space="preserve"> articles</w:t>
      </w:r>
      <w:r w:rsidR="00BA2F97" w:rsidRPr="00D06C62">
        <w:rPr>
          <w:rFonts w:cs="Open Sans"/>
        </w:rPr>
        <w:t xml:space="preserve"> </w:t>
      </w:r>
      <w:r>
        <w:rPr>
          <w:rFonts w:cs="Open Sans"/>
        </w:rPr>
        <w:t xml:space="preserve">also </w:t>
      </w:r>
      <w:r w:rsidR="00BA2F97" w:rsidRPr="00D06C62">
        <w:rPr>
          <w:rFonts w:cs="Open Sans"/>
        </w:rPr>
        <w:t xml:space="preserve">referred to the assailants as ‘boys’ when they </w:t>
      </w:r>
      <w:r w:rsidR="00F56FA8">
        <w:rPr>
          <w:rFonts w:cs="Open Sans"/>
        </w:rPr>
        <w:t>were</w:t>
      </w:r>
      <w:r w:rsidR="00BA2F97" w:rsidRPr="00D06C62">
        <w:rPr>
          <w:rFonts w:cs="Open Sans"/>
        </w:rPr>
        <w:t xml:space="preserve"> the same age as David (18) or older. This decision to portray assailants as ‘boys’ when they </w:t>
      </w:r>
      <w:r w:rsidR="0059248A">
        <w:rPr>
          <w:rFonts w:cs="Open Sans"/>
        </w:rPr>
        <w:t xml:space="preserve">would be legally considered </w:t>
      </w:r>
      <w:r w:rsidR="00BA2F97" w:rsidRPr="00D06C62">
        <w:rPr>
          <w:rFonts w:cs="Open Sans"/>
        </w:rPr>
        <w:t>adults</w:t>
      </w:r>
      <w:r w:rsidR="00BA2F97">
        <w:rPr>
          <w:rFonts w:cs="Open Sans"/>
        </w:rPr>
        <w:t xml:space="preserve">, and vice versa in referring to </w:t>
      </w:r>
      <w:r w:rsidR="006D235A">
        <w:rPr>
          <w:rFonts w:cs="Open Sans"/>
        </w:rPr>
        <w:t xml:space="preserve">Disabled </w:t>
      </w:r>
      <w:r w:rsidR="00BA2F97">
        <w:rPr>
          <w:rFonts w:cs="Open Sans"/>
        </w:rPr>
        <w:t>teenage</w:t>
      </w:r>
      <w:r w:rsidR="0059248A">
        <w:rPr>
          <w:rFonts w:cs="Open Sans"/>
        </w:rPr>
        <w:t xml:space="preserve"> victims</w:t>
      </w:r>
      <w:r w:rsidR="00BA2F97">
        <w:rPr>
          <w:rFonts w:cs="Open Sans"/>
        </w:rPr>
        <w:t xml:space="preserve"> as young as 15 as </w:t>
      </w:r>
      <w:r>
        <w:rPr>
          <w:rFonts w:cs="Open Sans"/>
        </w:rPr>
        <w:t xml:space="preserve">“young </w:t>
      </w:r>
      <w:r w:rsidR="00BA2F97">
        <w:rPr>
          <w:rFonts w:cs="Open Sans"/>
        </w:rPr>
        <w:t>men</w:t>
      </w:r>
      <w:r>
        <w:rPr>
          <w:rFonts w:cs="Open Sans"/>
        </w:rPr>
        <w:t>”</w:t>
      </w:r>
      <w:r w:rsidR="00BA2F97">
        <w:rPr>
          <w:rFonts w:cs="Open Sans"/>
        </w:rPr>
        <w:t xml:space="preserve"> or</w:t>
      </w:r>
      <w:r>
        <w:rPr>
          <w:rFonts w:cs="Open Sans"/>
        </w:rPr>
        <w:t xml:space="preserve"> “young</w:t>
      </w:r>
      <w:r w:rsidR="00BA2F97">
        <w:rPr>
          <w:rFonts w:cs="Open Sans"/>
        </w:rPr>
        <w:t xml:space="preserve"> women</w:t>
      </w:r>
      <w:r>
        <w:rPr>
          <w:rFonts w:cs="Open Sans"/>
        </w:rPr>
        <w:t>”</w:t>
      </w:r>
      <w:r w:rsidR="00BA2F97">
        <w:rPr>
          <w:rFonts w:cs="Open Sans"/>
        </w:rPr>
        <w:t>,</w:t>
      </w:r>
      <w:r w:rsidR="00BA2F97" w:rsidRPr="00D06C62">
        <w:rPr>
          <w:rFonts w:cs="Open Sans"/>
        </w:rPr>
        <w:t xml:space="preserve"> is something that is seen in </w:t>
      </w:r>
      <w:r w:rsidR="006D3E3A">
        <w:rPr>
          <w:rFonts w:cs="Open Sans"/>
        </w:rPr>
        <w:t>other</w:t>
      </w:r>
      <w:r w:rsidR="00BA2F97" w:rsidRPr="00D06C62">
        <w:rPr>
          <w:rFonts w:cs="Open Sans"/>
        </w:rPr>
        <w:t xml:space="preserve"> research </w:t>
      </w:r>
      <w:r w:rsidR="00BA2F97">
        <w:rPr>
          <w:rFonts w:cs="Open Sans"/>
        </w:rPr>
        <w:t xml:space="preserve">Inclusion London </w:t>
      </w:r>
      <w:r w:rsidR="006D3E3A">
        <w:rPr>
          <w:rFonts w:cs="Open Sans"/>
        </w:rPr>
        <w:t>is</w:t>
      </w:r>
      <w:r w:rsidR="00F56FA8">
        <w:rPr>
          <w:rFonts w:cs="Open Sans"/>
        </w:rPr>
        <w:t xml:space="preserve"> doing</w:t>
      </w:r>
      <w:r w:rsidR="00BA2F97" w:rsidRPr="00D06C62">
        <w:rPr>
          <w:rFonts w:cs="Open Sans"/>
        </w:rPr>
        <w:t>.</w:t>
      </w:r>
      <w:r w:rsidR="00BA2F97">
        <w:rPr>
          <w:rFonts w:cs="Open Sans"/>
        </w:rPr>
        <w:t xml:space="preserve"> </w:t>
      </w:r>
    </w:p>
    <w:p w14:paraId="0B0091D6" w14:textId="2BA1EF88" w:rsidR="003F0DA1" w:rsidRDefault="003F0DA1" w:rsidP="00A6421D">
      <w:pPr>
        <w:pStyle w:val="Content"/>
        <w:rPr>
          <w:rFonts w:cs="Open Sans"/>
        </w:rPr>
      </w:pPr>
      <w:r>
        <w:rPr>
          <w:rFonts w:cs="Open Sans"/>
        </w:rPr>
        <w:t>For example,</w:t>
      </w:r>
      <w:r w:rsidR="00BA2F97">
        <w:rPr>
          <w:rFonts w:cs="Open Sans"/>
        </w:rPr>
        <w:t xml:space="preserve"> </w:t>
      </w:r>
      <w:r w:rsidR="001E374F">
        <w:rPr>
          <w:rFonts w:cs="Open Sans"/>
        </w:rPr>
        <w:t xml:space="preserve">in our work on the Independent Office of Police Conduct’s investigations, </w:t>
      </w:r>
      <w:r w:rsidR="0059248A">
        <w:rPr>
          <w:rFonts w:cs="Open Sans"/>
        </w:rPr>
        <w:t xml:space="preserve">a </w:t>
      </w:r>
      <w:r w:rsidR="00BA2F97">
        <w:rPr>
          <w:rFonts w:cs="Open Sans"/>
        </w:rPr>
        <w:t xml:space="preserve">15-year-old </w:t>
      </w:r>
      <w:r w:rsidR="006D3E3A">
        <w:rPr>
          <w:rFonts w:cs="Open Sans"/>
        </w:rPr>
        <w:t xml:space="preserve">boy </w:t>
      </w:r>
      <w:r w:rsidR="00BA2F97">
        <w:rPr>
          <w:rFonts w:cs="Open Sans"/>
        </w:rPr>
        <w:t>with ADHD and learning disabilities was repeatedly referred to as a “man” or a “young man” in one of the</w:t>
      </w:r>
      <w:r w:rsidR="001E374F">
        <w:rPr>
          <w:rFonts w:cs="Open Sans"/>
        </w:rPr>
        <w:t xml:space="preserve"> IOPC’s</w:t>
      </w:r>
      <w:r w:rsidR="00BA2F97">
        <w:rPr>
          <w:rFonts w:cs="Open Sans"/>
        </w:rPr>
        <w:t xml:space="preserve"> Learning the Lessons bulletins. </w:t>
      </w:r>
    </w:p>
    <w:p w14:paraId="2D22B208" w14:textId="22FFBD27" w:rsidR="00BA2F97" w:rsidRPr="00D06C62" w:rsidRDefault="00BA2F97" w:rsidP="00A6421D">
      <w:pPr>
        <w:pStyle w:val="Content"/>
        <w:rPr>
          <w:rFonts w:cs="Open Sans"/>
        </w:rPr>
      </w:pPr>
      <w:r>
        <w:rPr>
          <w:rFonts w:cs="Open Sans"/>
        </w:rPr>
        <w:t>Th</w:t>
      </w:r>
      <w:r w:rsidR="00FD162C">
        <w:rPr>
          <w:rFonts w:cs="Open Sans"/>
        </w:rPr>
        <w:t>e</w:t>
      </w:r>
      <w:r w:rsidR="00F10CC0">
        <w:rPr>
          <w:rFonts w:cs="Open Sans"/>
        </w:rPr>
        <w:t xml:space="preserve">re is </w:t>
      </w:r>
      <w:r w:rsidR="00143A49">
        <w:rPr>
          <w:rFonts w:cs="Open Sans"/>
        </w:rPr>
        <w:t xml:space="preserve">also </w:t>
      </w:r>
      <w:r w:rsidR="00F10CC0">
        <w:rPr>
          <w:rFonts w:cs="Open Sans"/>
        </w:rPr>
        <w:t>a</w:t>
      </w:r>
      <w:r w:rsidR="00F10CC0" w:rsidDel="008E360A">
        <w:rPr>
          <w:rFonts w:cs="Open Sans"/>
        </w:rPr>
        <w:t xml:space="preserve"> </w:t>
      </w:r>
      <w:r w:rsidR="00F10CC0">
        <w:rPr>
          <w:rFonts w:cs="Open Sans"/>
        </w:rPr>
        <w:t>tendency for Black children to be subject to</w:t>
      </w:r>
      <w:r w:rsidR="00FD162C">
        <w:rPr>
          <w:rFonts w:cs="Open Sans"/>
        </w:rPr>
        <w:t xml:space="preserve"> </w:t>
      </w:r>
      <w:r w:rsidR="00E11495">
        <w:rPr>
          <w:rFonts w:cs="Open Sans"/>
        </w:rPr>
        <w:t xml:space="preserve">this type of </w:t>
      </w:r>
      <w:r w:rsidR="00FD162C">
        <w:rPr>
          <w:rFonts w:cs="Open Sans"/>
        </w:rPr>
        <w:t>adultification</w:t>
      </w:r>
      <w:r w:rsidR="00D07F09">
        <w:rPr>
          <w:rFonts w:cs="Open Sans"/>
        </w:rPr>
        <w:t xml:space="preserve"> bi</w:t>
      </w:r>
      <w:r w:rsidR="00B15C61">
        <w:rPr>
          <w:rFonts w:cs="Open Sans"/>
        </w:rPr>
        <w:t>as</w:t>
      </w:r>
      <w:r>
        <w:rPr>
          <w:rStyle w:val="FootnoteReference"/>
          <w:rFonts w:cs="Open Sans"/>
        </w:rPr>
        <w:footnoteReference w:id="55"/>
      </w:r>
      <w:r w:rsidR="00F10CC0">
        <w:rPr>
          <w:rFonts w:cs="Open Sans"/>
        </w:rPr>
        <w:t xml:space="preserve"> </w:t>
      </w:r>
      <w:r w:rsidR="00E11495">
        <w:rPr>
          <w:rFonts w:cs="Open Sans"/>
        </w:rPr>
        <w:t>which</w:t>
      </w:r>
      <w:r w:rsidR="00347AC9">
        <w:rPr>
          <w:rFonts w:cs="Open Sans"/>
        </w:rPr>
        <w:t xml:space="preserve"> can have a profound and negative impact on children’s wellbeing</w:t>
      </w:r>
      <w:r w:rsidR="00E11495">
        <w:rPr>
          <w:rFonts w:cs="Open Sans"/>
        </w:rPr>
        <w:t>,</w:t>
      </w:r>
      <w:r w:rsidR="00347AC9">
        <w:rPr>
          <w:rFonts w:cs="Open Sans"/>
        </w:rPr>
        <w:t xml:space="preserve"> and directly </w:t>
      </w:r>
      <w:r w:rsidR="001E374F">
        <w:rPr>
          <w:rFonts w:cs="Open Sans"/>
        </w:rPr>
        <w:t>affect</w:t>
      </w:r>
      <w:r w:rsidR="00347AC9">
        <w:rPr>
          <w:rFonts w:cs="Open Sans"/>
        </w:rPr>
        <w:t xml:space="preserve"> how children are perceived and responded to, including by the police and other services</w:t>
      </w:r>
      <w:r w:rsidR="001E374F">
        <w:rPr>
          <w:rFonts w:cs="Open Sans"/>
        </w:rPr>
        <w:t xml:space="preserve">. </w:t>
      </w:r>
      <w:r w:rsidR="00347AC9">
        <w:rPr>
          <w:rFonts w:cs="Open Sans"/>
        </w:rPr>
        <w:t xml:space="preserve">The choices of framing </w:t>
      </w:r>
      <w:r w:rsidR="00FA7E18">
        <w:rPr>
          <w:rFonts w:cs="Open Sans"/>
        </w:rPr>
        <w:t>around age like this</w:t>
      </w:r>
      <w:r w:rsidR="00E11495">
        <w:rPr>
          <w:rFonts w:cs="Open Sans"/>
        </w:rPr>
        <w:t xml:space="preserve"> when writing about crimes or police </w:t>
      </w:r>
      <w:r w:rsidR="00E11495">
        <w:rPr>
          <w:rFonts w:cs="Open Sans"/>
        </w:rPr>
        <w:lastRenderedPageBreak/>
        <w:t>misconduct</w:t>
      </w:r>
      <w:r w:rsidR="00FA7E18">
        <w:rPr>
          <w:rFonts w:cs="Open Sans"/>
        </w:rPr>
        <w:t>,</w:t>
      </w:r>
      <w:r>
        <w:rPr>
          <w:rFonts w:cs="Open Sans"/>
        </w:rPr>
        <w:t xml:space="preserve"> </w:t>
      </w:r>
      <w:r w:rsidR="00143A49">
        <w:rPr>
          <w:rFonts w:cs="Open Sans"/>
        </w:rPr>
        <w:t>can</w:t>
      </w:r>
      <w:r>
        <w:rPr>
          <w:rFonts w:cs="Open Sans"/>
        </w:rPr>
        <w:t xml:space="preserve"> shift the narrative regarding who is portrayed as sympathetic and who is portrayed as a threat.</w:t>
      </w:r>
      <w:r w:rsidR="00143A49">
        <w:rPr>
          <w:rFonts w:cs="Open Sans"/>
        </w:rPr>
        <w:t xml:space="preserve"> One area of further research leading on from this report would be to look closer at how Black, Asian and Minority Ethnic (BAME) Disabled victims are portrayed in the media.</w:t>
      </w:r>
    </w:p>
    <w:p w14:paraId="4BE9FE8B" w14:textId="6386B6F3" w:rsidR="007E52CF" w:rsidRDefault="00BA2F97" w:rsidP="00A6421D">
      <w:pPr>
        <w:pStyle w:val="Content"/>
        <w:rPr>
          <w:rFonts w:cs="Open Sans"/>
        </w:rPr>
      </w:pPr>
      <w:r w:rsidRPr="00D06C62">
        <w:rPr>
          <w:rFonts w:cs="Open Sans"/>
        </w:rPr>
        <w:t xml:space="preserve">The positioning of the Disabled victim as being responsible for the harm done to them was also seen when </w:t>
      </w:r>
      <w:r w:rsidR="00977EFB">
        <w:rPr>
          <w:rFonts w:cs="Open Sans"/>
        </w:rPr>
        <w:t xml:space="preserve">police </w:t>
      </w:r>
      <w:r w:rsidRPr="00D06C62">
        <w:rPr>
          <w:rFonts w:cs="Open Sans"/>
        </w:rPr>
        <w:t>assaulted Jody McIntyre at a protest</w:t>
      </w:r>
      <w:r>
        <w:rPr>
          <w:rStyle w:val="FootnoteReference"/>
          <w:rFonts w:cs="Open Sans"/>
        </w:rPr>
        <w:footnoteReference w:id="56"/>
      </w:r>
      <w:r w:rsidRPr="00D06C62">
        <w:rPr>
          <w:rFonts w:cs="Open Sans"/>
        </w:rPr>
        <w:t>, pushing him out of his wheelchair a</w:t>
      </w:r>
      <w:r w:rsidR="00977EFB">
        <w:rPr>
          <w:rFonts w:cs="Open Sans"/>
        </w:rPr>
        <w:t>nd claiming he</w:t>
      </w:r>
      <w:r w:rsidRPr="00D06C62">
        <w:rPr>
          <w:rFonts w:cs="Open Sans"/>
        </w:rPr>
        <w:t xml:space="preserve"> was a “threat”</w:t>
      </w:r>
      <w:r w:rsidR="00977EFB">
        <w:rPr>
          <w:rFonts w:cs="Open Sans"/>
        </w:rPr>
        <w:t xml:space="preserve">, “that he was </w:t>
      </w:r>
      <w:r w:rsidR="008E208A">
        <w:rPr>
          <w:rFonts w:cs="Open Sans"/>
        </w:rPr>
        <w:t>rolling at the police in his wheelchair”,</w:t>
      </w:r>
      <w:r w:rsidRPr="00D06C62">
        <w:rPr>
          <w:rFonts w:cs="Open Sans"/>
        </w:rPr>
        <w:t xml:space="preserve"> and th</w:t>
      </w:r>
      <w:r w:rsidR="008E208A">
        <w:rPr>
          <w:rFonts w:cs="Open Sans"/>
        </w:rPr>
        <w:t>at they</w:t>
      </w:r>
      <w:r w:rsidRPr="00D06C62">
        <w:rPr>
          <w:rFonts w:cs="Open Sans"/>
        </w:rPr>
        <w:t xml:space="preserve"> “accidentally hit him with their batons”. Many news stories printed </w:t>
      </w:r>
      <w:r w:rsidR="008E208A" w:rsidRPr="00D06C62">
        <w:rPr>
          <w:rFonts w:cs="Open Sans"/>
        </w:rPr>
        <w:t>th</w:t>
      </w:r>
      <w:r w:rsidR="008E208A">
        <w:rPr>
          <w:rFonts w:cs="Open Sans"/>
        </w:rPr>
        <w:t xml:space="preserve">ese quotes </w:t>
      </w:r>
      <w:r w:rsidRPr="00D06C62">
        <w:rPr>
          <w:rFonts w:cs="Open Sans"/>
        </w:rPr>
        <w:t>from the police</w:t>
      </w:r>
      <w:r>
        <w:rPr>
          <w:rFonts w:cs="Open Sans"/>
        </w:rPr>
        <w:t xml:space="preserve"> and others framed their news stories around </w:t>
      </w:r>
      <w:r w:rsidR="00D6035C">
        <w:rPr>
          <w:rFonts w:cs="Open Sans"/>
        </w:rPr>
        <w:t>them</w:t>
      </w:r>
      <w:r w:rsidR="00002337">
        <w:rPr>
          <w:rFonts w:cs="Open Sans"/>
        </w:rPr>
        <w:t xml:space="preserve">; Ben Brown of the BBC interviewed </w:t>
      </w:r>
      <w:r w:rsidR="004B5E26">
        <w:rPr>
          <w:rFonts w:cs="Open Sans"/>
        </w:rPr>
        <w:t xml:space="preserve">Jody </w:t>
      </w:r>
      <w:r w:rsidR="00002337">
        <w:rPr>
          <w:rFonts w:cs="Open Sans"/>
        </w:rPr>
        <w:t xml:space="preserve">McIntyre shortly after the incident and presented the attack by the police as a legitimate and understandable response to Jody’s </w:t>
      </w:r>
      <w:r w:rsidR="00977EFB">
        <w:rPr>
          <w:rFonts w:cs="Open Sans"/>
        </w:rPr>
        <w:t>“provocation”</w:t>
      </w:r>
      <w:r w:rsidR="00977EFB">
        <w:rPr>
          <w:rStyle w:val="FootnoteReference"/>
          <w:rFonts w:cs="Open Sans"/>
        </w:rPr>
        <w:footnoteReference w:id="57"/>
      </w:r>
      <w:r>
        <w:rPr>
          <w:rFonts w:cs="Open Sans"/>
        </w:rPr>
        <w:t xml:space="preserve">. </w:t>
      </w:r>
    </w:p>
    <w:p w14:paraId="2714A54A" w14:textId="717A4328" w:rsidR="00BA2F97" w:rsidRPr="00D06C62" w:rsidRDefault="00BA2F97" w:rsidP="00A6421D">
      <w:pPr>
        <w:pStyle w:val="Content"/>
        <w:rPr>
          <w:rFonts w:cs="Open Sans"/>
        </w:rPr>
      </w:pPr>
      <w:r>
        <w:rPr>
          <w:rFonts w:cs="Open Sans"/>
        </w:rPr>
        <w:t xml:space="preserve">The consequences </w:t>
      </w:r>
      <w:r w:rsidR="006315D5">
        <w:rPr>
          <w:rFonts w:cs="Open Sans"/>
        </w:rPr>
        <w:t xml:space="preserve">of this media framing </w:t>
      </w:r>
      <w:r>
        <w:rPr>
          <w:rFonts w:cs="Open Sans"/>
        </w:rPr>
        <w:t>were quite apparent; r</w:t>
      </w:r>
      <w:r w:rsidRPr="00D06C62">
        <w:rPr>
          <w:rFonts w:cs="Open Sans"/>
        </w:rPr>
        <w:t>umours spread on social media downplaying Jody’s disability</w:t>
      </w:r>
      <w:r w:rsidR="002155E2">
        <w:rPr>
          <w:rFonts w:cs="Open Sans"/>
        </w:rPr>
        <w:t>, claiming he was faking being Disabled,</w:t>
      </w:r>
      <w:r w:rsidRPr="00D06C62">
        <w:rPr>
          <w:rFonts w:cs="Open Sans"/>
        </w:rPr>
        <w:t xml:space="preserve"> or suggesting he </w:t>
      </w:r>
      <w:r w:rsidR="002155E2">
        <w:rPr>
          <w:rFonts w:cs="Open Sans"/>
        </w:rPr>
        <w:t>deserved to</w:t>
      </w:r>
      <w:r w:rsidRPr="00D06C62">
        <w:rPr>
          <w:rFonts w:cs="Open Sans"/>
        </w:rPr>
        <w:t xml:space="preserve"> </w:t>
      </w:r>
      <w:r w:rsidR="007E52CF">
        <w:rPr>
          <w:rFonts w:cs="Open Sans"/>
        </w:rPr>
        <w:t xml:space="preserve">be </w:t>
      </w:r>
      <w:r w:rsidR="002155E2">
        <w:rPr>
          <w:rFonts w:cs="Open Sans"/>
        </w:rPr>
        <w:t>dragged and pushe</w:t>
      </w:r>
      <w:r w:rsidRPr="00D06C62">
        <w:rPr>
          <w:rFonts w:cs="Open Sans"/>
        </w:rPr>
        <w:t>d out of his wheelchair by being at the protest</w:t>
      </w:r>
      <w:r w:rsidR="002155E2">
        <w:rPr>
          <w:rStyle w:val="FootnoteReference"/>
          <w:rFonts w:cs="Open Sans"/>
        </w:rPr>
        <w:footnoteReference w:id="58"/>
      </w:r>
      <w:r w:rsidRPr="00D06C62">
        <w:rPr>
          <w:rFonts w:cs="Open Sans"/>
        </w:rPr>
        <w:t>.</w:t>
      </w:r>
    </w:p>
    <w:p w14:paraId="79B54F2C" w14:textId="77777777" w:rsidR="00C43FF5" w:rsidRPr="00C43FF5" w:rsidRDefault="00C43FF5" w:rsidP="00A6421D">
      <w:pPr>
        <w:spacing w:before="240" w:after="240" w:line="360" w:lineRule="auto"/>
      </w:pPr>
    </w:p>
    <w:p w14:paraId="3BAB4498" w14:textId="77777777" w:rsidR="00C43FF5" w:rsidRDefault="00C43FF5" w:rsidP="00A6421D">
      <w:pPr>
        <w:pStyle w:val="Heading4"/>
        <w:spacing w:before="240" w:after="240" w:line="360" w:lineRule="auto"/>
      </w:pPr>
      <w:r>
        <w:t>Why it matters</w:t>
      </w:r>
    </w:p>
    <w:p w14:paraId="16EA71C8" w14:textId="0FA27A47" w:rsidR="008056A8" w:rsidRDefault="008056A8" w:rsidP="00A6421D">
      <w:pPr>
        <w:spacing w:before="240" w:after="240" w:line="360" w:lineRule="auto"/>
      </w:pPr>
    </w:p>
    <w:p w14:paraId="2C27D655" w14:textId="48084C9F" w:rsidR="00194253" w:rsidRDefault="007E52CF" w:rsidP="00A6421D">
      <w:pPr>
        <w:spacing w:before="240" w:after="240" w:line="360" w:lineRule="auto"/>
      </w:pPr>
      <w:r>
        <w:lastRenderedPageBreak/>
        <w:t>Victim</w:t>
      </w:r>
      <w:r w:rsidR="00405CEF">
        <w:t>-</w:t>
      </w:r>
      <w:r>
        <w:t xml:space="preserve">blaming in crimes has been discussed </w:t>
      </w:r>
      <w:r w:rsidR="002A469D">
        <w:t>widely</w:t>
      </w:r>
      <w:r w:rsidR="008A333D">
        <w:rPr>
          <w:rStyle w:val="FootnoteReference"/>
        </w:rPr>
        <w:footnoteReference w:id="59"/>
      </w:r>
      <w:r w:rsidR="002A469D">
        <w:t xml:space="preserve">, including </w:t>
      </w:r>
      <w:r w:rsidR="00FA5632">
        <w:t>directly in relation to disability hate crime</w:t>
      </w:r>
      <w:r w:rsidR="006F678F">
        <w:rPr>
          <w:rStyle w:val="FootnoteReference"/>
        </w:rPr>
        <w:footnoteReference w:id="60"/>
      </w:r>
      <w:r w:rsidR="00F407BF">
        <w:t>, so the consequences of victim blaming have also been well-researched. When media framing leans towards blaming the victim for the crime committed against them, the victim or survivor of the crime is further marginalised</w:t>
      </w:r>
      <w:r w:rsidR="005909B9">
        <w:t>; v</w:t>
      </w:r>
      <w:r w:rsidR="00BD36BD">
        <w:t>ictims can</w:t>
      </w:r>
      <w:r w:rsidR="001E6DDA">
        <w:t xml:space="preserve"> internalise the blame</w:t>
      </w:r>
      <w:r w:rsidR="00704C63">
        <w:t>, are more likely to become mentally distressed and traumatised,</w:t>
      </w:r>
      <w:r w:rsidR="00D825A6">
        <w:t xml:space="preserve"> and it can have a far-reaching effect of discouraging others within the same community to report crimes or seek help and support</w:t>
      </w:r>
      <w:r w:rsidR="00151C2D">
        <w:rPr>
          <w:rStyle w:val="FootnoteReference"/>
        </w:rPr>
        <w:footnoteReference w:id="61"/>
      </w:r>
      <w:r w:rsidR="00D825A6">
        <w:t>.</w:t>
      </w:r>
    </w:p>
    <w:p w14:paraId="6ACACC7A" w14:textId="5A3C0F07" w:rsidR="00405CEF" w:rsidRPr="008056A8" w:rsidRDefault="00405CEF" w:rsidP="00A6421D">
      <w:pPr>
        <w:spacing w:before="240" w:after="240" w:line="360" w:lineRule="auto"/>
      </w:pPr>
      <w:r>
        <w:t xml:space="preserve">Victim-blaming also shifts the focus away from not only the perpetrator’s responsibility for committing the crime, but often also avoids how </w:t>
      </w:r>
      <w:r w:rsidR="008C7AC4">
        <w:t>the structures of society play a role in the crime happening in the first place</w:t>
      </w:r>
      <w:r w:rsidR="00BF2D4F">
        <w:t>; this in turn reduces the focus on societal-wide solutions that should be considered</w:t>
      </w:r>
      <w:r w:rsidR="00BF2D4F">
        <w:rPr>
          <w:rStyle w:val="FootnoteReference"/>
        </w:rPr>
        <w:footnoteReference w:id="62"/>
      </w:r>
      <w:r w:rsidR="00BF2D4F">
        <w:t>.</w:t>
      </w:r>
    </w:p>
    <w:p w14:paraId="4C7344C5" w14:textId="77777777" w:rsidR="00C43FF5" w:rsidRPr="00C43FF5" w:rsidRDefault="00C43FF5" w:rsidP="00A6421D">
      <w:pPr>
        <w:spacing w:before="240" w:after="240" w:line="360" w:lineRule="auto"/>
      </w:pPr>
    </w:p>
    <w:p w14:paraId="52A8C9BC" w14:textId="5DF69C94" w:rsidR="009B18E1" w:rsidRDefault="009B18E1" w:rsidP="00A6421D">
      <w:pPr>
        <w:pStyle w:val="Heading4"/>
        <w:spacing w:before="240" w:after="240" w:line="360" w:lineRule="auto"/>
      </w:pPr>
      <w:r>
        <w:t xml:space="preserve">What could </w:t>
      </w:r>
      <w:r w:rsidR="00233C70">
        <w:t>journalists do</w:t>
      </w:r>
      <w:r>
        <w:t xml:space="preserve"> instead</w:t>
      </w:r>
      <w:r w:rsidR="00233C70">
        <w:t>?</w:t>
      </w:r>
    </w:p>
    <w:p w14:paraId="799BB11A" w14:textId="77777777" w:rsidR="00E7174A" w:rsidRPr="00E7174A" w:rsidRDefault="00E7174A" w:rsidP="00A6421D">
      <w:pPr>
        <w:spacing w:before="240" w:after="240" w:line="360" w:lineRule="auto"/>
      </w:pPr>
    </w:p>
    <w:p w14:paraId="13ECDFD3" w14:textId="54E156E0" w:rsidR="006F3B4C" w:rsidRDefault="005909B9" w:rsidP="00A6421D">
      <w:pPr>
        <w:spacing w:before="240" w:after="240" w:line="360" w:lineRule="auto"/>
        <w:rPr>
          <w:rFonts w:cs="Open Sans"/>
        </w:rPr>
      </w:pPr>
      <w:r>
        <w:rPr>
          <w:rFonts w:cs="Open Sans"/>
        </w:rPr>
        <w:lastRenderedPageBreak/>
        <w:t xml:space="preserve">Given how prevalent victim-blaming is, </w:t>
      </w:r>
      <w:r w:rsidR="00BC65FA">
        <w:rPr>
          <w:rFonts w:cs="Open Sans"/>
        </w:rPr>
        <w:t>additional considerations should be given during the writing and editing process to look for inadvertent victim-blaming that may have seeped into writing. There are deep-rooted s</w:t>
      </w:r>
      <w:r w:rsidR="006837B0">
        <w:rPr>
          <w:rFonts w:cs="Open Sans"/>
        </w:rPr>
        <w:t>ocietal tendencies to blame the victim</w:t>
      </w:r>
      <w:r w:rsidR="00E7174A">
        <w:rPr>
          <w:rFonts w:cs="Open Sans"/>
        </w:rPr>
        <w:t>,</w:t>
      </w:r>
      <w:r w:rsidR="006837B0">
        <w:rPr>
          <w:rFonts w:cs="Open Sans"/>
        </w:rPr>
        <w:t xml:space="preserve"> and this may manifest even in the writing of people who did not intend to write from that angle.</w:t>
      </w:r>
    </w:p>
    <w:p w14:paraId="59929466" w14:textId="13D3ADB9" w:rsidR="006837B0" w:rsidRDefault="00DD13E0" w:rsidP="00A6421D">
      <w:pPr>
        <w:spacing w:before="240" w:after="240" w:line="360" w:lineRule="auto"/>
        <w:contextualSpacing/>
        <w:rPr>
          <w:rFonts w:cs="Open Sans"/>
        </w:rPr>
      </w:pPr>
      <w:r>
        <w:rPr>
          <w:rFonts w:cs="Open Sans"/>
        </w:rPr>
        <w:t>Of course,</w:t>
      </w:r>
      <w:r w:rsidR="00E7174A">
        <w:rPr>
          <w:rFonts w:cs="Open Sans"/>
        </w:rPr>
        <w:t xml:space="preserve"> there are indeed cases where the victim of a </w:t>
      </w:r>
      <w:r w:rsidR="00BE28B8">
        <w:rPr>
          <w:rFonts w:cs="Open Sans"/>
        </w:rPr>
        <w:t>crime</w:t>
      </w:r>
      <w:r w:rsidR="00E7174A">
        <w:rPr>
          <w:rFonts w:cs="Open Sans"/>
        </w:rPr>
        <w:t xml:space="preserve"> may have played </w:t>
      </w:r>
      <w:r>
        <w:rPr>
          <w:rFonts w:cs="Open Sans"/>
        </w:rPr>
        <w:t>some</w:t>
      </w:r>
      <w:r w:rsidR="00E7174A">
        <w:rPr>
          <w:rFonts w:cs="Open Sans"/>
        </w:rPr>
        <w:t xml:space="preserve"> role in the lead-up</w:t>
      </w:r>
      <w:r w:rsidR="00F37C16">
        <w:rPr>
          <w:rFonts w:cs="Open Sans"/>
        </w:rPr>
        <w:t xml:space="preserve"> </w:t>
      </w:r>
      <w:r w:rsidR="0001777F">
        <w:rPr>
          <w:rFonts w:cs="Open Sans"/>
        </w:rPr>
        <w:t>—</w:t>
      </w:r>
      <w:r w:rsidR="00143A49">
        <w:rPr>
          <w:rFonts w:cs="Open Sans"/>
        </w:rPr>
        <w:t xml:space="preserve"> </w:t>
      </w:r>
      <w:r w:rsidR="00E7174A">
        <w:rPr>
          <w:rFonts w:cs="Open Sans"/>
        </w:rPr>
        <w:t xml:space="preserve">such as </w:t>
      </w:r>
      <w:r w:rsidR="00BE28B8">
        <w:rPr>
          <w:rFonts w:cs="Open Sans"/>
        </w:rPr>
        <w:t>a m</w:t>
      </w:r>
      <w:r>
        <w:rPr>
          <w:rFonts w:cs="Open Sans"/>
        </w:rPr>
        <w:t>urd</w:t>
      </w:r>
      <w:r w:rsidR="00BE28B8">
        <w:rPr>
          <w:rFonts w:cs="Open Sans"/>
        </w:rPr>
        <w:t xml:space="preserve">er case resulting from a fight where both parties </w:t>
      </w:r>
      <w:r w:rsidR="00ED01BA">
        <w:rPr>
          <w:rFonts w:cs="Open Sans"/>
        </w:rPr>
        <w:t>escalated</w:t>
      </w:r>
      <w:r w:rsidR="0006716D">
        <w:rPr>
          <w:rFonts w:cs="Open Sans"/>
        </w:rPr>
        <w:t xml:space="preserve"> the fight</w:t>
      </w:r>
      <w:r w:rsidR="0001777F">
        <w:rPr>
          <w:rFonts w:cs="Open Sans"/>
        </w:rPr>
        <w:t xml:space="preserve"> —</w:t>
      </w:r>
      <w:r>
        <w:rPr>
          <w:rFonts w:cs="Open Sans"/>
        </w:rPr>
        <w:t xml:space="preserve"> care should be taken here about where biases are impacting the writer’s </w:t>
      </w:r>
      <w:r w:rsidR="002F57DA">
        <w:rPr>
          <w:rFonts w:cs="Open Sans"/>
        </w:rPr>
        <w:t>decision-making. As described above, whe</w:t>
      </w:r>
      <w:r w:rsidR="00F37C16">
        <w:rPr>
          <w:rFonts w:cs="Open Sans"/>
        </w:rPr>
        <w:t>ther a perpetrator or victim is framed as older or younger</w:t>
      </w:r>
      <w:r w:rsidR="0001777F">
        <w:rPr>
          <w:rFonts w:cs="Open Sans"/>
        </w:rPr>
        <w:t xml:space="preserve"> than their age</w:t>
      </w:r>
      <w:r w:rsidR="00F37C16">
        <w:rPr>
          <w:rFonts w:cs="Open Sans"/>
        </w:rPr>
        <w:t>, more or less threatening, is something influenced by many societal biases</w:t>
      </w:r>
      <w:r w:rsidR="003B230C">
        <w:rPr>
          <w:rFonts w:cs="Open Sans"/>
        </w:rPr>
        <w:t xml:space="preserve"> and bigotries</w:t>
      </w:r>
      <w:r w:rsidR="00F37C16">
        <w:rPr>
          <w:rFonts w:cs="Open Sans"/>
        </w:rPr>
        <w:t xml:space="preserve"> and being aware of this is important </w:t>
      </w:r>
      <w:r w:rsidR="008204D7">
        <w:rPr>
          <w:rFonts w:cs="Open Sans"/>
        </w:rPr>
        <w:t>when reporting</w:t>
      </w:r>
      <w:r w:rsidR="00F37C16">
        <w:rPr>
          <w:rFonts w:cs="Open Sans"/>
        </w:rPr>
        <w:t>.</w:t>
      </w:r>
    </w:p>
    <w:p w14:paraId="37A2D31A" w14:textId="77777777" w:rsidR="00F37C16" w:rsidRPr="00D06C62" w:rsidRDefault="00F37C16" w:rsidP="00A6421D">
      <w:pPr>
        <w:spacing w:before="240" w:after="240" w:line="360" w:lineRule="auto"/>
        <w:rPr>
          <w:rFonts w:cs="Open Sans"/>
        </w:rPr>
      </w:pPr>
    </w:p>
    <w:p w14:paraId="490A49E0" w14:textId="77777777" w:rsidR="006F3B4C" w:rsidRPr="00D06C62" w:rsidRDefault="006F3B4C" w:rsidP="00A6421D">
      <w:pPr>
        <w:pStyle w:val="Content"/>
        <w:rPr>
          <w:rFonts w:cs="Open Sans"/>
        </w:rPr>
      </w:pPr>
    </w:p>
    <w:p w14:paraId="0737FAFE" w14:textId="5EBDAABA" w:rsidR="00AC78F1" w:rsidRDefault="000C5795" w:rsidP="00A6421D">
      <w:pPr>
        <w:pStyle w:val="Heading3"/>
        <w:spacing w:before="240" w:after="240" w:line="360" w:lineRule="auto"/>
      </w:pPr>
      <w:bookmarkStart w:id="31" w:name="_Toc120713478"/>
      <w:r>
        <w:t>Empathy for the perpetrator, demonising or ignoring the victim</w:t>
      </w:r>
      <w:bookmarkEnd w:id="31"/>
    </w:p>
    <w:p w14:paraId="0213DF4B" w14:textId="77777777" w:rsidR="00C43FF5" w:rsidRDefault="00C43FF5" w:rsidP="00A6421D">
      <w:pPr>
        <w:pStyle w:val="Heading4"/>
        <w:spacing w:before="240" w:after="240" w:line="360" w:lineRule="auto"/>
      </w:pPr>
      <w:r>
        <w:t>Overview</w:t>
      </w:r>
    </w:p>
    <w:p w14:paraId="387C039B" w14:textId="77777777" w:rsidR="000C5795" w:rsidRDefault="00816561" w:rsidP="00A6421D">
      <w:pPr>
        <w:pStyle w:val="Content"/>
        <w:rPr>
          <w:rFonts w:cs="Open Sans"/>
        </w:rPr>
      </w:pPr>
      <w:r w:rsidRPr="00D06C62">
        <w:rPr>
          <w:rFonts w:cs="Open Sans"/>
        </w:rPr>
        <w:t xml:space="preserve">This is a particularly sensitive topic for the Disabled community, given the tendency for news reports to be empathetic towards parents (or other family members) who commit filicide (murder of their family members) against their Disabled relatives. This empathizing is often to the point of ignoring the victim unless it is to highlight how significant their “difficulties” were or to portray them as a burden to their family. </w:t>
      </w:r>
    </w:p>
    <w:p w14:paraId="0AB62523" w14:textId="6628A0F5" w:rsidR="00816561" w:rsidRPr="00D06C62" w:rsidRDefault="00816561" w:rsidP="00A6421D">
      <w:pPr>
        <w:pStyle w:val="Content"/>
        <w:rPr>
          <w:rFonts w:cs="Open Sans"/>
        </w:rPr>
      </w:pPr>
      <w:r>
        <w:rPr>
          <w:rFonts w:cs="Open Sans"/>
        </w:rPr>
        <w:lastRenderedPageBreak/>
        <w:t xml:space="preserve">All of which creates a narrative that wavers </w:t>
      </w:r>
      <w:r w:rsidR="000C5795">
        <w:rPr>
          <w:rFonts w:cs="Open Sans"/>
        </w:rPr>
        <w:t>varyingly</w:t>
      </w:r>
      <w:r>
        <w:rPr>
          <w:rFonts w:cs="Open Sans"/>
        </w:rPr>
        <w:t xml:space="preserve"> between </w:t>
      </w:r>
      <w:r w:rsidR="000C5795">
        <w:rPr>
          <w:rFonts w:cs="Open Sans"/>
        </w:rPr>
        <w:t>‘</w:t>
      </w:r>
      <w:r>
        <w:rPr>
          <w:rFonts w:cs="Open Sans"/>
        </w:rPr>
        <w:t>the Disabled person is better off dead</w:t>
      </w:r>
      <w:r w:rsidR="000C5795">
        <w:rPr>
          <w:rFonts w:cs="Open Sans"/>
        </w:rPr>
        <w:t>’</w:t>
      </w:r>
      <w:r>
        <w:rPr>
          <w:rFonts w:cs="Open Sans"/>
        </w:rPr>
        <w:t xml:space="preserve"> </w:t>
      </w:r>
      <w:r w:rsidR="000C5795">
        <w:rPr>
          <w:rFonts w:cs="Open Sans"/>
        </w:rPr>
        <w:t>and</w:t>
      </w:r>
      <w:r>
        <w:rPr>
          <w:rFonts w:cs="Open Sans"/>
        </w:rPr>
        <w:t xml:space="preserve"> </w:t>
      </w:r>
      <w:r w:rsidR="000C5795">
        <w:rPr>
          <w:rFonts w:cs="Open Sans"/>
        </w:rPr>
        <w:t>‘</w:t>
      </w:r>
      <w:r>
        <w:rPr>
          <w:rFonts w:cs="Open Sans"/>
        </w:rPr>
        <w:t xml:space="preserve">the perpetrator shouldn’t really be blamed because providing care for a Disabled person is </w:t>
      </w:r>
      <w:r w:rsidR="00ED01BA">
        <w:rPr>
          <w:rFonts w:cs="Open Sans"/>
        </w:rPr>
        <w:t>hard enough</w:t>
      </w:r>
      <w:r>
        <w:rPr>
          <w:rFonts w:cs="Open Sans"/>
        </w:rPr>
        <w:t xml:space="preserve"> that it is a reason for murdering that Disabled people</w:t>
      </w:r>
      <w:r w:rsidR="000C5795">
        <w:rPr>
          <w:rFonts w:cs="Open Sans"/>
        </w:rPr>
        <w:t>’</w:t>
      </w:r>
      <w:r>
        <w:rPr>
          <w:rFonts w:cs="Open Sans"/>
        </w:rPr>
        <w:t>.</w:t>
      </w:r>
    </w:p>
    <w:p w14:paraId="08BB6212" w14:textId="1A731A5A" w:rsidR="00816561" w:rsidRDefault="00816561" w:rsidP="00A6421D">
      <w:pPr>
        <w:pStyle w:val="Content"/>
        <w:rPr>
          <w:rFonts w:cs="Open Sans"/>
        </w:rPr>
      </w:pPr>
      <w:r w:rsidRPr="00D06C62">
        <w:rPr>
          <w:rFonts w:cs="Open Sans"/>
        </w:rPr>
        <w:t>Th</w:t>
      </w:r>
      <w:r w:rsidR="000C5795">
        <w:rPr>
          <w:rFonts w:cs="Open Sans"/>
        </w:rPr>
        <w:t>is happens so frequently, with the same type of media response</w:t>
      </w:r>
      <w:r w:rsidR="00D8296B">
        <w:rPr>
          <w:rFonts w:cs="Open Sans"/>
        </w:rPr>
        <w:t>,</w:t>
      </w:r>
      <w:r w:rsidR="000C5795">
        <w:rPr>
          <w:rFonts w:cs="Open Sans"/>
        </w:rPr>
        <w:t xml:space="preserve"> that th</w:t>
      </w:r>
      <w:r w:rsidRPr="00D06C62">
        <w:rPr>
          <w:rFonts w:cs="Open Sans"/>
        </w:rPr>
        <w:t xml:space="preserve">e </w:t>
      </w:r>
      <w:r w:rsidRPr="00D06C62">
        <w:rPr>
          <w:rFonts w:cs="Open Sans"/>
          <w:b/>
          <w:bCs/>
        </w:rPr>
        <w:t>Disability Day of Mourning</w:t>
      </w:r>
      <w:r w:rsidR="00D8296B">
        <w:rPr>
          <w:rStyle w:val="FootnoteReference"/>
          <w:rFonts w:cs="Open Sans"/>
          <w:b/>
          <w:bCs/>
        </w:rPr>
        <w:footnoteReference w:id="63"/>
      </w:r>
      <w:r w:rsidRPr="00D06C62">
        <w:rPr>
          <w:rFonts w:cs="Open Sans"/>
          <w:b/>
          <w:bCs/>
        </w:rPr>
        <w:t xml:space="preserve"> </w:t>
      </w:r>
      <w:r w:rsidRPr="00D06C62">
        <w:rPr>
          <w:rFonts w:cs="Open Sans"/>
        </w:rPr>
        <w:t xml:space="preserve">was established to remember these victims and to draw attention to the act of filicide, and how it is often downplayed when the victim was Disabled. </w:t>
      </w:r>
    </w:p>
    <w:p w14:paraId="4F6A027B" w14:textId="77777777" w:rsidR="00C43FF5" w:rsidRPr="00C43FF5" w:rsidRDefault="00C43FF5" w:rsidP="00A6421D">
      <w:pPr>
        <w:spacing w:before="240" w:after="240" w:line="360" w:lineRule="auto"/>
      </w:pPr>
    </w:p>
    <w:p w14:paraId="30EE1868" w14:textId="77777777" w:rsidR="00C43FF5" w:rsidRDefault="00C43FF5" w:rsidP="00A6421D">
      <w:pPr>
        <w:pStyle w:val="Heading4"/>
        <w:spacing w:before="240" w:after="240" w:line="360" w:lineRule="auto"/>
      </w:pPr>
      <w:r>
        <w:t>Examples</w:t>
      </w:r>
    </w:p>
    <w:p w14:paraId="392B1198" w14:textId="24B2205A" w:rsidR="00C43FF5" w:rsidRDefault="00313137" w:rsidP="00A6421D">
      <w:pPr>
        <w:spacing w:before="240" w:after="240" w:line="360" w:lineRule="auto"/>
      </w:pPr>
      <w:r>
        <w:t>A</w:t>
      </w:r>
      <w:r w:rsidR="0012640F">
        <w:t xml:space="preserve">s demonstrated by the presence of the Disability Day of Mourning and the associated Anti-Filicide Toolkit described below, there are </w:t>
      </w:r>
      <w:r w:rsidR="00176B16">
        <w:t>far too many examples of this.</w:t>
      </w:r>
    </w:p>
    <w:p w14:paraId="5E2EB238" w14:textId="35D95D78" w:rsidR="00176B16" w:rsidRDefault="00176B16" w:rsidP="00A6421D">
      <w:pPr>
        <w:spacing w:before="240" w:after="240" w:line="360" w:lineRule="auto"/>
      </w:pPr>
      <w:r>
        <w:t xml:space="preserve">Elderly women with dementia and Disabled children were the two groups in our research where this portrayal of being a </w:t>
      </w:r>
      <w:r w:rsidR="003839CB">
        <w:t>‘</w:t>
      </w:r>
      <w:r>
        <w:t>burden</w:t>
      </w:r>
      <w:r w:rsidR="003839CB">
        <w:t>’</w:t>
      </w:r>
      <w:r>
        <w:t xml:space="preserve"> or ‘difficult’ </w:t>
      </w:r>
      <w:r w:rsidR="00ED01BA">
        <w:t>was</w:t>
      </w:r>
      <w:r>
        <w:t xml:space="preserve"> most likely to occur. However, they were not the sole groups.</w:t>
      </w:r>
    </w:p>
    <w:p w14:paraId="3C02DB05" w14:textId="4E0D287F" w:rsidR="00581794" w:rsidRDefault="00581794" w:rsidP="00A6421D">
      <w:pPr>
        <w:spacing w:before="240" w:after="240" w:line="360" w:lineRule="auto"/>
      </w:pPr>
      <w:r>
        <w:t>What is often of particular importance is not only how the Disabled victim is described, but how their perpetrator is described by comparison.</w:t>
      </w:r>
    </w:p>
    <w:p w14:paraId="53C89CDB" w14:textId="65806896" w:rsidR="00CF1776" w:rsidRDefault="00581794" w:rsidP="00A6421D">
      <w:pPr>
        <w:spacing w:before="240" w:after="240" w:line="360" w:lineRule="auto"/>
      </w:pPr>
      <w:r>
        <w:lastRenderedPageBreak/>
        <w:t>Betty Lyons, an elderly woman with Alzheimer’s, was described in articles as “aggressive” and “forceful” while her husband</w:t>
      </w:r>
      <w:r w:rsidR="009A0D8B">
        <w:t>, George, who completed suicide after murdering his wife, was described as “devoted” and “loving”</w:t>
      </w:r>
      <w:r w:rsidR="00A41AD7">
        <w:rPr>
          <w:rStyle w:val="FootnoteReference"/>
        </w:rPr>
        <w:footnoteReference w:id="64"/>
      </w:r>
      <w:r w:rsidR="009A0D8B">
        <w:t>.</w:t>
      </w:r>
      <w:r w:rsidR="00491957">
        <w:t xml:space="preserve"> </w:t>
      </w:r>
    </w:p>
    <w:p w14:paraId="46DBC8E6" w14:textId="7395DCE0" w:rsidR="00176B16" w:rsidRDefault="001D229C" w:rsidP="00A6421D">
      <w:pPr>
        <w:spacing w:before="240" w:after="240" w:line="360" w:lineRule="auto"/>
      </w:pPr>
      <w:r>
        <w:t xml:space="preserve">Olivia Kray, a </w:t>
      </w:r>
      <w:r w:rsidR="00D91302">
        <w:t xml:space="preserve">teenage girl with mental health conditions, was described as “reliant on her father”, having “severe needs”, and that her father was “at the end of his tether with her”, while her father, Richard, </w:t>
      </w:r>
      <w:r w:rsidR="00CF1776">
        <w:t>was described as being “under pressure”, “a loving father”, and someone who “gave up his time to help Disabled children”</w:t>
      </w:r>
      <w:r w:rsidR="00A41AD7">
        <w:rPr>
          <w:rStyle w:val="FootnoteReference"/>
        </w:rPr>
        <w:footnoteReference w:id="65"/>
      </w:r>
      <w:r w:rsidR="00CF1776">
        <w:t>.</w:t>
      </w:r>
    </w:p>
    <w:p w14:paraId="0D3ECDA4" w14:textId="58936D47" w:rsidR="00CF1776" w:rsidRDefault="00ED3285" w:rsidP="00A6421D">
      <w:pPr>
        <w:spacing w:before="240" w:after="240" w:line="360" w:lineRule="auto"/>
      </w:pPr>
      <w:r>
        <w:t>The murder of Patrick Mark</w:t>
      </w:r>
      <w:r w:rsidR="00F31D9C">
        <w:t>c</w:t>
      </w:r>
      <w:r>
        <w:t xml:space="preserve">row, a 36-year-old man with Downs Syndrome, was also described in similar framings. Patrick’s </w:t>
      </w:r>
      <w:r w:rsidR="0040312A">
        <w:t>support needs were emphasised in summaries and quotes from people in the neighbourhood he lived in</w:t>
      </w:r>
      <w:r w:rsidR="0043430A">
        <w:t>. He was described as “autism-afflicted”, “violent”, “out of control”, and</w:t>
      </w:r>
      <w:r w:rsidR="00552E72">
        <w:t xml:space="preserve"> “beyond reasoning with”, while his mother, Wendolyn, was described again as “at the end of her tether”, “devoted”, and “loving”</w:t>
      </w:r>
      <w:r w:rsidR="00F31D9C">
        <w:rPr>
          <w:rStyle w:val="FootnoteReference"/>
        </w:rPr>
        <w:footnoteReference w:id="66"/>
      </w:r>
      <w:r w:rsidR="00552E72">
        <w:t>.</w:t>
      </w:r>
    </w:p>
    <w:p w14:paraId="0A4DBD7D" w14:textId="77777777" w:rsidR="00D8296B" w:rsidRPr="00C43FF5" w:rsidRDefault="00D8296B" w:rsidP="00A6421D">
      <w:pPr>
        <w:spacing w:before="240" w:after="240" w:line="360" w:lineRule="auto"/>
      </w:pPr>
    </w:p>
    <w:p w14:paraId="444EB675" w14:textId="77777777" w:rsidR="00C43FF5" w:rsidRDefault="00C43FF5" w:rsidP="00A6421D">
      <w:pPr>
        <w:pStyle w:val="Heading4"/>
        <w:spacing w:before="240" w:after="240" w:line="360" w:lineRule="auto"/>
      </w:pPr>
      <w:r>
        <w:t>Why it matters</w:t>
      </w:r>
    </w:p>
    <w:p w14:paraId="3303ABAF" w14:textId="5274DEB7" w:rsidR="0004182C" w:rsidRDefault="00F205FE" w:rsidP="00A6421D">
      <w:pPr>
        <w:spacing w:before="240" w:after="240" w:line="360" w:lineRule="auto"/>
      </w:pPr>
      <w:r>
        <w:t xml:space="preserve">We have found </w:t>
      </w:r>
      <w:r w:rsidR="00081525">
        <w:t>t</w:t>
      </w:r>
      <w:r w:rsidR="00AF3B58">
        <w:t>he media all too often frame Disabled people as burdens to their families</w:t>
      </w:r>
      <w:r w:rsidR="00870D66">
        <w:t>, even when a Disabled person has been murdered by a family member.</w:t>
      </w:r>
    </w:p>
    <w:p w14:paraId="4282F46A" w14:textId="7D5D83F6" w:rsidR="000532AC" w:rsidRDefault="000532AC" w:rsidP="00A6421D">
      <w:pPr>
        <w:spacing w:before="240" w:after="240" w:line="360" w:lineRule="auto"/>
      </w:pPr>
      <w:r>
        <w:lastRenderedPageBreak/>
        <w:t xml:space="preserve">From the 2022 Anti-Filicide Toolkit by ASAN, this line succinctly summarises the pattern </w:t>
      </w:r>
      <w:r w:rsidR="007A6A28">
        <w:t>and why this framing has far</w:t>
      </w:r>
      <w:r w:rsidR="00081525">
        <w:t>-</w:t>
      </w:r>
      <w:r w:rsidR="007A6A28">
        <w:t>reaching impacts:</w:t>
      </w:r>
    </w:p>
    <w:p w14:paraId="5F25B0BD" w14:textId="1D30727C" w:rsidR="007A6A28" w:rsidRDefault="007A6A28" w:rsidP="00A6421D">
      <w:pPr>
        <w:spacing w:before="240" w:after="240" w:line="360" w:lineRule="auto"/>
        <w:jc w:val="center"/>
        <w:rPr>
          <w:i/>
          <w:iCs/>
        </w:rPr>
      </w:pPr>
      <w:r w:rsidRPr="007A6A28">
        <w:rPr>
          <w:i/>
          <w:iCs/>
        </w:rPr>
        <w:t>“We see the same pattern repeating over and over again. A parent kills their disabled child. The media portrays these murders as justifiable and inevitable due to the “burden” of having a disabled person in the family. If the parent stands trial, they are given sympathy and comparatively lighter sentences, if they are sentenced at all. The victims are disregarded, blamed for their own murder at the hands of the person they should have been able to trust the most, and ultimately forgotten. And then the cycle repeats.”</w:t>
      </w:r>
    </w:p>
    <w:p w14:paraId="5B7DA104" w14:textId="6D358468" w:rsidR="007A6A28" w:rsidRPr="007A6A28" w:rsidRDefault="007A6A28" w:rsidP="00A6421D">
      <w:pPr>
        <w:pStyle w:val="ListParagraph"/>
        <w:numPr>
          <w:ilvl w:val="0"/>
          <w:numId w:val="12"/>
        </w:numPr>
        <w:spacing w:before="240" w:after="240" w:line="360" w:lineRule="auto"/>
        <w:jc w:val="right"/>
        <w:rPr>
          <w:i/>
          <w:iCs/>
        </w:rPr>
      </w:pPr>
      <w:r>
        <w:rPr>
          <w:i/>
          <w:iCs/>
        </w:rPr>
        <w:t>ASAN’s 2022 Anti-Filicide Toolkit</w:t>
      </w:r>
      <w:r>
        <w:rPr>
          <w:rStyle w:val="FootnoteReference"/>
          <w:i/>
          <w:iCs/>
        </w:rPr>
        <w:footnoteReference w:id="67"/>
      </w:r>
    </w:p>
    <w:p w14:paraId="0473DABF" w14:textId="77777777" w:rsidR="00A56603" w:rsidRDefault="00A56603" w:rsidP="00A6421D">
      <w:pPr>
        <w:spacing w:before="240" w:after="240" w:line="360" w:lineRule="auto"/>
      </w:pPr>
    </w:p>
    <w:p w14:paraId="640BC4E3" w14:textId="68F916FB" w:rsidR="00B7337A" w:rsidRDefault="00B7337A" w:rsidP="00A6421D">
      <w:pPr>
        <w:spacing w:before="240" w:after="240" w:line="360" w:lineRule="auto"/>
      </w:pPr>
      <w:r>
        <w:t>In these stories, the Disabled victims ar</w:t>
      </w:r>
      <w:r w:rsidR="001E5D84">
        <w:t>e</w:t>
      </w:r>
      <w:r>
        <w:t xml:space="preserve"> essentially being blamed for their own murders; with the implication being that </w:t>
      </w:r>
      <w:r w:rsidR="009348D6">
        <w:t xml:space="preserve">their impairments </w:t>
      </w:r>
      <w:r w:rsidR="00386A4E">
        <w:t>and/</w:t>
      </w:r>
      <w:r w:rsidR="009348D6">
        <w:t>or disability caused their family member to murder them.</w:t>
      </w:r>
      <w:r w:rsidR="00ED01BA">
        <w:t xml:space="preserve"> Which is a profoundly offensive suggestion and, in some case, may originate from the same hostility and contempt that underpins disability hate crimes.</w:t>
      </w:r>
    </w:p>
    <w:p w14:paraId="3B23E37E" w14:textId="1012A1E4" w:rsidR="009348D6" w:rsidRDefault="00FA31E5" w:rsidP="00A6421D">
      <w:pPr>
        <w:spacing w:before="240" w:after="240" w:line="360" w:lineRule="auto"/>
      </w:pPr>
      <w:r>
        <w:t xml:space="preserve">While news articles may seek to include motives for why a person committed a crime, </w:t>
      </w:r>
      <w:r w:rsidR="004804E3">
        <w:t xml:space="preserve">in this </w:t>
      </w:r>
      <w:r w:rsidR="00ED01BA">
        <w:t>category,</w:t>
      </w:r>
      <w:r w:rsidR="004804E3">
        <w:t xml:space="preserve"> it goes far beyond describing a motive and into the territory of excusing the crime. </w:t>
      </w:r>
      <w:r w:rsidR="005813F7">
        <w:t xml:space="preserve">Worse still, it takes away empathy from the victim </w:t>
      </w:r>
      <w:bookmarkStart w:id="32" w:name="_Hlk114067594"/>
      <w:r w:rsidR="00EC33A6">
        <w:t>—</w:t>
      </w:r>
      <w:bookmarkEnd w:id="32"/>
      <w:r w:rsidR="005813F7">
        <w:t xml:space="preserve"> who in most of these cases has been </w:t>
      </w:r>
      <w:r w:rsidR="00ED01BA">
        <w:t>murdere</w:t>
      </w:r>
      <w:r w:rsidR="005813F7">
        <w:t xml:space="preserve">d </w:t>
      </w:r>
      <w:r w:rsidR="00EC33A6">
        <w:t>—</w:t>
      </w:r>
      <w:r w:rsidR="005813F7">
        <w:t xml:space="preserve"> and instead places it on the person who killed them.</w:t>
      </w:r>
      <w:r w:rsidR="00FB78A1">
        <w:t xml:space="preserve"> Coupled with </w:t>
      </w:r>
      <w:r w:rsidR="00414811">
        <w:lastRenderedPageBreak/>
        <w:t>pattern</w:t>
      </w:r>
      <w:r w:rsidR="001C4504">
        <w:t>s</w:t>
      </w:r>
      <w:r w:rsidR="00414811">
        <w:t xml:space="preserve"> of</w:t>
      </w:r>
      <w:r w:rsidR="00FB78A1">
        <w:t xml:space="preserve"> perpetrators receiving light</w:t>
      </w:r>
      <w:r w:rsidR="001C4504">
        <w:t>er</w:t>
      </w:r>
      <w:r w:rsidR="00FB78A1">
        <w:t xml:space="preserve"> sentences</w:t>
      </w:r>
      <w:r w:rsidR="001C4504">
        <w:t xml:space="preserve"> than </w:t>
      </w:r>
      <w:r w:rsidR="00F1120A">
        <w:t>the murders of victims who were not Disabled</w:t>
      </w:r>
      <w:r w:rsidR="00344110">
        <w:t xml:space="preserve">, it is not surprising that the Disabled community find this </w:t>
      </w:r>
      <w:r w:rsidR="004C7D2C">
        <w:t>form</w:t>
      </w:r>
      <w:r w:rsidR="00344110">
        <w:t xml:space="preserve"> of disablist reporting particularly unpleasant.</w:t>
      </w:r>
      <w:r w:rsidR="004804E3">
        <w:t xml:space="preserve"> </w:t>
      </w:r>
    </w:p>
    <w:p w14:paraId="5D468BCF" w14:textId="77777777" w:rsidR="00FF5886" w:rsidRDefault="00FF5886" w:rsidP="00A6421D">
      <w:pPr>
        <w:spacing w:before="240" w:after="240" w:line="360" w:lineRule="auto"/>
      </w:pPr>
    </w:p>
    <w:p w14:paraId="7CBA3C9E" w14:textId="0433A06E" w:rsidR="0004182C" w:rsidRDefault="0004182C" w:rsidP="00A6421D">
      <w:pPr>
        <w:pStyle w:val="Heading4"/>
        <w:spacing w:before="240" w:after="240" w:line="360" w:lineRule="auto"/>
      </w:pPr>
      <w:r>
        <w:t xml:space="preserve">What could </w:t>
      </w:r>
      <w:r w:rsidR="002426E2">
        <w:t>journalists do</w:t>
      </w:r>
      <w:r>
        <w:t xml:space="preserve"> instead</w:t>
      </w:r>
    </w:p>
    <w:p w14:paraId="5A1607F0" w14:textId="567F01EA" w:rsidR="00BF2622" w:rsidRDefault="00ED01BA" w:rsidP="00A6421D">
      <w:pPr>
        <w:spacing w:before="240" w:after="240" w:line="360" w:lineRule="auto"/>
      </w:pPr>
      <w:r>
        <w:t xml:space="preserve">Care </w:t>
      </w:r>
      <w:r w:rsidR="003C4A7C">
        <w:t>must</w:t>
      </w:r>
      <w:r>
        <w:t xml:space="preserve"> be taken to make sure a</w:t>
      </w:r>
      <w:r w:rsidR="00D57549" w:rsidRPr="00ED01BA">
        <w:t xml:space="preserve">rticles </w:t>
      </w:r>
      <w:r w:rsidR="003C4A7C">
        <w:t xml:space="preserve">are </w:t>
      </w:r>
      <w:r w:rsidR="003C4A7C" w:rsidRPr="00ED01BA">
        <w:t>not</w:t>
      </w:r>
      <w:r w:rsidR="00D57549" w:rsidRPr="00ED01BA">
        <w:t xml:space="preserve"> framed in a way that</w:t>
      </w:r>
      <w:r w:rsidR="003C4A7C">
        <w:t xml:space="preserve"> suggests</w:t>
      </w:r>
      <w:r w:rsidR="00053B93" w:rsidRPr="00ED01BA">
        <w:t xml:space="preserve"> </w:t>
      </w:r>
      <w:r w:rsidR="002D12B3" w:rsidRPr="00ED01BA">
        <w:t xml:space="preserve">Disabled people </w:t>
      </w:r>
      <w:r w:rsidR="00053B93" w:rsidRPr="00ED01BA">
        <w:t>are in any way</w:t>
      </w:r>
      <w:r w:rsidR="002D12B3" w:rsidRPr="00ED01BA">
        <w:t xml:space="preserve"> responsible for someone abusing, harming, or killing them.</w:t>
      </w:r>
      <w:r w:rsidR="002D12B3">
        <w:t xml:space="preserve"> </w:t>
      </w:r>
      <w:r w:rsidR="003C4A7C">
        <w:t>As these framings are often alongside the language of burden discussed earlier, it implies</w:t>
      </w:r>
      <w:r w:rsidR="008D7C8B">
        <w:t xml:space="preserve"> that Disabled people deserve to be harmed or killed because people might find their support needs “to</w:t>
      </w:r>
      <w:r w:rsidR="003C4A7C">
        <w:t>o</w:t>
      </w:r>
      <w:r w:rsidR="008D7C8B">
        <w:t xml:space="preserve"> difficult”</w:t>
      </w:r>
      <w:r w:rsidR="003000A0">
        <w:t xml:space="preserve"> and their lives are of less value than their non-Disabled peers</w:t>
      </w:r>
      <w:r w:rsidR="008D7C8B">
        <w:t xml:space="preserve">. </w:t>
      </w:r>
      <w:r w:rsidR="003C4A7C">
        <w:t>Taking it out is the best approach to removing disablist implications.</w:t>
      </w:r>
    </w:p>
    <w:p w14:paraId="52C8F824" w14:textId="77777777" w:rsidR="003C4A7C" w:rsidRDefault="003C4A7C" w:rsidP="00A6421D">
      <w:pPr>
        <w:spacing w:before="240" w:after="240" w:line="360" w:lineRule="auto"/>
      </w:pPr>
      <w:r>
        <w:t>If the journalist’s intentions</w:t>
      </w:r>
      <w:r w:rsidR="001A0973">
        <w:t xml:space="preserve"> </w:t>
      </w:r>
      <w:r>
        <w:t>are</w:t>
      </w:r>
      <w:r w:rsidR="001A0973">
        <w:t xml:space="preserve"> to emphasise the lack of</w:t>
      </w:r>
      <w:r w:rsidR="008F5025">
        <w:t xml:space="preserve"> or cuts to</w:t>
      </w:r>
      <w:r w:rsidR="001A0973">
        <w:t xml:space="preserve"> services which may have contributed to a situation, there are ways to </w:t>
      </w:r>
      <w:r w:rsidR="002661A0">
        <w:t xml:space="preserve">include this </w:t>
      </w:r>
      <w:r w:rsidR="008F5025">
        <w:t>context without</w:t>
      </w:r>
      <w:r w:rsidR="002661A0">
        <w:t xml:space="preserve"> claiming that their absence also </w:t>
      </w:r>
      <w:r>
        <w:t>excuses</w:t>
      </w:r>
      <w:r w:rsidR="002661A0">
        <w:t xml:space="preserve"> murder or abuse.</w:t>
      </w:r>
      <w:r>
        <w:t xml:space="preserve"> Cuts to services create the situational vulnerability discussed earlier in this report, isolating the victim and putting them at risk, so this is where focus could be placed instead of in excusing the harm.</w:t>
      </w:r>
      <w:r w:rsidR="002661A0">
        <w:t xml:space="preserve"> </w:t>
      </w:r>
    </w:p>
    <w:p w14:paraId="7ECFD279" w14:textId="55CDAB7C" w:rsidR="008D7C8B" w:rsidRDefault="008F5025" w:rsidP="00A6421D">
      <w:pPr>
        <w:spacing w:before="240" w:after="240" w:line="360" w:lineRule="auto"/>
      </w:pPr>
      <w:r>
        <w:t>It should</w:t>
      </w:r>
      <w:r w:rsidR="003C4A7C">
        <w:t xml:space="preserve"> also</w:t>
      </w:r>
      <w:r>
        <w:t xml:space="preserve"> be noted, though, that in </w:t>
      </w:r>
      <w:r w:rsidR="00864147">
        <w:t>some</w:t>
      </w:r>
      <w:r>
        <w:t xml:space="preserve"> cases which fit under this </w:t>
      </w:r>
      <w:r w:rsidR="00864147">
        <w:t>category, the victim was already in a form of residential care where the perpetrator was not responsible for the support needs; yet the language of the Disabled victim being a burden to the perpetrator was still utilised.</w:t>
      </w:r>
    </w:p>
    <w:p w14:paraId="1DC06227" w14:textId="7DE42962" w:rsidR="00864147" w:rsidRPr="00C43FF5" w:rsidRDefault="003B4425" w:rsidP="00A6421D">
      <w:pPr>
        <w:spacing w:before="240" w:after="240" w:line="360" w:lineRule="auto"/>
      </w:pPr>
      <w:r>
        <w:lastRenderedPageBreak/>
        <w:t>Above all</w:t>
      </w:r>
      <w:r w:rsidDel="00742A6C">
        <w:t xml:space="preserve">, </w:t>
      </w:r>
      <w:r>
        <w:t>the victims should be centred in these cases and their murder</w:t>
      </w:r>
      <w:r w:rsidR="004175CE">
        <w:t xml:space="preserve"> or harm should not be justified or minimised in the way it so often is in writing.</w:t>
      </w:r>
      <w:r w:rsidR="00CE3443">
        <w:t xml:space="preserve"> The value of individual life should always be maintained, and there were </w:t>
      </w:r>
      <w:r w:rsidR="004175CE">
        <w:t>articles</w:t>
      </w:r>
      <w:r w:rsidR="00CE3443">
        <w:t>, including</w:t>
      </w:r>
      <w:r w:rsidR="003C4A7C">
        <w:t xml:space="preserve"> some about</w:t>
      </w:r>
      <w:r w:rsidR="00CE3443">
        <w:t xml:space="preserve"> the cases above </w:t>
      </w:r>
      <w:r w:rsidR="003C4A7C">
        <w:t>and in the earlier example of Glen Freaney</w:t>
      </w:r>
      <w:r w:rsidR="00CE3443">
        <w:t>, which</w:t>
      </w:r>
      <w:r w:rsidR="004175CE">
        <w:t xml:space="preserve"> emphasised the joy that the victims had for life and their involvement in the community, which countered other portrayals of burden and negativity.</w:t>
      </w:r>
    </w:p>
    <w:p w14:paraId="3E489D0D" w14:textId="77777777" w:rsidR="006F3B4C" w:rsidRPr="00D06C62" w:rsidRDefault="006F3B4C" w:rsidP="00A6421D">
      <w:pPr>
        <w:pStyle w:val="Content"/>
        <w:rPr>
          <w:rFonts w:cs="Open Sans"/>
        </w:rPr>
      </w:pPr>
    </w:p>
    <w:p w14:paraId="534D451F" w14:textId="052D9A32" w:rsidR="0084584C" w:rsidRDefault="0084584C" w:rsidP="00A6421D">
      <w:pPr>
        <w:pStyle w:val="Heading3"/>
        <w:spacing w:before="240" w:after="240" w:line="360" w:lineRule="auto"/>
        <w:rPr>
          <w:rFonts w:cs="Open Sans"/>
        </w:rPr>
      </w:pPr>
      <w:bookmarkStart w:id="33" w:name="_Toc120713479"/>
      <w:r>
        <w:rPr>
          <w:rFonts w:cs="Open Sans"/>
        </w:rPr>
        <w:t>Disablist</w:t>
      </w:r>
      <w:r w:rsidR="009C2728">
        <w:rPr>
          <w:rFonts w:cs="Open Sans"/>
        </w:rPr>
        <w:t xml:space="preserve"> and other bigoted</w:t>
      </w:r>
      <w:r>
        <w:rPr>
          <w:rFonts w:cs="Open Sans"/>
        </w:rPr>
        <w:t xml:space="preserve"> language</w:t>
      </w:r>
      <w:r w:rsidR="00A91629">
        <w:rPr>
          <w:rFonts w:cs="Open Sans"/>
        </w:rPr>
        <w:t xml:space="preserve"> and phrasing</w:t>
      </w:r>
      <w:r>
        <w:rPr>
          <w:rFonts w:cs="Open Sans"/>
        </w:rPr>
        <w:t xml:space="preserve"> in discussing the per</w:t>
      </w:r>
      <w:r w:rsidR="009C2728">
        <w:rPr>
          <w:rFonts w:cs="Open Sans"/>
        </w:rPr>
        <w:t>petrators</w:t>
      </w:r>
      <w:bookmarkEnd w:id="33"/>
      <w:r w:rsidR="009C2728">
        <w:rPr>
          <w:rFonts w:cs="Open Sans"/>
        </w:rPr>
        <w:t xml:space="preserve"> </w:t>
      </w:r>
    </w:p>
    <w:p w14:paraId="620018E9" w14:textId="77777777" w:rsidR="00C43FF5" w:rsidRDefault="00C43FF5" w:rsidP="00A6421D">
      <w:pPr>
        <w:pStyle w:val="Heading4"/>
        <w:spacing w:before="240" w:after="240" w:line="360" w:lineRule="auto"/>
      </w:pPr>
      <w:r>
        <w:t>Overview</w:t>
      </w:r>
    </w:p>
    <w:p w14:paraId="0CF404EF" w14:textId="41E617DF" w:rsidR="00A91629" w:rsidRDefault="00A91629" w:rsidP="00A6421D">
      <w:pPr>
        <w:pStyle w:val="Content"/>
        <w:rPr>
          <w:rFonts w:cs="Open Sans"/>
        </w:rPr>
      </w:pPr>
      <w:r>
        <w:rPr>
          <w:rFonts w:cs="Open Sans"/>
        </w:rPr>
        <w:t xml:space="preserve">Bigoted language and framing </w:t>
      </w:r>
      <w:r w:rsidR="00AD4E9E">
        <w:rPr>
          <w:rFonts w:cs="Open Sans"/>
        </w:rPr>
        <w:t>were</w:t>
      </w:r>
      <w:r>
        <w:rPr>
          <w:rFonts w:cs="Open Sans"/>
        </w:rPr>
        <w:t xml:space="preserve"> used in writing about the perpetrators of crimes. </w:t>
      </w:r>
      <w:r w:rsidR="00D35E8C">
        <w:rPr>
          <w:rFonts w:cs="Open Sans"/>
        </w:rPr>
        <w:t>As touched upon earlier</w:t>
      </w:r>
      <w:r>
        <w:rPr>
          <w:rFonts w:cs="Open Sans"/>
        </w:rPr>
        <w:t xml:space="preserve">, disablist language in discussing those who have committed crimes is commonplace. This has become a topic of conversation in an increasing number of social media spaces, and how avoiding this bigoted and </w:t>
      </w:r>
      <w:r w:rsidR="00191B92">
        <w:rPr>
          <w:rFonts w:cs="Open Sans"/>
        </w:rPr>
        <w:t>‘</w:t>
      </w:r>
      <w:r>
        <w:rPr>
          <w:rFonts w:cs="Open Sans"/>
        </w:rPr>
        <w:t>othering</w:t>
      </w:r>
      <w:r w:rsidR="00191B92">
        <w:rPr>
          <w:rFonts w:cs="Open Sans"/>
        </w:rPr>
        <w:t>’</w:t>
      </w:r>
      <w:r>
        <w:rPr>
          <w:rFonts w:cs="Open Sans"/>
        </w:rPr>
        <w:t xml:space="preserve"> language is important, regardless of who or what is being discussed</w:t>
      </w:r>
      <w:r>
        <w:rPr>
          <w:rStyle w:val="FootnoteReference"/>
          <w:rFonts w:cs="Open Sans"/>
        </w:rPr>
        <w:footnoteReference w:id="68"/>
      </w:r>
      <w:r>
        <w:rPr>
          <w:rFonts w:cs="Open Sans"/>
        </w:rPr>
        <w:t xml:space="preserve">. </w:t>
      </w:r>
    </w:p>
    <w:p w14:paraId="7BAF81A9" w14:textId="193F3499" w:rsidR="00A91629" w:rsidRDefault="00FB453C" w:rsidP="00A6421D">
      <w:pPr>
        <w:spacing w:before="240" w:after="240" w:line="360" w:lineRule="auto"/>
      </w:pPr>
      <w:r>
        <w:t xml:space="preserve">There were also </w:t>
      </w:r>
      <w:r w:rsidR="00674486">
        <w:t>several</w:t>
      </w:r>
      <w:r>
        <w:t xml:space="preserve"> cases where transphobic, </w:t>
      </w:r>
      <w:r w:rsidR="00874623">
        <w:t>homophobic,</w:t>
      </w:r>
      <w:r>
        <w:t xml:space="preserve"> and racist languag</w:t>
      </w:r>
      <w:r w:rsidR="00D01CF3">
        <w:t>e and implications were used in describing the perpetrators of crimes</w:t>
      </w:r>
      <w:r w:rsidR="00DB03FA">
        <w:t xml:space="preserve">. </w:t>
      </w:r>
      <w:r w:rsidR="00D15202">
        <w:t>For example,</w:t>
      </w:r>
      <w:r w:rsidR="00DB03FA">
        <w:t xml:space="preserve"> there were less than 5 cases out of the 300</w:t>
      </w:r>
      <w:r w:rsidR="003C4A7C">
        <w:t xml:space="preserve"> </w:t>
      </w:r>
      <w:r w:rsidR="00DB03FA">
        <w:t xml:space="preserve">where the </w:t>
      </w:r>
      <w:r w:rsidR="00DB03FA">
        <w:lastRenderedPageBreak/>
        <w:t xml:space="preserve">perpetrators were </w:t>
      </w:r>
      <w:r w:rsidR="00D15202">
        <w:t>identified as LGBTQA+</w:t>
      </w:r>
      <w:r w:rsidR="000318A6">
        <w:t xml:space="preserve">, yet all those cases </w:t>
      </w:r>
      <w:r w:rsidR="00CF1404">
        <w:t xml:space="preserve">had articles that focused on their sexual orientation or gender identity, including in the headlines. One </w:t>
      </w:r>
      <w:r w:rsidR="003C4A7C">
        <w:t>case</w:t>
      </w:r>
      <w:r w:rsidR="00CF1404">
        <w:t xml:space="preserve">, </w:t>
      </w:r>
      <w:r w:rsidR="003C4A7C">
        <w:t>one of the few</w:t>
      </w:r>
      <w:r w:rsidR="00CF1404">
        <w:t xml:space="preserve"> cases where the victim was identified as white and the perpetrator as Black</w:t>
      </w:r>
      <w:r w:rsidR="0020088B">
        <w:t xml:space="preserve">, saw </w:t>
      </w:r>
      <w:r w:rsidR="003C4A7C">
        <w:t>some</w:t>
      </w:r>
      <w:r w:rsidR="0020088B">
        <w:t xml:space="preserve"> articles use racist language or framing in condemning the perpetrator.</w:t>
      </w:r>
    </w:p>
    <w:p w14:paraId="200BBD54" w14:textId="77777777" w:rsidR="00FB453C" w:rsidRPr="00C43FF5" w:rsidRDefault="00FB453C" w:rsidP="00A6421D">
      <w:pPr>
        <w:spacing w:before="240" w:after="240" w:line="360" w:lineRule="auto"/>
      </w:pPr>
    </w:p>
    <w:p w14:paraId="7F5C4735" w14:textId="77777777" w:rsidR="00C43FF5" w:rsidRDefault="00C43FF5" w:rsidP="00A6421D">
      <w:pPr>
        <w:pStyle w:val="Heading4"/>
        <w:spacing w:before="240" w:after="240" w:line="360" w:lineRule="auto"/>
      </w:pPr>
      <w:r>
        <w:t>Examples</w:t>
      </w:r>
    </w:p>
    <w:p w14:paraId="1224A681" w14:textId="2F13EA93" w:rsidR="00C43FF5" w:rsidRDefault="00254E20" w:rsidP="00A6421D">
      <w:pPr>
        <w:spacing w:before="240" w:after="240" w:line="360" w:lineRule="auto"/>
      </w:pPr>
      <w:r>
        <w:t xml:space="preserve">The case of Michael Mairs and Daniel Sharples has been previously discussed, </w:t>
      </w:r>
      <w:r w:rsidR="00FB246F">
        <w:t xml:space="preserve">and </w:t>
      </w:r>
      <w:r w:rsidR="00F161A5">
        <w:t xml:space="preserve">similar language choices were seen in articles </w:t>
      </w:r>
      <w:r w:rsidR="00F8193A">
        <w:t>about Alex Proctor’s assault on Karl Dean</w:t>
      </w:r>
      <w:r w:rsidR="003C4A7C">
        <w:rPr>
          <w:rStyle w:val="FootnoteReference"/>
        </w:rPr>
        <w:footnoteReference w:id="69"/>
      </w:r>
      <w:r w:rsidR="00F8193A">
        <w:t>, the murder of Phyllis Grant by Donovan Miller</w:t>
      </w:r>
      <w:r w:rsidR="00AA1DB2">
        <w:rPr>
          <w:rStyle w:val="FootnoteReference"/>
        </w:rPr>
        <w:footnoteReference w:id="70"/>
      </w:r>
      <w:r w:rsidR="00F8193A">
        <w:t>, and Priscilla Edward’s murder by Regina Edwards</w:t>
      </w:r>
      <w:r w:rsidR="00AA1DB2">
        <w:rPr>
          <w:rStyle w:val="FootnoteReference"/>
        </w:rPr>
        <w:footnoteReference w:id="71"/>
      </w:r>
      <w:r w:rsidR="00F8193A">
        <w:t xml:space="preserve">. </w:t>
      </w:r>
      <w:r w:rsidR="00036B06">
        <w:t>Words such as “</w:t>
      </w:r>
      <w:r w:rsidR="00AA1DB2">
        <w:t>deranged</w:t>
      </w:r>
      <w:r w:rsidR="00036B06">
        <w:t xml:space="preserve">”, </w:t>
      </w:r>
      <w:r w:rsidR="00E65CDD">
        <w:t>“psychotic killer”, “</w:t>
      </w:r>
      <w:r w:rsidR="00015EDF">
        <w:t xml:space="preserve">not a right-thinking member of the public”, </w:t>
      </w:r>
      <w:r w:rsidR="00716CD3">
        <w:t xml:space="preserve">“unable to deal with their demons”, and “not facing up to reality”, are just </w:t>
      </w:r>
      <w:r w:rsidR="00AA1DB2">
        <w:t>a few</w:t>
      </w:r>
      <w:r w:rsidR="00716CD3">
        <w:t xml:space="preserve"> examples of </w:t>
      </w:r>
      <w:r w:rsidR="00F06E37">
        <w:t>how disablism slipped into news articles repeatedly.</w:t>
      </w:r>
    </w:p>
    <w:p w14:paraId="7635DABF" w14:textId="36187BA3" w:rsidR="004F7F94" w:rsidRDefault="00EA6C6F" w:rsidP="00A6421D">
      <w:pPr>
        <w:spacing w:before="240" w:after="240" w:line="360" w:lineRule="auto"/>
      </w:pPr>
      <w:r>
        <w:t>In the case of Liam Fee’s murder in 2014 at the hands of his mothers, Rachel and Nyomi Fee, some headlines and opening paragraphs included lines like ‘evil lesbian killer monsters’</w:t>
      </w:r>
      <w:r w:rsidR="00E22326">
        <w:t xml:space="preserve"> and otherwise emphasised their sexuality. There were no headlines about ‘evil </w:t>
      </w:r>
      <w:r w:rsidR="00AA1DB2">
        <w:t>heterosexual</w:t>
      </w:r>
      <w:r w:rsidR="00E22326">
        <w:t xml:space="preserve"> killer monsters’</w:t>
      </w:r>
      <w:r w:rsidR="00AA1DB2">
        <w:t xml:space="preserve">, even </w:t>
      </w:r>
      <w:r w:rsidR="00AA1DB2">
        <w:lastRenderedPageBreak/>
        <w:t>though there were multiple examples of straight couples murdering their children.</w:t>
      </w:r>
    </w:p>
    <w:p w14:paraId="5E72870C" w14:textId="1EBEA235" w:rsidR="004F7F94" w:rsidRDefault="00E22326" w:rsidP="00A6421D">
      <w:pPr>
        <w:spacing w:before="240" w:after="240" w:line="360" w:lineRule="auto"/>
      </w:pPr>
      <w:r>
        <w:t xml:space="preserve">Likewise, </w:t>
      </w:r>
      <w:r w:rsidR="00817D8B">
        <w:t>in some write-ups about Brian Darbyshire’s murder by his daughter, Claire</w:t>
      </w:r>
      <w:r w:rsidR="00880D0D">
        <w:t xml:space="preserve">, the focus of the article moved away from the crime or the victim and focused instead on Claire being a trans woman, </w:t>
      </w:r>
      <w:r w:rsidR="00B77E1E">
        <w:t xml:space="preserve">including details on </w:t>
      </w:r>
      <w:r w:rsidR="002056E0">
        <w:t xml:space="preserve">the operations she had undergone as part of her transition, despite </w:t>
      </w:r>
      <w:r w:rsidR="00CB491C">
        <w:t xml:space="preserve">those details having no relevance to the case. </w:t>
      </w:r>
      <w:r w:rsidR="00AA1DB2">
        <w:t>There were no articles involving a cis gender perpetrator where their gender identity was a focus of the article.</w:t>
      </w:r>
    </w:p>
    <w:p w14:paraId="6BFB2633" w14:textId="7829CF5A" w:rsidR="004C7D2C" w:rsidRDefault="00CB491C" w:rsidP="00A6421D">
      <w:pPr>
        <w:spacing w:before="240" w:after="240" w:line="360" w:lineRule="auto"/>
      </w:pPr>
      <w:r>
        <w:t xml:space="preserve">Finally, </w:t>
      </w:r>
      <w:r w:rsidR="00763FDC">
        <w:t xml:space="preserve">some articles about </w:t>
      </w:r>
      <w:r w:rsidR="004723DA">
        <w:t xml:space="preserve">Andrew Young’s murder by Lewis Gill included descriptions of Lewis Gill as a “savage” </w:t>
      </w:r>
      <w:r w:rsidR="0088108E">
        <w:t xml:space="preserve">and made reference to </w:t>
      </w:r>
      <w:r w:rsidR="004F7F94">
        <w:t xml:space="preserve">finding </w:t>
      </w:r>
      <w:r w:rsidR="007810C8">
        <w:t xml:space="preserve">a photograph </w:t>
      </w:r>
      <w:r w:rsidR="00AA1DB2">
        <w:t xml:space="preserve">on his social media </w:t>
      </w:r>
      <w:r w:rsidR="004F7F94">
        <w:t>where he “may have been</w:t>
      </w:r>
      <w:r w:rsidR="007810C8">
        <w:t xml:space="preserve"> smoking a cannabis joint</w:t>
      </w:r>
      <w:r w:rsidR="004F7F94">
        <w:t>”</w:t>
      </w:r>
      <w:r w:rsidR="00AA1DB2" w:rsidRPr="00AA1DB2">
        <w:rPr>
          <w:rStyle w:val="FootnoteReference"/>
        </w:rPr>
        <w:t xml:space="preserve"> </w:t>
      </w:r>
      <w:r w:rsidR="00AA1DB2">
        <w:rPr>
          <w:rStyle w:val="FootnoteReference"/>
        </w:rPr>
        <w:footnoteReference w:id="72"/>
      </w:r>
      <w:r w:rsidR="007810C8">
        <w:t xml:space="preserve">. </w:t>
      </w:r>
      <w:r w:rsidR="00AA1DB2">
        <w:t>The same language and searching of social media was not observed for any of the white perpetrators of crimes against Disabled people in the sample used.</w:t>
      </w:r>
    </w:p>
    <w:p w14:paraId="0BBBEDC0" w14:textId="77777777" w:rsidR="004C7D2C" w:rsidRPr="00C43FF5" w:rsidRDefault="004C7D2C" w:rsidP="00A6421D">
      <w:pPr>
        <w:spacing w:before="240" w:after="240" w:line="360" w:lineRule="auto"/>
      </w:pPr>
    </w:p>
    <w:p w14:paraId="23146C38" w14:textId="77777777" w:rsidR="00C43FF5" w:rsidRDefault="00C43FF5" w:rsidP="00A6421D">
      <w:pPr>
        <w:pStyle w:val="Heading4"/>
        <w:spacing w:before="240" w:after="240" w:line="360" w:lineRule="auto"/>
      </w:pPr>
      <w:r>
        <w:t>Why it matters</w:t>
      </w:r>
    </w:p>
    <w:p w14:paraId="67169CAC" w14:textId="77777777" w:rsidR="00AA1DB2" w:rsidRDefault="00B25B15" w:rsidP="00A6421D">
      <w:pPr>
        <w:spacing w:before="240" w:after="240" w:line="360" w:lineRule="auto"/>
      </w:pPr>
      <w:r>
        <w:t>Disablism, racism</w:t>
      </w:r>
      <w:r w:rsidR="00F62E4B">
        <w:t xml:space="preserve">, transphobia, and homophobia </w:t>
      </w:r>
      <w:r>
        <w:t>are</w:t>
      </w:r>
      <w:r w:rsidR="00F62E4B">
        <w:t xml:space="preserve"> wrong, regardless of who you are discussing; </w:t>
      </w:r>
      <w:r w:rsidR="00D25784">
        <w:t xml:space="preserve">bigotry does not suddenly </w:t>
      </w:r>
      <w:r w:rsidR="00AA1DB2">
        <w:t xml:space="preserve">become </w:t>
      </w:r>
      <w:r w:rsidR="00D25784">
        <w:t>acceptable</w:t>
      </w:r>
      <w:r w:rsidR="00AA1DB2">
        <w:t xml:space="preserve"> </w:t>
      </w:r>
      <w:r w:rsidR="00D25784">
        <w:t>because you</w:t>
      </w:r>
      <w:r w:rsidR="00AA1DB2">
        <w:t xml:space="preserve"> a</w:t>
      </w:r>
      <w:r w:rsidR="00D25784">
        <w:t xml:space="preserve">re talking about </w:t>
      </w:r>
      <w:r>
        <w:t>someone who has committed a murder or crime of another sort.</w:t>
      </w:r>
      <w:r w:rsidRPr="00B25B15">
        <w:t xml:space="preserve"> </w:t>
      </w:r>
    </w:p>
    <w:p w14:paraId="26BCEE21" w14:textId="099600B5" w:rsidR="0004182C" w:rsidRDefault="00B25B15" w:rsidP="00A6421D">
      <w:pPr>
        <w:spacing w:before="240" w:after="240" w:line="360" w:lineRule="auto"/>
      </w:pPr>
      <w:r>
        <w:lastRenderedPageBreak/>
        <w:t>Furthermore, and particularly in the case of disablist language being used that is associated with mental distress and trauma, when language that dehumanises a marginalised group of people is used to describe people who have committed awful crimes, it draws a direct parallel between the two through association. This is part of what has perpetuated the ongoing stigma of</w:t>
      </w:r>
      <w:r w:rsidR="00FB246F">
        <w:t xml:space="preserve"> mental health conditions</w:t>
      </w:r>
      <w:r w:rsidR="00AA1DB2">
        <w:rPr>
          <w:rStyle w:val="FootnoteReference"/>
        </w:rPr>
        <w:footnoteReference w:id="73"/>
      </w:r>
      <w:r w:rsidR="00FB246F">
        <w:t>.</w:t>
      </w:r>
    </w:p>
    <w:p w14:paraId="108F0206" w14:textId="77777777" w:rsidR="00FD6AF9" w:rsidRDefault="00FD6AF9" w:rsidP="00A6421D">
      <w:pPr>
        <w:spacing w:before="240" w:after="240" w:line="360" w:lineRule="auto"/>
      </w:pPr>
    </w:p>
    <w:p w14:paraId="0339C75B" w14:textId="4461B421" w:rsidR="0004182C" w:rsidRDefault="0004182C" w:rsidP="00A6421D">
      <w:pPr>
        <w:pStyle w:val="Heading4"/>
        <w:spacing w:before="240" w:after="240" w:line="360" w:lineRule="auto"/>
      </w:pPr>
      <w:r>
        <w:t xml:space="preserve">What could </w:t>
      </w:r>
      <w:r w:rsidR="002F1E37">
        <w:t>journalists do</w:t>
      </w:r>
      <w:r>
        <w:t xml:space="preserve"> instead</w:t>
      </w:r>
    </w:p>
    <w:p w14:paraId="682A2BB1" w14:textId="77777777" w:rsidR="00AA1DB2" w:rsidRDefault="00022F87" w:rsidP="00A6421D">
      <w:pPr>
        <w:spacing w:before="240" w:after="240" w:line="360" w:lineRule="auto"/>
      </w:pPr>
      <w:r>
        <w:t xml:space="preserve">As with the outright disablist </w:t>
      </w:r>
      <w:r w:rsidR="00FB246F">
        <w:t xml:space="preserve">insults </w:t>
      </w:r>
      <w:r w:rsidR="00AA4C51">
        <w:t>mentioned earlier</w:t>
      </w:r>
      <w:r>
        <w:t xml:space="preserve">, the best solution is simply to not include </w:t>
      </w:r>
      <w:r w:rsidR="00874623">
        <w:t>bigoted</w:t>
      </w:r>
      <w:r>
        <w:t xml:space="preserve"> language. If the only way a writer can portray how awful a crime was is to use language rooted in </w:t>
      </w:r>
      <w:r w:rsidR="00874623">
        <w:t>bigotry</w:t>
      </w:r>
      <w:r>
        <w:t xml:space="preserve">, then there are greater issues at play. </w:t>
      </w:r>
    </w:p>
    <w:p w14:paraId="00D39A57" w14:textId="4ABACBDE" w:rsidR="00AA1DB2" w:rsidRDefault="00022F87" w:rsidP="00A6421D">
      <w:pPr>
        <w:spacing w:before="240" w:after="240" w:line="360" w:lineRule="auto"/>
      </w:pPr>
      <w:r>
        <w:t xml:space="preserve">Using short-hand phrases </w:t>
      </w:r>
      <w:r w:rsidR="00106606">
        <w:t xml:space="preserve">which reinforce discrimination and biases </w:t>
      </w:r>
      <w:r w:rsidR="00885848">
        <w:t>or trying to prompt shock through headline choices that emphasise</w:t>
      </w:r>
      <w:r w:rsidR="00AA1DB2">
        <w:t xml:space="preserve"> a connection between crime and </w:t>
      </w:r>
      <w:r w:rsidR="00885848">
        <w:t xml:space="preserve">marginalised </w:t>
      </w:r>
      <w:r w:rsidR="00AA1DB2">
        <w:t>identities</w:t>
      </w:r>
      <w:r w:rsidR="00106606">
        <w:t xml:space="preserve"> </w:t>
      </w:r>
      <w:r w:rsidR="00F918AB">
        <w:t>should not be the alternative to well-written articles which make use of the abundance of vocabulary available.</w:t>
      </w:r>
      <w:r w:rsidR="00AA1DB2">
        <w:t xml:space="preserve"> </w:t>
      </w:r>
    </w:p>
    <w:p w14:paraId="0ADE0A32" w14:textId="7B2BF131" w:rsidR="0004182C" w:rsidRPr="0004182C" w:rsidRDefault="00AA1DB2" w:rsidP="00A6421D">
      <w:pPr>
        <w:spacing w:before="240" w:after="240" w:line="360" w:lineRule="auto"/>
      </w:pPr>
      <w:r>
        <w:t xml:space="preserve">As repeatedly discussed, the media plays a role in dismantling the biases and bigotry held towards marginalised groups of people, and responsible </w:t>
      </w:r>
      <w:r>
        <w:lastRenderedPageBreak/>
        <w:t>reporting would ensure that no bigoted language of the sort discussed here is used.</w:t>
      </w:r>
    </w:p>
    <w:p w14:paraId="0A5437EA" w14:textId="77777777" w:rsidR="006F3B4C" w:rsidRPr="00D06C62" w:rsidRDefault="006F3B4C" w:rsidP="00A6421D">
      <w:pPr>
        <w:pStyle w:val="Content"/>
        <w:rPr>
          <w:rFonts w:cs="Open Sans"/>
        </w:rPr>
      </w:pPr>
    </w:p>
    <w:p w14:paraId="50270F44" w14:textId="5F1D1772" w:rsidR="006F3B4C" w:rsidRDefault="006F3B4C" w:rsidP="00A6421D">
      <w:pPr>
        <w:pStyle w:val="Heading3"/>
        <w:spacing w:before="240" w:after="240" w:line="360" w:lineRule="auto"/>
      </w:pPr>
      <w:bookmarkStart w:id="34" w:name="_Toc120713480"/>
      <w:r>
        <w:t>Accidental implications</w:t>
      </w:r>
      <w:bookmarkEnd w:id="34"/>
    </w:p>
    <w:p w14:paraId="7DE3961A" w14:textId="77777777" w:rsidR="00C43FF5" w:rsidRDefault="00C43FF5" w:rsidP="00A6421D">
      <w:pPr>
        <w:pStyle w:val="Heading4"/>
        <w:spacing w:before="240" w:after="240" w:line="360" w:lineRule="auto"/>
      </w:pPr>
      <w:r>
        <w:t>Overview</w:t>
      </w:r>
    </w:p>
    <w:p w14:paraId="6326C413" w14:textId="77777777" w:rsidR="00FD0B3C" w:rsidRDefault="00FD0B3C" w:rsidP="00A6421D">
      <w:pPr>
        <w:spacing w:before="240" w:after="240" w:line="360" w:lineRule="auto"/>
      </w:pPr>
      <w:r>
        <w:t>Sometimes, the implications made by a sentence could be completely missed even by an author being meticulous in their approach to avoiding disablist commentary. The hope here would be that an editor would then catch the implications, reading from a position removed from authorship, and this is where editors are just as important in making sure disablist implications do not make it into print.</w:t>
      </w:r>
    </w:p>
    <w:p w14:paraId="1F025FFA" w14:textId="77777777" w:rsidR="00C43FF5" w:rsidRPr="00C43FF5" w:rsidRDefault="00C43FF5" w:rsidP="00A6421D">
      <w:pPr>
        <w:spacing w:before="240" w:after="240" w:line="360" w:lineRule="auto"/>
      </w:pPr>
    </w:p>
    <w:p w14:paraId="3928CF77" w14:textId="77777777" w:rsidR="00C43FF5" w:rsidRDefault="00C43FF5" w:rsidP="00A6421D">
      <w:pPr>
        <w:pStyle w:val="Heading4"/>
        <w:spacing w:before="240" w:after="240" w:line="360" w:lineRule="auto"/>
      </w:pPr>
      <w:r>
        <w:t>Examples</w:t>
      </w:r>
    </w:p>
    <w:p w14:paraId="6E742A2B" w14:textId="77777777" w:rsidR="00FD0B3C" w:rsidRDefault="00FD0B3C" w:rsidP="00A6421D">
      <w:pPr>
        <w:spacing w:before="240" w:after="240" w:line="360" w:lineRule="auto"/>
      </w:pPr>
      <w:r>
        <w:t>In the case of four-year-old Alexa-Marie Quinn’s murder, the following sentence was written about her murderer, her father Carl Wheatley (all punctuation as in text):</w:t>
      </w:r>
    </w:p>
    <w:p w14:paraId="7982B877" w14:textId="77777777" w:rsidR="00FD0B3C" w:rsidRPr="008B1FFC" w:rsidRDefault="00FD0B3C" w:rsidP="00A6421D">
      <w:pPr>
        <w:spacing w:before="240" w:after="240" w:line="360" w:lineRule="auto"/>
        <w:rPr>
          <w:i/>
          <w:iCs/>
        </w:rPr>
      </w:pPr>
      <w:r>
        <w:rPr>
          <w:i/>
          <w:iCs/>
        </w:rPr>
        <w:lastRenderedPageBreak/>
        <w:t>“Although Wheatley had ‘intimidated’ a psychiatrist, and had ADHD and autism, he was able to convince social workers and the court he was fit and able”</w:t>
      </w:r>
      <w:r>
        <w:rPr>
          <w:rStyle w:val="FootnoteReference"/>
          <w:i/>
          <w:iCs/>
        </w:rPr>
        <w:footnoteReference w:id="74"/>
      </w:r>
    </w:p>
    <w:p w14:paraId="6DABD34E" w14:textId="44732DBF" w:rsidR="00C43FF5" w:rsidRDefault="00FD0B3C" w:rsidP="00A6421D">
      <w:pPr>
        <w:spacing w:before="240" w:after="240" w:line="360" w:lineRule="auto"/>
      </w:pPr>
      <w:r>
        <w:t xml:space="preserve">Other articles included more details about Wheatley’s escalating violence, and his admissions of losing his temper and reacting with physical violence when he did so, yet this was not chosen to sit alongside the act of intimidating a psychiatrist as suggestion for why he may not be fit or able to look after his daughter. His ADHD and autism diagnoses were instead; thereby </w:t>
      </w:r>
      <w:r w:rsidR="00AA1DB2">
        <w:t>suggesting</w:t>
      </w:r>
      <w:r>
        <w:t xml:space="preserve"> the reason he was not fit and able were because he </w:t>
      </w:r>
      <w:r w:rsidR="00AA1DB2">
        <w:t>“</w:t>
      </w:r>
      <w:r>
        <w:t>is autistic and ADHD</w:t>
      </w:r>
      <w:r w:rsidR="00AA1DB2">
        <w:t>”</w:t>
      </w:r>
      <w:r>
        <w:t>.</w:t>
      </w:r>
    </w:p>
    <w:p w14:paraId="69648656" w14:textId="77777777" w:rsidR="00AA1DB2" w:rsidRPr="00C43FF5" w:rsidRDefault="00AA1DB2" w:rsidP="00A6421D">
      <w:pPr>
        <w:spacing w:before="240" w:after="240" w:line="360" w:lineRule="auto"/>
      </w:pPr>
    </w:p>
    <w:p w14:paraId="73D657AF" w14:textId="77777777" w:rsidR="00C43FF5" w:rsidRDefault="00C43FF5" w:rsidP="00A6421D">
      <w:pPr>
        <w:pStyle w:val="Heading4"/>
        <w:spacing w:before="240" w:after="240" w:line="360" w:lineRule="auto"/>
      </w:pPr>
      <w:r>
        <w:t>Why it matters</w:t>
      </w:r>
    </w:p>
    <w:p w14:paraId="6D9A725B" w14:textId="3C5B4F76" w:rsidR="00FD18C5" w:rsidRDefault="00FD18C5" w:rsidP="00A6421D">
      <w:pPr>
        <w:spacing w:before="240" w:after="240" w:line="360" w:lineRule="auto"/>
      </w:pPr>
      <w:r>
        <w:t xml:space="preserve">Accidental implications can occur across a variety of topics, too many to even try to cover every eventuality, so we will use the example above to discuss the repercussions of this specific implication. </w:t>
      </w:r>
    </w:p>
    <w:p w14:paraId="75EBDDD7" w14:textId="3C92D37E" w:rsidR="00234D5F" w:rsidRDefault="002977E9" w:rsidP="00A6421D">
      <w:pPr>
        <w:spacing w:before="240" w:after="240" w:line="360" w:lineRule="auto"/>
      </w:pPr>
      <w:r>
        <w:t xml:space="preserve">Given the </w:t>
      </w:r>
      <w:r w:rsidR="00AA1DB2">
        <w:t>existing</w:t>
      </w:r>
      <w:r>
        <w:t xml:space="preserve"> negative stereotypes of whether </w:t>
      </w:r>
      <w:r w:rsidR="00AA1DB2">
        <w:t>Disabled</w:t>
      </w:r>
      <w:r>
        <w:t xml:space="preserve"> </w:t>
      </w:r>
      <w:r w:rsidR="00E71FC9">
        <w:t xml:space="preserve">people can be good parents or not, the implications of this </w:t>
      </w:r>
      <w:r w:rsidR="00FD18C5">
        <w:t>might be far-reaching</w:t>
      </w:r>
      <w:r w:rsidR="00E71FC9">
        <w:t>. This ties back to the point made earlier about why avoiding disablist implications matters whether it is regarding the victim or the perpetrator.</w:t>
      </w:r>
    </w:p>
    <w:p w14:paraId="41244DD2" w14:textId="49E878FF" w:rsidR="00106606" w:rsidRDefault="00106606" w:rsidP="00A6421D">
      <w:pPr>
        <w:spacing w:before="240" w:after="240" w:line="360" w:lineRule="auto"/>
      </w:pPr>
      <w:r w:rsidRPr="00FD18C5">
        <w:lastRenderedPageBreak/>
        <w:t xml:space="preserve">The more people see associations between disability or </w:t>
      </w:r>
      <w:r w:rsidR="00FD18C5">
        <w:t>impairment</w:t>
      </w:r>
      <w:r w:rsidRPr="00FD18C5">
        <w:t xml:space="preserve"> and negative ideas and stereotypes, the more likely they are to </w:t>
      </w:r>
      <w:r w:rsidR="00FD18C5" w:rsidRPr="00FD18C5">
        <w:t>perpetuate or absorb</w:t>
      </w:r>
      <w:r w:rsidRPr="00FD18C5">
        <w:t xml:space="preserve"> those harmful concepts.</w:t>
      </w:r>
      <w:r>
        <w:t xml:space="preserve"> </w:t>
      </w:r>
      <w:r w:rsidR="00FD18C5">
        <w:t>For example, the idea that people with mental distress or trauma are inherently more likely to be the perpetrators of violent crime rather than victims has persisted for decades, fuelled by the framing in the media</w:t>
      </w:r>
      <w:r w:rsidR="00FD18C5">
        <w:rPr>
          <w:rStyle w:val="FootnoteReference"/>
        </w:rPr>
        <w:footnoteReference w:id="75"/>
      </w:r>
      <w:r w:rsidR="00FD18C5">
        <w:t>. We can observe similar repercussions in how society has long-framed Disabled parents, and the role the media has played in this</w:t>
      </w:r>
      <w:r w:rsidR="00FD18C5">
        <w:rPr>
          <w:rStyle w:val="FootnoteReference"/>
        </w:rPr>
        <w:footnoteReference w:id="76"/>
      </w:r>
      <w:r w:rsidR="00FD18C5">
        <w:t xml:space="preserve">. </w:t>
      </w:r>
    </w:p>
    <w:p w14:paraId="3212E0FF" w14:textId="77777777" w:rsidR="00E53B7D" w:rsidRDefault="00E53B7D" w:rsidP="00A6421D">
      <w:pPr>
        <w:spacing w:before="240" w:after="240" w:line="360" w:lineRule="auto"/>
      </w:pPr>
    </w:p>
    <w:p w14:paraId="7938B13E" w14:textId="3E9E8B2D" w:rsidR="006F3B4C" w:rsidRDefault="006F3B4C" w:rsidP="00A6421D">
      <w:pPr>
        <w:pStyle w:val="Heading3"/>
        <w:spacing w:before="240" w:after="240" w:line="360" w:lineRule="auto"/>
      </w:pPr>
      <w:bookmarkStart w:id="35" w:name="_Toc120713481"/>
      <w:r>
        <w:t>Emphasising vulnerability</w:t>
      </w:r>
      <w:bookmarkEnd w:id="35"/>
    </w:p>
    <w:p w14:paraId="028D34AF" w14:textId="77777777" w:rsidR="00C43FF5" w:rsidRDefault="00C43FF5" w:rsidP="00A6421D">
      <w:pPr>
        <w:pStyle w:val="Heading4"/>
        <w:spacing w:before="240" w:after="240" w:line="360" w:lineRule="auto"/>
      </w:pPr>
      <w:r>
        <w:t>Overview</w:t>
      </w:r>
    </w:p>
    <w:p w14:paraId="7E2ACB21" w14:textId="1E907644" w:rsidR="00C43FF5" w:rsidRDefault="00063819" w:rsidP="00A6421D">
      <w:pPr>
        <w:spacing w:before="240" w:after="240" w:line="360" w:lineRule="auto"/>
      </w:pPr>
      <w:r>
        <w:t xml:space="preserve">In what often seems like an attempt to emphasise the </w:t>
      </w:r>
      <w:r w:rsidR="00C47003">
        <w:t>awfulness of a crime, Disabled victims are portrayed as helpless, weak, vulnerable, and unable to do anything to defend themselves.</w:t>
      </w:r>
      <w:r w:rsidR="00FB3084">
        <w:t xml:space="preserve"> As discussed earlier, there is a complicated overlap between this and the </w:t>
      </w:r>
      <w:r w:rsidR="00FD18C5">
        <w:t>inherent</w:t>
      </w:r>
      <w:r w:rsidR="00FB3084">
        <w:t xml:space="preserve"> vulnerability that is often presumed to be the default state for Disabled people.</w:t>
      </w:r>
    </w:p>
    <w:p w14:paraId="6687CEC1" w14:textId="0BF4ABC9" w:rsidR="00FB3084" w:rsidRDefault="008D07C6" w:rsidP="00A6421D">
      <w:pPr>
        <w:spacing w:before="240" w:after="240" w:line="360" w:lineRule="auto"/>
      </w:pPr>
      <w:r>
        <w:t xml:space="preserve">This particular disablism can be difficult to unpick, because sometimes people — Disabled and non-Disabled alike — are </w:t>
      </w:r>
      <w:r w:rsidR="00DF4F35">
        <w:t xml:space="preserve">physically weaker than others, sometimes they are situationally vulnerable, and </w:t>
      </w:r>
      <w:r w:rsidR="00452769">
        <w:t xml:space="preserve">sometimes </w:t>
      </w:r>
      <w:r w:rsidR="00DF4F35">
        <w:t xml:space="preserve">they are unable to defend themselves. Children, for example, whether they are </w:t>
      </w:r>
      <w:r w:rsidR="00DF4F35">
        <w:lastRenderedPageBreak/>
        <w:t>Disabled or not</w:t>
      </w:r>
      <w:r w:rsidR="00FD18C5">
        <w:t>,</w:t>
      </w:r>
      <w:r w:rsidR="00DF4F35">
        <w:t xml:space="preserve"> will often be weaker than their perpetrators</w:t>
      </w:r>
      <w:r w:rsidR="00617E52">
        <w:t>, unable to defend themselves against them, and reliant upon many perpetrators for their care, which mean</w:t>
      </w:r>
      <w:r w:rsidR="001C3039">
        <w:t>s</w:t>
      </w:r>
      <w:r w:rsidR="00617E52">
        <w:t xml:space="preserve"> they are situationally vulnerable.</w:t>
      </w:r>
    </w:p>
    <w:p w14:paraId="446F080C" w14:textId="77777777" w:rsidR="00FD18C5" w:rsidRDefault="00FD18C5" w:rsidP="00A6421D">
      <w:pPr>
        <w:spacing w:before="240" w:after="240" w:line="360" w:lineRule="auto"/>
      </w:pPr>
    </w:p>
    <w:p w14:paraId="4ABF9B9D" w14:textId="77777777" w:rsidR="00C43FF5" w:rsidRDefault="00C43FF5" w:rsidP="00A6421D">
      <w:pPr>
        <w:pStyle w:val="Heading4"/>
        <w:spacing w:before="240" w:after="240" w:line="360" w:lineRule="auto"/>
      </w:pPr>
      <w:r>
        <w:t>Examples</w:t>
      </w:r>
    </w:p>
    <w:p w14:paraId="4AC66DAE" w14:textId="77777777" w:rsidR="00FD18C5" w:rsidRDefault="00C61866" w:rsidP="00A6421D">
      <w:pPr>
        <w:spacing w:before="240" w:after="240" w:line="360" w:lineRule="auto"/>
      </w:pPr>
      <w:r>
        <w:t xml:space="preserve">As with the category of being described as a burden, there are numerous examples within the news of this category. </w:t>
      </w:r>
    </w:p>
    <w:p w14:paraId="33C1B2B9" w14:textId="754C2AA9" w:rsidR="00C43FF5" w:rsidRDefault="00DE3A22" w:rsidP="00A6421D">
      <w:pPr>
        <w:spacing w:before="240" w:after="240" w:line="360" w:lineRule="auto"/>
      </w:pPr>
      <w:r>
        <w:t>Shaun Rossington, who was murdered by a group of people, was described as a “vulnerable and gullible Asperger’s Sufferer”</w:t>
      </w:r>
      <w:r w:rsidR="00FD18C5">
        <w:rPr>
          <w:rStyle w:val="FootnoteReference"/>
        </w:rPr>
        <w:footnoteReference w:id="77"/>
      </w:r>
      <w:r>
        <w:t xml:space="preserve">; </w:t>
      </w:r>
      <w:r w:rsidR="00206768">
        <w:t xml:space="preserve">Amoe Stevens, who was raped and killed by Mohammed Yassin Yusuf, was </w:t>
      </w:r>
      <w:r w:rsidR="00254D78">
        <w:t>frequently described as “frail”, “vulnerable”, “defenseless”</w:t>
      </w:r>
      <w:r w:rsidR="00FD18C5">
        <w:rPr>
          <w:rStyle w:val="FootnoteReference"/>
        </w:rPr>
        <w:footnoteReference w:id="78"/>
      </w:r>
      <w:r w:rsidR="00254D78">
        <w:t xml:space="preserve">; </w:t>
      </w:r>
      <w:r w:rsidR="008130AE">
        <w:t>Barrie-John Horrell, killed by Lee and Brett Davies, was described as “vulnerable, timid, and wouldn’t say boo to a goose”</w:t>
      </w:r>
      <w:r w:rsidR="00FD18C5">
        <w:rPr>
          <w:rStyle w:val="FootnoteReference"/>
        </w:rPr>
        <w:footnoteReference w:id="79"/>
      </w:r>
      <w:r w:rsidR="008130AE">
        <w:t xml:space="preserve">. </w:t>
      </w:r>
    </w:p>
    <w:p w14:paraId="41033CD5" w14:textId="77777777" w:rsidR="001F3B70" w:rsidRPr="00C43FF5" w:rsidRDefault="001F3B70" w:rsidP="00A6421D">
      <w:pPr>
        <w:spacing w:before="240" w:after="240" w:line="360" w:lineRule="auto"/>
      </w:pPr>
    </w:p>
    <w:p w14:paraId="28F23122" w14:textId="77777777" w:rsidR="00C43FF5" w:rsidRDefault="00C43FF5" w:rsidP="00A6421D">
      <w:pPr>
        <w:pStyle w:val="Heading4"/>
        <w:spacing w:before="240" w:after="240" w:line="360" w:lineRule="auto"/>
      </w:pPr>
      <w:r>
        <w:t>Why it matters</w:t>
      </w:r>
    </w:p>
    <w:p w14:paraId="68476CF4" w14:textId="77777777" w:rsidR="00B864C1" w:rsidRDefault="00B864C1" w:rsidP="00A6421D">
      <w:pPr>
        <w:spacing w:before="240" w:after="240" w:line="360" w:lineRule="auto"/>
      </w:pPr>
      <w:r>
        <w:t>This framing i</w:t>
      </w:r>
      <w:r w:rsidR="00F56885">
        <w:t>s being done, primarily</w:t>
      </w:r>
      <w:r>
        <w:t>,</w:t>
      </w:r>
      <w:r w:rsidR="00F56885">
        <w:t xml:space="preserve"> to do two things: emphasis</w:t>
      </w:r>
      <w:r w:rsidR="0054418B">
        <w:t>e</w:t>
      </w:r>
      <w:r w:rsidR="00F56885">
        <w:t xml:space="preserve"> compassion towards the victim and </w:t>
      </w:r>
      <w:r w:rsidR="0054418B">
        <w:t xml:space="preserve">draw attention to </w:t>
      </w:r>
      <w:r w:rsidR="00776AD8">
        <w:t>how awful the crime was because of who was targeted.</w:t>
      </w:r>
      <w:r w:rsidR="001F3B70">
        <w:t xml:space="preserve"> </w:t>
      </w:r>
    </w:p>
    <w:p w14:paraId="2165609C" w14:textId="4D30D48E" w:rsidR="001F3B70" w:rsidRDefault="001F3B70" w:rsidP="00A6421D">
      <w:pPr>
        <w:spacing w:before="240" w:after="240" w:line="360" w:lineRule="auto"/>
      </w:pPr>
      <w:r>
        <w:lastRenderedPageBreak/>
        <w:t>As discussed above, the complexity of this category is that</w:t>
      </w:r>
      <w:r w:rsidR="00B864C1">
        <w:t xml:space="preserve"> sometimes</w:t>
      </w:r>
      <w:r>
        <w:t xml:space="preserve"> people, including Disabled people, can be weaker</w:t>
      </w:r>
      <w:r w:rsidR="00B864C1">
        <w:t xml:space="preserve"> than the person perpetrating a crime against them</w:t>
      </w:r>
      <w:r>
        <w:t xml:space="preserve"> or situationally vulnerable; the problem arises from the fact that this is often the most frequent way Disabled people are described.</w:t>
      </w:r>
    </w:p>
    <w:p w14:paraId="2D4DC4C6" w14:textId="362E99D6" w:rsidR="001F3B70" w:rsidRDefault="001F3B70" w:rsidP="00A6421D">
      <w:pPr>
        <w:spacing w:before="240" w:after="240" w:line="360" w:lineRule="auto"/>
      </w:pPr>
      <w:r>
        <w:t>Sometimes</w:t>
      </w:r>
      <w:r w:rsidR="0076738D">
        <w:t xml:space="preserve">, this shorthand being used to describe a Disabled victim also means the causes of the situational vulnerability are completely missed out of the news story. </w:t>
      </w:r>
      <w:r w:rsidR="006A436C">
        <w:t>As with the victim-blaming discussed earlier, it means that societal and structural issues</w:t>
      </w:r>
      <w:r w:rsidR="00B864C1">
        <w:t xml:space="preserve"> — such as cuts to services or barriers to accessing support, as well as how the way our society is structured often excludes and isolates Disabled people —</w:t>
      </w:r>
      <w:r w:rsidR="006A436C">
        <w:t xml:space="preserve"> </w:t>
      </w:r>
      <w:r w:rsidR="00B864C1">
        <w:t>which</w:t>
      </w:r>
      <w:r w:rsidR="006A436C">
        <w:t xml:space="preserve"> contributed to the victim becoming situationally vulnerable are not </w:t>
      </w:r>
      <w:r w:rsidR="00FF6148">
        <w:t>included</w:t>
      </w:r>
      <w:r w:rsidR="006A436C">
        <w:t xml:space="preserve">. </w:t>
      </w:r>
    </w:p>
    <w:p w14:paraId="61AB0359" w14:textId="77777777" w:rsidR="00776AD8" w:rsidRDefault="00776AD8" w:rsidP="00A6421D">
      <w:pPr>
        <w:spacing w:before="240" w:after="240" w:line="360" w:lineRule="auto"/>
      </w:pPr>
    </w:p>
    <w:p w14:paraId="54AF06B1" w14:textId="2EF041F0" w:rsidR="0004182C" w:rsidRDefault="0004182C" w:rsidP="00A6421D">
      <w:pPr>
        <w:pStyle w:val="Heading4"/>
        <w:spacing w:before="240" w:after="240" w:line="360" w:lineRule="auto"/>
      </w:pPr>
      <w:r>
        <w:t xml:space="preserve">What could </w:t>
      </w:r>
      <w:r w:rsidR="0054418B">
        <w:t>journalists do</w:t>
      </w:r>
      <w:r>
        <w:t xml:space="preserve"> instead</w:t>
      </w:r>
    </w:p>
    <w:p w14:paraId="61E2C1EA" w14:textId="1BD25046" w:rsidR="004236A0" w:rsidRDefault="001A2DD9" w:rsidP="00A6421D">
      <w:pPr>
        <w:spacing w:before="240" w:after="240" w:line="360" w:lineRule="auto"/>
      </w:pPr>
      <w:r>
        <w:t xml:space="preserve">There have been </w:t>
      </w:r>
      <w:r w:rsidR="00B864C1">
        <w:t>several</w:t>
      </w:r>
      <w:r>
        <w:t xml:space="preserve"> articles written over the years, such as in the </w:t>
      </w:r>
      <w:r w:rsidR="009A1F4F">
        <w:t>murder</w:t>
      </w:r>
      <w:r>
        <w:t>s of Lee Irving</w:t>
      </w:r>
      <w:r w:rsidR="00B864C1">
        <w:rPr>
          <w:rStyle w:val="FootnoteReference"/>
        </w:rPr>
        <w:footnoteReference w:id="80"/>
      </w:r>
      <w:r w:rsidR="00B864C1">
        <w:t xml:space="preserve"> </w:t>
      </w:r>
      <w:r w:rsidR="009A1F4F">
        <w:t xml:space="preserve">and </w:t>
      </w:r>
      <w:r w:rsidR="007814CF">
        <w:t>Steve Hoskins</w:t>
      </w:r>
      <w:r w:rsidR="00B864C1">
        <w:rPr>
          <w:rStyle w:val="FootnoteReference"/>
        </w:rPr>
        <w:footnoteReference w:id="81"/>
      </w:r>
      <w:r w:rsidR="007814CF">
        <w:t xml:space="preserve">, where the </w:t>
      </w:r>
      <w:r w:rsidR="00C0276F">
        <w:t>article included</w:t>
      </w:r>
      <w:r w:rsidR="005348AC">
        <w:t xml:space="preserve"> </w:t>
      </w:r>
      <w:r w:rsidR="00B864C1">
        <w:t>details</w:t>
      </w:r>
      <w:r w:rsidR="005348AC">
        <w:t xml:space="preserve"> on the how </w:t>
      </w:r>
      <w:r w:rsidR="007814CF">
        <w:t xml:space="preserve">failings of multiple services, organisations and aspects of society all contributed to </w:t>
      </w:r>
      <w:r w:rsidR="004236A0">
        <w:t xml:space="preserve">these Disabled people being put in more vulnerable situations than they would have been in if those services and other issues had been resolved or addressed sooner. These allowed for a </w:t>
      </w:r>
      <w:r w:rsidR="004236A0">
        <w:lastRenderedPageBreak/>
        <w:t xml:space="preserve">much more balanced perspective that did not just position a Disabled person as inherently </w:t>
      </w:r>
      <w:r w:rsidR="00B864C1">
        <w:t>vulnerable and</w:t>
      </w:r>
      <w:r w:rsidR="00F12F5C">
        <w:t xml:space="preserve"> maintained a respectful approach to writing about the victim and their life.</w:t>
      </w:r>
    </w:p>
    <w:p w14:paraId="5AB2832F" w14:textId="4D9B4F4F" w:rsidR="004236A0" w:rsidRDefault="008C3549" w:rsidP="00A6421D">
      <w:pPr>
        <w:spacing w:before="240" w:after="240" w:line="360" w:lineRule="auto"/>
      </w:pPr>
      <w:r>
        <w:t xml:space="preserve">In most cases, </w:t>
      </w:r>
      <w:r w:rsidR="004236A0">
        <w:t>victims are situationally vulnerable or are in a position of far less power than their perpetrators and it is not inherently disablist to acknowledge this, but care must be taken to ensure that the framing of the article does not start and stop with the concept of “Disabled people are vulnerable”</w:t>
      </w:r>
      <w:r w:rsidR="00854445">
        <w:t xml:space="preserve"> without providing additional context</w:t>
      </w:r>
      <w:r w:rsidR="00555430">
        <w:t xml:space="preserve"> when reporting</w:t>
      </w:r>
      <w:r w:rsidR="004236A0">
        <w:t>.</w:t>
      </w:r>
    </w:p>
    <w:p w14:paraId="6D9A73E4" w14:textId="533606DF" w:rsidR="00E53B7D" w:rsidRDefault="009A1F4F" w:rsidP="00A6421D">
      <w:pPr>
        <w:spacing w:before="240" w:after="240" w:line="360" w:lineRule="auto"/>
      </w:pPr>
      <w:r>
        <w:t xml:space="preserve"> </w:t>
      </w:r>
    </w:p>
    <w:p w14:paraId="25FB8A7B" w14:textId="69B8D66F" w:rsidR="00C43FF5" w:rsidRDefault="00C43FF5" w:rsidP="00A6421D">
      <w:pPr>
        <w:pStyle w:val="Heading3"/>
        <w:spacing w:before="240" w:after="240" w:line="360" w:lineRule="auto"/>
      </w:pPr>
      <w:bookmarkStart w:id="36" w:name="_Toc120713482"/>
      <w:r>
        <w:t>Victim is a “foot note” in their own story.</w:t>
      </w:r>
      <w:bookmarkEnd w:id="36"/>
    </w:p>
    <w:p w14:paraId="43AA4537" w14:textId="77777777" w:rsidR="00C43FF5" w:rsidRDefault="00C43FF5" w:rsidP="00A6421D">
      <w:pPr>
        <w:pStyle w:val="Heading4"/>
        <w:spacing w:before="240" w:after="240" w:line="360" w:lineRule="auto"/>
      </w:pPr>
      <w:r>
        <w:t>Overview</w:t>
      </w:r>
    </w:p>
    <w:p w14:paraId="762E2ED0" w14:textId="3236E6BD" w:rsidR="00C43FF5" w:rsidRDefault="00776AD8" w:rsidP="00A6421D">
      <w:pPr>
        <w:spacing w:before="240" w:after="240" w:line="360" w:lineRule="auto"/>
      </w:pPr>
      <w:r>
        <w:t xml:space="preserve">Sometimes, the story becomes so much about the perpetrator or a </w:t>
      </w:r>
      <w:r w:rsidR="00B864C1">
        <w:t>related</w:t>
      </w:r>
      <w:r>
        <w:t xml:space="preserve"> event </w:t>
      </w:r>
      <w:r w:rsidR="00971987">
        <w:t>—</w:t>
      </w:r>
      <w:r>
        <w:t xml:space="preserve"> for </w:t>
      </w:r>
      <w:r w:rsidR="00B864C1">
        <w:t>example,</w:t>
      </w:r>
      <w:r>
        <w:t xml:space="preserve"> if the crime happened at a certain event or time </w:t>
      </w:r>
      <w:r w:rsidR="00971987">
        <w:t>—</w:t>
      </w:r>
      <w:r>
        <w:t xml:space="preserve"> that the victim can sometimes be barely mentioned in the news articles about their own death.</w:t>
      </w:r>
    </w:p>
    <w:p w14:paraId="03A064D7" w14:textId="1AE76297" w:rsidR="00971987" w:rsidRDefault="00971987" w:rsidP="00A6421D">
      <w:pPr>
        <w:spacing w:before="240" w:after="240" w:line="360" w:lineRule="auto"/>
      </w:pPr>
      <w:r>
        <w:t xml:space="preserve">At other times, even if the victim has the capacity and desire to discuss their own experience — demonstrated </w:t>
      </w:r>
      <w:r w:rsidR="00276C64">
        <w:t>using</w:t>
      </w:r>
      <w:r>
        <w:t xml:space="preserve"> some quotes in the article — their family are prioritised</w:t>
      </w:r>
      <w:r w:rsidR="007002E1">
        <w:t xml:space="preserve"> in giving their perspective.</w:t>
      </w:r>
    </w:p>
    <w:p w14:paraId="77D44372" w14:textId="202D2439" w:rsidR="00502628" w:rsidRDefault="00502628" w:rsidP="00A6421D">
      <w:pPr>
        <w:spacing w:before="240" w:after="240" w:line="360" w:lineRule="auto"/>
      </w:pPr>
      <w:r>
        <w:t>This can be seen in overlap with the category of being portrayed as a burden, where the only inclusion of the victim is to emphasis</w:t>
      </w:r>
      <w:r w:rsidR="00B864C1">
        <w:t>e</w:t>
      </w:r>
      <w:r>
        <w:t xml:space="preserve"> how “difficult” they made life for the perpetrator. </w:t>
      </w:r>
    </w:p>
    <w:p w14:paraId="34454179" w14:textId="77777777" w:rsidR="00776AD8" w:rsidRPr="00C43FF5" w:rsidRDefault="00776AD8" w:rsidP="00A6421D">
      <w:pPr>
        <w:spacing w:before="240" w:after="240" w:line="360" w:lineRule="auto"/>
      </w:pPr>
    </w:p>
    <w:p w14:paraId="64C6C79D" w14:textId="77777777" w:rsidR="00C43FF5" w:rsidRDefault="00C43FF5" w:rsidP="00A6421D">
      <w:pPr>
        <w:pStyle w:val="Heading4"/>
        <w:spacing w:before="240" w:after="240" w:line="360" w:lineRule="auto"/>
      </w:pPr>
      <w:r>
        <w:t>Examples</w:t>
      </w:r>
    </w:p>
    <w:p w14:paraId="0176C92D" w14:textId="4A58C7E1" w:rsidR="00276C64" w:rsidRDefault="000360F0" w:rsidP="00A6421D">
      <w:pPr>
        <w:spacing w:before="240" w:after="240" w:line="360" w:lineRule="auto"/>
      </w:pPr>
      <w:r>
        <w:t>Some</w:t>
      </w:r>
      <w:r w:rsidR="000E6425">
        <w:t xml:space="preserve"> articles about Betty Guy’s murder, for which her </w:t>
      </w:r>
      <w:r w:rsidR="00791173">
        <w:t xml:space="preserve">daughter and grandson were convicted of </w:t>
      </w:r>
      <w:r w:rsidR="00B864C1">
        <w:t>over four</w:t>
      </w:r>
      <w:r w:rsidR="00DA7EAE">
        <w:t xml:space="preserve"> years after her death, were </w:t>
      </w:r>
      <w:r w:rsidR="00B864C1">
        <w:t xml:space="preserve">not </w:t>
      </w:r>
      <w:r w:rsidR="00DA7EAE">
        <w:t xml:space="preserve">focused </w:t>
      </w:r>
      <w:r w:rsidR="00B864C1">
        <w:t xml:space="preserve">at all </w:t>
      </w:r>
      <w:r w:rsidR="00DA7EAE">
        <w:t>on Betty</w:t>
      </w:r>
      <w:r w:rsidR="00BE2C96">
        <w:t>. The focus was instead</w:t>
      </w:r>
      <w:r w:rsidR="00DA7EAE">
        <w:t xml:space="preserve"> on her </w:t>
      </w:r>
      <w:r w:rsidR="00CF0C56">
        <w:t xml:space="preserve">daughter and </w:t>
      </w:r>
      <w:r w:rsidR="00DA7EAE">
        <w:t xml:space="preserve">grandson, </w:t>
      </w:r>
      <w:r w:rsidR="00674DB1">
        <w:t>with many articles emphasi</w:t>
      </w:r>
      <w:r w:rsidR="0081385F">
        <w:t>s</w:t>
      </w:r>
      <w:r w:rsidR="00674DB1">
        <w:t>ing that her grandson was ex-militar</w:t>
      </w:r>
      <w:r w:rsidR="009F543C">
        <w:t>y</w:t>
      </w:r>
      <w:r w:rsidR="009F543C">
        <w:rPr>
          <w:rStyle w:val="FootnoteReference"/>
        </w:rPr>
        <w:footnoteReference w:id="82"/>
      </w:r>
      <w:r w:rsidR="00DA7EAE">
        <w:t xml:space="preserve"> </w:t>
      </w:r>
      <w:r w:rsidR="00BE2C96">
        <w:t xml:space="preserve">and how the pair had evaded arrest for so long </w:t>
      </w:r>
      <w:r w:rsidR="0081385F">
        <w:t>because of a</w:t>
      </w:r>
      <w:r w:rsidR="00BE2C96">
        <w:t xml:space="preserve"> mistaken assumption that Betty had died of natural causes, only later </w:t>
      </w:r>
      <w:r w:rsidR="00C4432B">
        <w:t>refuted by her doctor</w:t>
      </w:r>
      <w:r w:rsidR="00BE2C96">
        <w:t>.</w:t>
      </w:r>
      <w:r w:rsidR="00DA7EAE">
        <w:t xml:space="preserve"> </w:t>
      </w:r>
      <w:r>
        <w:t>Other</w:t>
      </w:r>
      <w:r w:rsidR="00C4432B">
        <w:t xml:space="preserve"> articles</w:t>
      </w:r>
      <w:r>
        <w:t xml:space="preserve"> included a brief mention of Betty in relation to her surviving relatives</w:t>
      </w:r>
      <w:r w:rsidR="0067704A">
        <w:t>, but very few included details of Betty as a person</w:t>
      </w:r>
      <w:r w:rsidR="00CF0C56">
        <w:t xml:space="preserve">. </w:t>
      </w:r>
    </w:p>
    <w:p w14:paraId="4AF8EB30" w14:textId="5AF888B8" w:rsidR="00F26B80" w:rsidRDefault="00F26B80" w:rsidP="00A6421D">
      <w:pPr>
        <w:spacing w:before="240" w:after="240" w:line="360" w:lineRule="auto"/>
      </w:pPr>
      <w:r>
        <w:t>Another example of this, is how often the Disabled victim’s words are not included in any write-up on the crime. Amongst the crimes which did not result in death, many did not include information or quotes from the Disabled victim; using</w:t>
      </w:r>
      <w:r w:rsidR="006045C0">
        <w:t xml:space="preserve"> only</w:t>
      </w:r>
      <w:r>
        <w:t xml:space="preserve"> quotes from their family members, instead. There are, of course, reasons why this may be the case such as the victims did not want to be interviewed or did not want to be retraumatised by discussing what had happened to them.</w:t>
      </w:r>
      <w:r w:rsidR="00C53BE6">
        <w:t xml:space="preserve"> </w:t>
      </w:r>
      <w:r w:rsidR="0003732E">
        <w:t>Some victims would not want to even be named or would not be named for their own safety.</w:t>
      </w:r>
    </w:p>
    <w:p w14:paraId="2E029F82" w14:textId="4F11A36C" w:rsidR="000255BC" w:rsidRDefault="000255BC" w:rsidP="00A6421D">
      <w:pPr>
        <w:spacing w:before="240" w:after="240" w:line="360" w:lineRule="auto"/>
      </w:pPr>
      <w:r>
        <w:t>Many of the write-ups about cases where there were multiple victims, such as Emma Haslett’s burglaries throughout the Loughton area</w:t>
      </w:r>
      <w:r>
        <w:rPr>
          <w:rStyle w:val="FootnoteReference"/>
        </w:rPr>
        <w:footnoteReference w:id="83"/>
      </w:r>
      <w:r>
        <w:t xml:space="preserve">; </w:t>
      </w:r>
      <w:r w:rsidR="0003732E">
        <w:t xml:space="preserve">Peter </w:t>
      </w:r>
      <w:r w:rsidR="0003732E">
        <w:lastRenderedPageBreak/>
        <w:t>Sargent’s thefts and assaults on Disabled elderly women in Basildon</w:t>
      </w:r>
      <w:r>
        <w:rPr>
          <w:rStyle w:val="FootnoteReference"/>
        </w:rPr>
        <w:footnoteReference w:id="84"/>
      </w:r>
      <w:r>
        <w:t>, and cases that involved ‘cuckooing’</w:t>
      </w:r>
      <w:r>
        <w:rPr>
          <w:rStyle w:val="FootnoteReference"/>
        </w:rPr>
        <w:footnoteReference w:id="85"/>
      </w:r>
      <w:r>
        <w:t xml:space="preserve"> had nothing in them about the impact on the Disabled victims, only commentary about ‘vulnerable people being targeted’. The focus was on the perpetrator, sometimes to the extent that the Disabled victim was only referenced in a single line of the article</w:t>
      </w:r>
      <w:r>
        <w:rPr>
          <w:rStyle w:val="FootnoteReference"/>
        </w:rPr>
        <w:footnoteReference w:id="86"/>
      </w:r>
      <w:r>
        <w:t>.</w:t>
      </w:r>
    </w:p>
    <w:p w14:paraId="548315C8" w14:textId="26050457" w:rsidR="00076F80" w:rsidRDefault="00063505" w:rsidP="00A6421D">
      <w:pPr>
        <w:spacing w:before="240" w:after="240" w:line="360" w:lineRule="auto"/>
      </w:pPr>
      <w:r>
        <w:t>Many Disabled people have experienced being spoken to indirectly</w:t>
      </w:r>
      <w:r w:rsidR="004E682D">
        <w:t xml:space="preserve">; this is </w:t>
      </w:r>
      <w:r>
        <w:t xml:space="preserve">where the Disabled person is ignored and the presumed non-Disabled person or people accompany them are spoken to </w:t>
      </w:r>
      <w:r w:rsidR="000B462F">
        <w:t xml:space="preserve">on their behalf, the </w:t>
      </w:r>
      <w:r w:rsidR="004E682D">
        <w:t xml:space="preserve">unconscious </w:t>
      </w:r>
      <w:r w:rsidR="000B462F">
        <w:t>assumption</w:t>
      </w:r>
      <w:r w:rsidR="004E682D">
        <w:t xml:space="preserve"> </w:t>
      </w:r>
      <w:r w:rsidR="000B462F">
        <w:t>being that the Disabled person does not have the capacity or capability to answer themselves</w:t>
      </w:r>
      <w:r w:rsidR="004E682D">
        <w:t>. In fact, it remains so commonplace, that</w:t>
      </w:r>
      <w:r w:rsidR="000B462F">
        <w:t xml:space="preserve"> it continues to come up in etiquette guides about talking to Disabled people</w:t>
      </w:r>
      <w:r w:rsidR="000B462F">
        <w:rPr>
          <w:rStyle w:val="FootnoteReference"/>
        </w:rPr>
        <w:footnoteReference w:id="87"/>
      </w:r>
      <w:r w:rsidR="000B462F">
        <w:t>.</w:t>
      </w:r>
    </w:p>
    <w:p w14:paraId="6F7F9F97" w14:textId="568D89F9" w:rsidR="000A0E83" w:rsidRDefault="00737B8F" w:rsidP="00A6421D">
      <w:pPr>
        <w:spacing w:before="240" w:after="240" w:line="360" w:lineRule="auto"/>
      </w:pPr>
      <w:r>
        <w:t>There were also articles</w:t>
      </w:r>
      <w:r w:rsidR="00434DD2">
        <w:t xml:space="preserve"> </w:t>
      </w:r>
      <w:r>
        <w:t>where very little was included about the crimes perpetuated against the</w:t>
      </w:r>
      <w:r w:rsidR="00434DD2">
        <w:t xml:space="preserve"> Disabled victims</w:t>
      </w:r>
      <w:r>
        <w:t xml:space="preserve">, even when they were </w:t>
      </w:r>
      <w:r w:rsidR="009E2A95">
        <w:t xml:space="preserve">violent, because the perpetrators went on to commit even more serious crimes and they drew most of the media attention. For example, </w:t>
      </w:r>
      <w:r w:rsidR="00D7318E">
        <w:t xml:space="preserve">Ieuan Harley </w:t>
      </w:r>
      <w:r w:rsidR="0048612F">
        <w:t xml:space="preserve">assaulted </w:t>
      </w:r>
      <w:r w:rsidR="00992D78">
        <w:t>Samual Taylor</w:t>
      </w:r>
      <w:r w:rsidR="0081385F">
        <w:rPr>
          <w:rStyle w:val="FootnoteReference"/>
        </w:rPr>
        <w:footnoteReference w:id="88"/>
      </w:r>
      <w:r w:rsidR="00992D78">
        <w:t xml:space="preserve">, who has muscular dystrophy, and tried to gouge out his eyes, but this assault is often </w:t>
      </w:r>
      <w:r w:rsidR="00434DD2">
        <w:t>little more than</w:t>
      </w:r>
      <w:r w:rsidR="00992D78">
        <w:t xml:space="preserve"> an additional note in news </w:t>
      </w:r>
      <w:r w:rsidR="00992D78">
        <w:lastRenderedPageBreak/>
        <w:t>articles because Harley went on to murder a man previously convicted of killing a child.</w:t>
      </w:r>
    </w:p>
    <w:p w14:paraId="386D82E5" w14:textId="77777777" w:rsidR="00776AD8" w:rsidRPr="00C43FF5" w:rsidRDefault="00776AD8" w:rsidP="00A6421D">
      <w:pPr>
        <w:spacing w:before="240" w:after="240" w:line="360" w:lineRule="auto"/>
      </w:pPr>
    </w:p>
    <w:p w14:paraId="39ECE7AA" w14:textId="77777777" w:rsidR="00C43FF5" w:rsidRDefault="00C43FF5" w:rsidP="00A6421D">
      <w:pPr>
        <w:pStyle w:val="Heading4"/>
        <w:spacing w:before="240" w:after="240" w:line="360" w:lineRule="auto"/>
      </w:pPr>
      <w:r>
        <w:t>Why it matters</w:t>
      </w:r>
    </w:p>
    <w:p w14:paraId="5E23BF11" w14:textId="01CDDA42" w:rsidR="0081385F" w:rsidRDefault="002F4424" w:rsidP="00A6421D">
      <w:pPr>
        <w:spacing w:before="240" w:after="240" w:line="360" w:lineRule="auto"/>
      </w:pPr>
      <w:r>
        <w:t>T</w:t>
      </w:r>
      <w:r w:rsidR="00A07715">
        <w:t xml:space="preserve">his framing </w:t>
      </w:r>
      <w:r w:rsidR="0008709D">
        <w:t xml:space="preserve">of focusing on others to tell a Disabled person’s experience and/or </w:t>
      </w:r>
      <w:r w:rsidR="00CC1834">
        <w:t>excluding details about a victim who is Disabled</w:t>
      </w:r>
      <w:r w:rsidR="0081385F">
        <w:t xml:space="preserve"> can </w:t>
      </w:r>
      <w:r w:rsidR="00434DD2">
        <w:t>imply</w:t>
      </w:r>
      <w:r w:rsidR="00A07715">
        <w:t xml:space="preserve"> that the Disabled person </w:t>
      </w:r>
      <w:r w:rsidR="00434DD2">
        <w:t>does not matter enough to</w:t>
      </w:r>
      <w:r w:rsidR="00A07715">
        <w:t xml:space="preserve"> be included in their own story. </w:t>
      </w:r>
      <w:r w:rsidR="0081385F">
        <w:t>When the articles about a Disabled murder victim barely spend any time on the victim, the perpetrator becomes the important party. If you consider that many Disabled people experience societal exclusion for many years, for any Disabled victims to then be largely excluded even from the reporting on their own death is harrowing.</w:t>
      </w:r>
    </w:p>
    <w:p w14:paraId="309612F2" w14:textId="342EDDB6" w:rsidR="00CE1A95" w:rsidRDefault="0081385F" w:rsidP="00A6421D">
      <w:pPr>
        <w:spacing w:before="240" w:after="240" w:line="360" w:lineRule="auto"/>
      </w:pPr>
      <w:r>
        <w:t xml:space="preserve">When the Disabled person can and does want to speak to their own experience of a crime, but the perspective of a family member is prioritised, there is a risk of misinterpretation or misreporting. </w:t>
      </w:r>
      <w:r w:rsidR="00A6696E">
        <w:t>It also can accidentally reinforce the idea that when you want to know something about a Disabled person, you ask their non-Disabled relatives; or that the impact of the crime on the family member is more important than the impact on the Disabled victim themselves.</w:t>
      </w:r>
    </w:p>
    <w:p w14:paraId="1FEF5C6F" w14:textId="77777777" w:rsidR="00776AD8" w:rsidRDefault="00776AD8" w:rsidP="00A6421D">
      <w:pPr>
        <w:spacing w:before="240" w:after="240" w:line="360" w:lineRule="auto"/>
      </w:pPr>
    </w:p>
    <w:p w14:paraId="6BA50BAA" w14:textId="67F0B5D4" w:rsidR="0004182C" w:rsidRDefault="0004182C" w:rsidP="00A6421D">
      <w:pPr>
        <w:pStyle w:val="Heading4"/>
        <w:spacing w:before="240" w:after="240" w:line="360" w:lineRule="auto"/>
      </w:pPr>
      <w:r>
        <w:lastRenderedPageBreak/>
        <w:t xml:space="preserve">What could </w:t>
      </w:r>
      <w:r w:rsidR="00513E19">
        <w:t>journalists do</w:t>
      </w:r>
      <w:r>
        <w:t xml:space="preserve"> instead</w:t>
      </w:r>
    </w:p>
    <w:p w14:paraId="7CC95CA9" w14:textId="77D1A5A9" w:rsidR="00E66C83" w:rsidRDefault="00E66C83" w:rsidP="00A6421D">
      <w:pPr>
        <w:spacing w:before="240" w:after="240" w:line="360" w:lineRule="auto"/>
      </w:pPr>
      <w:r>
        <w:t xml:space="preserve">Sometimes, it </w:t>
      </w:r>
      <w:r w:rsidR="00B41E34">
        <w:t>may make sense that</w:t>
      </w:r>
      <w:r>
        <w:t xml:space="preserve"> one case would get less attention than </w:t>
      </w:r>
      <w:r w:rsidR="00A6696E">
        <w:t>another,</w:t>
      </w:r>
      <w:r>
        <w:t xml:space="preserve"> such as when the crime against the Disabled person was a</w:t>
      </w:r>
      <w:r w:rsidR="00B41E34">
        <w:t>ssault and the same perpetrator committed a murder afterwards. Newspapers are going to focus more on the more serious crime, and this decision is not necessarily influenced by disablism.</w:t>
      </w:r>
    </w:p>
    <w:p w14:paraId="1705AE04" w14:textId="68DA2659" w:rsidR="00B41E34" w:rsidRDefault="00B41E34" w:rsidP="00A6421D">
      <w:pPr>
        <w:spacing w:before="240" w:after="240" w:line="360" w:lineRule="auto"/>
      </w:pPr>
      <w:r>
        <w:t>However, when the article is just about a crime against a Disabled person</w:t>
      </w:r>
      <w:r w:rsidR="00D27FD9">
        <w:t>, particularly when it is a murder, they should be written about with empathy and compassion</w:t>
      </w:r>
      <w:r w:rsidR="00A644AF">
        <w:t>, centred as a whole person and not just as a footnote in a story about their own murder</w:t>
      </w:r>
      <w:r w:rsidR="00C640DA">
        <w:t xml:space="preserve">. </w:t>
      </w:r>
    </w:p>
    <w:p w14:paraId="13FE25BC" w14:textId="374C65A6" w:rsidR="000255BC" w:rsidRDefault="000255BC" w:rsidP="00A6421D">
      <w:pPr>
        <w:spacing w:before="240" w:after="240" w:line="360" w:lineRule="auto"/>
      </w:pPr>
      <w:r>
        <w:t xml:space="preserve">There are many reasons why a Disabled victim may not want to discuss what happened to them and if someone does not want to be involved in any write-ups about their experiences, that should always be respected. Where possible, the writer should ask considerately whether the victim wants to add anything to the news article, instead of only asking family members or professionals. </w:t>
      </w:r>
    </w:p>
    <w:p w14:paraId="230F2424" w14:textId="402A54B2" w:rsidR="0003732E" w:rsidRDefault="001D6393" w:rsidP="00A6421D">
      <w:pPr>
        <w:spacing w:before="240" w:after="240" w:line="360" w:lineRule="auto"/>
      </w:pPr>
      <w:r>
        <w:t xml:space="preserve">If the Disabled victim has the capacity and desire to be quoted about their experience, </w:t>
      </w:r>
      <w:r w:rsidR="0003732E">
        <w:t xml:space="preserve">anonymously or named, </w:t>
      </w:r>
      <w:r>
        <w:t xml:space="preserve">then </w:t>
      </w:r>
      <w:r w:rsidR="00E66C83">
        <w:t>their words should be prioritised over those of their parents or carers, especially when they were the only one present for the incident.</w:t>
      </w:r>
      <w:r w:rsidR="0003732E">
        <w:t xml:space="preserve"> </w:t>
      </w:r>
    </w:p>
    <w:p w14:paraId="374720E6" w14:textId="5217BE0B" w:rsidR="00F56885" w:rsidRDefault="00EF3428" w:rsidP="00A6421D">
      <w:pPr>
        <w:spacing w:before="240" w:after="240" w:line="360" w:lineRule="auto"/>
      </w:pPr>
      <w:r>
        <w:t>In some articles,</w:t>
      </w:r>
      <w:r w:rsidR="0003732E">
        <w:t xml:space="preserve"> such as those involving cuckooing or fraud where victims may not want to be named or have concerns about safety if they were quoted,</w:t>
      </w:r>
      <w:r w:rsidR="000255BC">
        <w:t xml:space="preserve"> </w:t>
      </w:r>
      <w:r>
        <w:t xml:space="preserve">references to wider commentary about the impact </w:t>
      </w:r>
      <w:r w:rsidR="0003732E">
        <w:t xml:space="preserve">these </w:t>
      </w:r>
      <w:r>
        <w:t xml:space="preserve">crimes </w:t>
      </w:r>
      <w:r w:rsidR="0003732E">
        <w:lastRenderedPageBreak/>
        <w:t xml:space="preserve">have </w:t>
      </w:r>
      <w:r>
        <w:t xml:space="preserve">on Disabled victims — feeling unsafe in their own homes; becoming unable to trust other people because they have been exploited by people, especially those in care positions, who they once trusted — could offer a way of discussing the victim impact. </w:t>
      </w:r>
    </w:p>
    <w:p w14:paraId="7C0EC518" w14:textId="2664ABBF" w:rsidR="00EF3428" w:rsidRDefault="00EF3428" w:rsidP="00A6421D">
      <w:pPr>
        <w:spacing w:before="240" w:after="240" w:line="360" w:lineRule="auto"/>
      </w:pPr>
      <w:r>
        <w:t xml:space="preserve">Finally, the matter of accessibility should be considered. Many Disabled people </w:t>
      </w:r>
      <w:r w:rsidR="00323F1C">
        <w:t xml:space="preserve">currently </w:t>
      </w:r>
      <w:r>
        <w:t>use</w:t>
      </w:r>
      <w:r w:rsidR="00323F1C">
        <w:t xml:space="preserve"> or could benefit from</w:t>
      </w:r>
      <w:r>
        <w:t xml:space="preserve"> alternative or augmentative communication</w:t>
      </w:r>
      <w:r>
        <w:rPr>
          <w:rStyle w:val="FootnoteReference"/>
        </w:rPr>
        <w:footnoteReference w:id="89"/>
      </w:r>
      <w:r>
        <w:t xml:space="preserve"> or experience barriers to communication</w:t>
      </w:r>
      <w:r>
        <w:rPr>
          <w:rStyle w:val="FootnoteReference"/>
        </w:rPr>
        <w:footnoteReference w:id="90"/>
      </w:r>
      <w:r>
        <w:t xml:space="preserve">. There </w:t>
      </w:r>
      <w:r w:rsidR="00323F1C">
        <w:t>are</w:t>
      </w:r>
      <w:r>
        <w:t xml:space="preserve"> </w:t>
      </w:r>
      <w:r w:rsidR="00EE55C0">
        <w:t xml:space="preserve">general </w:t>
      </w:r>
      <w:r>
        <w:t xml:space="preserve">ways to improve the accessibility of </w:t>
      </w:r>
      <w:r w:rsidR="00323F1C">
        <w:t xml:space="preserve">communication, meetings, </w:t>
      </w:r>
      <w:r w:rsidR="00EE55C0">
        <w:t>interviews,</w:t>
      </w:r>
      <w:r w:rsidR="00323F1C">
        <w:t xml:space="preserve"> and information gathering</w:t>
      </w:r>
      <w:r>
        <w:t xml:space="preserve"> that </w:t>
      </w:r>
      <w:r w:rsidR="00EE55C0">
        <w:t xml:space="preserve">could </w:t>
      </w:r>
      <w:r>
        <w:t>allow</w:t>
      </w:r>
      <w:r w:rsidR="00EE55C0">
        <w:t xml:space="preserve"> more</w:t>
      </w:r>
      <w:r>
        <w:t xml:space="preserve"> Disabled victims </w:t>
      </w:r>
      <w:r w:rsidR="00825209">
        <w:t>to discuss the</w:t>
      </w:r>
      <w:r w:rsidR="00EE55C0">
        <w:t>ir experiences</w:t>
      </w:r>
      <w:r>
        <w:t xml:space="preserve"> in a way that meets their needs</w:t>
      </w:r>
      <w:r w:rsidR="00323F1C">
        <w:rPr>
          <w:rStyle w:val="FootnoteReference"/>
        </w:rPr>
        <w:footnoteReference w:id="91"/>
      </w:r>
      <w:r w:rsidR="00EE55C0">
        <w:t>, as well as asking the individual what they might need.</w:t>
      </w:r>
    </w:p>
    <w:p w14:paraId="0CC2FEAD" w14:textId="73E292F2" w:rsidR="0003732E" w:rsidRDefault="0003732E">
      <w:r>
        <w:br w:type="page"/>
      </w:r>
    </w:p>
    <w:p w14:paraId="281991E6" w14:textId="04C91320" w:rsidR="00101CB2" w:rsidRDefault="00FE35C1" w:rsidP="00A6421D">
      <w:pPr>
        <w:pStyle w:val="Heading2"/>
        <w:spacing w:before="240" w:after="240" w:line="360" w:lineRule="auto"/>
      </w:pPr>
      <w:bookmarkStart w:id="37" w:name="_Toc120713483"/>
      <w:r>
        <w:lastRenderedPageBreak/>
        <w:t>Cases involving Disabled victims, harassment, and suicide</w:t>
      </w:r>
      <w:bookmarkEnd w:id="37"/>
    </w:p>
    <w:p w14:paraId="44918344" w14:textId="6D4F808B" w:rsidR="00101CB2" w:rsidRDefault="00101CB2" w:rsidP="00A6421D">
      <w:pPr>
        <w:spacing w:before="240" w:after="240" w:line="360" w:lineRule="auto"/>
      </w:pPr>
      <w:r>
        <w:t>There w</w:t>
      </w:r>
      <w:r w:rsidR="001102D3">
        <w:t>ere</w:t>
      </w:r>
      <w:r>
        <w:t xml:space="preserve"> only </w:t>
      </w:r>
      <w:r w:rsidR="001102D3">
        <w:t>two</w:t>
      </w:r>
      <w:r>
        <w:t xml:space="preserve"> case</w:t>
      </w:r>
      <w:r w:rsidR="001102D3">
        <w:t>s</w:t>
      </w:r>
      <w:r>
        <w:t xml:space="preserve"> where </w:t>
      </w:r>
      <w:r w:rsidR="007E2B98">
        <w:t xml:space="preserve">a professional within the CJS acknowledged that the actions of the perpetrators contributed directly to the victim’s suicide. </w:t>
      </w:r>
      <w:r w:rsidR="00513E19">
        <w:t>The</w:t>
      </w:r>
      <w:r w:rsidR="00A6696E">
        <w:t>s</w:t>
      </w:r>
      <w:r w:rsidR="00513E19">
        <w:t>e were</w:t>
      </w:r>
      <w:r w:rsidR="007E2B98">
        <w:t xml:space="preserve"> also </w:t>
      </w:r>
      <w:r w:rsidR="00513E19">
        <w:t>some</w:t>
      </w:r>
      <w:r w:rsidR="007E2B98">
        <w:t xml:space="preserve"> of the few cases where the perpetrators were prosecuted for </w:t>
      </w:r>
      <w:r w:rsidR="00304EEA">
        <w:t>anything because</w:t>
      </w:r>
      <w:r w:rsidR="007E2B98">
        <w:t xml:space="preserve"> they committed additional crimes.</w:t>
      </w:r>
    </w:p>
    <w:p w14:paraId="1CF393C5" w14:textId="0F316436" w:rsidR="007E2B98" w:rsidRDefault="00A11783" w:rsidP="00A6421D">
      <w:pPr>
        <w:spacing w:before="240" w:after="240" w:line="360" w:lineRule="auto"/>
      </w:pPr>
      <w:r>
        <w:t>In 2016, Leah Ratheram and a friend of hers were attacked in Leah’s flat by Lucy Regan and Omaij Christie. The</w:t>
      </w:r>
      <w:r w:rsidR="004914BD">
        <w:t xml:space="preserve"> pair</w:t>
      </w:r>
      <w:r>
        <w:t xml:space="preserve"> ended their attack by throwing Leah’s friend over her balcony to the ground below; he sustained substantial injuries and became Disabled as a result</w:t>
      </w:r>
      <w:r w:rsidR="004914BD">
        <w:rPr>
          <w:rStyle w:val="FootnoteReference"/>
        </w:rPr>
        <w:footnoteReference w:id="92"/>
      </w:r>
      <w:r>
        <w:t>.</w:t>
      </w:r>
    </w:p>
    <w:p w14:paraId="3B00448D" w14:textId="77777777" w:rsidR="001102D3" w:rsidRDefault="004914BD" w:rsidP="00A6421D">
      <w:pPr>
        <w:spacing w:before="240" w:after="240" w:line="360" w:lineRule="auto"/>
      </w:pPr>
      <w:r>
        <w:t>Not</w:t>
      </w:r>
      <w:r w:rsidR="00AD53E7">
        <w:t xml:space="preserve"> long after this attack, Leah com</w:t>
      </w:r>
      <w:r w:rsidR="003F6225">
        <w:t>plet</w:t>
      </w:r>
      <w:r w:rsidR="00AD53E7">
        <w:t xml:space="preserve">ed suicide in the woods near where she lived. </w:t>
      </w:r>
      <w:r w:rsidR="00565323">
        <w:t xml:space="preserve">Regan and Christie’s </w:t>
      </w:r>
      <w:r w:rsidR="00DB7715">
        <w:t xml:space="preserve">role in her suicide became a </w:t>
      </w:r>
      <w:r w:rsidR="00922F5F">
        <w:t>point of public record when the judge brought up</w:t>
      </w:r>
      <w:r w:rsidR="00565323">
        <w:t xml:space="preserve"> Leah’s victim impact statement and suicide</w:t>
      </w:r>
      <w:r w:rsidR="00922F5F">
        <w:t xml:space="preserve"> during sentencing.</w:t>
      </w:r>
      <w:r w:rsidR="001102D3" w:rsidRPr="001102D3">
        <w:t xml:space="preserve"> </w:t>
      </w:r>
    </w:p>
    <w:p w14:paraId="2EEE8AE4" w14:textId="6B15B651" w:rsidR="00A11783" w:rsidRDefault="001102D3" w:rsidP="00A6421D">
      <w:pPr>
        <w:spacing w:before="240" w:after="240" w:line="360" w:lineRule="auto"/>
      </w:pPr>
      <w:r>
        <w:t>Aaron Leafe, an autistic teenage boy with ADHD, completed suicide after being sexually assaulted repeatedly by a staff member, Anwar Ismail, at the residential home he lived at</w:t>
      </w:r>
      <w:r>
        <w:rPr>
          <w:rStyle w:val="FootnoteReference"/>
        </w:rPr>
        <w:footnoteReference w:id="93"/>
      </w:r>
      <w:r>
        <w:t>. Ismail was charged and convicted after Aaron’s death, receiving an 18-year sentence.</w:t>
      </w:r>
    </w:p>
    <w:p w14:paraId="35E72910" w14:textId="402D49DF" w:rsidR="00922F5F" w:rsidRDefault="00A6696E" w:rsidP="00A6421D">
      <w:pPr>
        <w:spacing w:before="240" w:after="240" w:line="360" w:lineRule="auto"/>
      </w:pPr>
      <w:r>
        <w:lastRenderedPageBreak/>
        <w:t>Three</w:t>
      </w:r>
      <w:r w:rsidR="00F3553C">
        <w:t xml:space="preserve"> cases </w:t>
      </w:r>
      <w:r w:rsidR="00261DBD">
        <w:t xml:space="preserve">out of the </w:t>
      </w:r>
      <w:r w:rsidR="0004441C">
        <w:t>four</w:t>
      </w:r>
      <w:r w:rsidR="00261DBD">
        <w:t>teen</w:t>
      </w:r>
      <w:r w:rsidR="009B2090">
        <w:t xml:space="preserve"> where the victim </w:t>
      </w:r>
      <w:r w:rsidR="00FE35C1">
        <w:t>died by</w:t>
      </w:r>
      <w:r w:rsidR="00A44976">
        <w:t xml:space="preserve"> </w:t>
      </w:r>
      <w:r w:rsidR="009B2090">
        <w:t>suicide</w:t>
      </w:r>
      <w:r w:rsidR="00FE35C1">
        <w:t xml:space="preserve"> following a period of harassment</w:t>
      </w:r>
      <w:r w:rsidR="005117F7">
        <w:t xml:space="preserve"> or assault</w:t>
      </w:r>
      <w:r w:rsidR="009B2090">
        <w:t xml:space="preserve">, saw charges brought against the perpetrators. </w:t>
      </w:r>
    </w:p>
    <w:p w14:paraId="227AB707" w14:textId="19194036" w:rsidR="00901A80" w:rsidRDefault="00536A65" w:rsidP="00A6421D">
      <w:pPr>
        <w:spacing w:before="240" w:after="240" w:line="360" w:lineRule="auto"/>
      </w:pPr>
      <w:r>
        <w:t xml:space="preserve">Something </w:t>
      </w:r>
      <w:r w:rsidR="00A6696E">
        <w:t>observed</w:t>
      </w:r>
      <w:r>
        <w:t xml:space="preserve"> in multiple cases were judgments from professionals</w:t>
      </w:r>
      <w:r w:rsidR="004E2ECB">
        <w:t xml:space="preserve">, who had never met the victim, </w:t>
      </w:r>
      <w:r w:rsidR="00544F61">
        <w:t xml:space="preserve">about </w:t>
      </w:r>
      <w:r w:rsidR="00B95B69">
        <w:t xml:space="preserve">the </w:t>
      </w:r>
      <w:r w:rsidR="00544F61">
        <w:t xml:space="preserve">capacity of the Disabled victim to make the decision to complete suicide. </w:t>
      </w:r>
      <w:r w:rsidR="00261892">
        <w:t>12-year-old Matthew Wooby</w:t>
      </w:r>
      <w:r w:rsidR="0004441C">
        <w:t xml:space="preserve"> and 13-year-old Gavin Mason’s </w:t>
      </w:r>
      <w:r w:rsidR="00261892">
        <w:t>death</w:t>
      </w:r>
      <w:r w:rsidR="0004441C">
        <w:t>s</w:t>
      </w:r>
      <w:r w:rsidR="00261892">
        <w:t xml:space="preserve"> </w:t>
      </w:r>
      <w:r w:rsidR="0004441C">
        <w:t>were recorded as misadventure or left open</w:t>
      </w:r>
      <w:r w:rsidR="00261892">
        <w:t xml:space="preserve"> rather than </w:t>
      </w:r>
      <w:r w:rsidR="0004441C">
        <w:t xml:space="preserve">recorded as </w:t>
      </w:r>
      <w:r w:rsidR="00261892">
        <w:t xml:space="preserve">suicide. </w:t>
      </w:r>
    </w:p>
    <w:p w14:paraId="7C597640" w14:textId="78C11B59" w:rsidR="00797EBB" w:rsidRDefault="007A6D95" w:rsidP="00A6421D">
      <w:pPr>
        <w:spacing w:before="240" w:after="240" w:line="360" w:lineRule="auto"/>
      </w:pPr>
      <w:r>
        <w:t xml:space="preserve">In both cases, the professional’s decisions </w:t>
      </w:r>
      <w:r w:rsidR="00261892">
        <w:t xml:space="preserve">hinged on the </w:t>
      </w:r>
      <w:r w:rsidR="00D453EA">
        <w:t xml:space="preserve">presumption that the children’s disabilities </w:t>
      </w:r>
      <w:r w:rsidR="00C23645">
        <w:t xml:space="preserve">or impairments </w:t>
      </w:r>
      <w:r w:rsidR="00D453EA">
        <w:t xml:space="preserve">meant they “may not have understood what they were doing”. </w:t>
      </w:r>
      <w:r w:rsidR="004E340D">
        <w:t>Matthew’s own family believed that the bullying Matthew endured may have led to his decision to complete suicide, but the coroner made the final decision, claiming:</w:t>
      </w:r>
    </w:p>
    <w:p w14:paraId="738A3922" w14:textId="7A80F871" w:rsidR="004E340D" w:rsidRDefault="00797EBB" w:rsidP="00A6421D">
      <w:pPr>
        <w:spacing w:before="240" w:after="240" w:line="360" w:lineRule="auto"/>
        <w:jc w:val="center"/>
        <w:rPr>
          <w:i/>
          <w:iCs/>
        </w:rPr>
      </w:pPr>
      <w:r w:rsidRPr="00797EBB">
        <w:rPr>
          <w:i/>
          <w:iCs/>
        </w:rPr>
        <w:t>“he was unable to record a verdict of suicide as it was not clear Matthew, who was mildly autistic, knew his actions would result in his death.”</w:t>
      </w:r>
      <w:r w:rsidR="000A0A15">
        <w:rPr>
          <w:rStyle w:val="FootnoteReference"/>
          <w:i/>
          <w:iCs/>
        </w:rPr>
        <w:footnoteReference w:id="94"/>
      </w:r>
    </w:p>
    <w:p w14:paraId="01E299E1" w14:textId="77777777" w:rsidR="00797EBB" w:rsidRPr="00797EBB" w:rsidRDefault="00797EBB" w:rsidP="00A6421D">
      <w:pPr>
        <w:spacing w:before="240" w:after="240" w:line="360" w:lineRule="auto"/>
        <w:jc w:val="center"/>
        <w:rPr>
          <w:i/>
          <w:iCs/>
        </w:rPr>
      </w:pPr>
    </w:p>
    <w:p w14:paraId="2F479F1B" w14:textId="3207054C" w:rsidR="0004441C" w:rsidRDefault="002B2F39" w:rsidP="00A6421D">
      <w:pPr>
        <w:spacing w:before="240" w:after="240" w:line="360" w:lineRule="auto"/>
      </w:pPr>
      <w:r>
        <w:t xml:space="preserve">In Gavin’s case, he had spent time using his phone to Google topics such as self-harm and “how to kill yourself”, </w:t>
      </w:r>
      <w:r w:rsidR="004E2ECB">
        <w:t>and</w:t>
      </w:r>
      <w:r>
        <w:t xml:space="preserve"> left a </w:t>
      </w:r>
      <w:r w:rsidR="00434A96">
        <w:t xml:space="preserve">suicide note that talked about how he was bullied. </w:t>
      </w:r>
      <w:r w:rsidR="006E3880">
        <w:t>Despite this, the police investigation deemed there was no serious bullying problems, as all the boys were “as bad as each other”</w:t>
      </w:r>
      <w:r w:rsidR="00131417">
        <w:t xml:space="preserve"> and the coroner recorded an open verdict, not believing that a 13-year-old </w:t>
      </w:r>
      <w:r w:rsidR="00131417">
        <w:lastRenderedPageBreak/>
        <w:t>Disabled boy would have the intention</w:t>
      </w:r>
      <w:r w:rsidR="00930F01">
        <w:t xml:space="preserve"> or “be of sound mind” </w:t>
      </w:r>
      <w:r w:rsidR="00131417">
        <w:t xml:space="preserve">to </w:t>
      </w:r>
      <w:r w:rsidR="00A6696E">
        <w:t>complete suicide</w:t>
      </w:r>
      <w:r w:rsidR="007D53FA">
        <w:rPr>
          <w:rStyle w:val="FootnoteReference"/>
        </w:rPr>
        <w:footnoteReference w:id="95"/>
      </w:r>
      <w:r w:rsidR="00131417">
        <w:t xml:space="preserve">. </w:t>
      </w:r>
      <w:r w:rsidR="007D53FA">
        <w:t>Again, language around “mental age” and “language age” were used to portray the victim as younger than their chronological age.</w:t>
      </w:r>
    </w:p>
    <w:p w14:paraId="43370589" w14:textId="71C68EC0" w:rsidR="00D453EA" w:rsidRDefault="00D453EA" w:rsidP="00A6421D">
      <w:pPr>
        <w:spacing w:before="240" w:after="240" w:line="360" w:lineRule="auto"/>
      </w:pPr>
      <w:r>
        <w:t xml:space="preserve">There is no way for us to know what any of the victims were thinking or feeling before their deaths, but we </w:t>
      </w:r>
      <w:r w:rsidR="00A6696E">
        <w:t>know</w:t>
      </w:r>
      <w:r>
        <w:t xml:space="preserve"> </w:t>
      </w:r>
      <w:r w:rsidR="00396065">
        <w:t xml:space="preserve">from ONS data that </w:t>
      </w:r>
      <w:r w:rsidR="00DC1CB4">
        <w:t xml:space="preserve">between 2015 and 2022, </w:t>
      </w:r>
      <w:r w:rsidR="00D13BDC">
        <w:t>1,118</w:t>
      </w:r>
      <w:r w:rsidR="00DC1CB4">
        <w:t xml:space="preserve"> children </w:t>
      </w:r>
      <w:r w:rsidR="00FD0EEA">
        <w:t>between the ages of 10 and</w:t>
      </w:r>
      <w:r w:rsidR="00DC1CB4">
        <w:t xml:space="preserve"> 1</w:t>
      </w:r>
      <w:r w:rsidR="00D13BDC">
        <w:t>9</w:t>
      </w:r>
      <w:r w:rsidR="00DC1CB4">
        <w:t xml:space="preserve"> were confirmed to have completed suicide</w:t>
      </w:r>
      <w:r w:rsidR="002B561F">
        <w:t xml:space="preserve">, </w:t>
      </w:r>
      <w:r w:rsidR="00D13BDC">
        <w:t xml:space="preserve">with </w:t>
      </w:r>
      <w:r w:rsidR="003130AC">
        <w:t xml:space="preserve">57 of them being </w:t>
      </w:r>
      <w:r w:rsidR="00FD0EEA">
        <w:t>between 10 and 14 years of age</w:t>
      </w:r>
      <w:r w:rsidR="003453B2">
        <w:rPr>
          <w:rStyle w:val="FootnoteReference"/>
        </w:rPr>
        <w:footnoteReference w:id="96"/>
      </w:r>
      <w:r w:rsidR="00FD0EEA">
        <w:t>.</w:t>
      </w:r>
      <w:r w:rsidR="00632D0E">
        <w:t xml:space="preserve"> The ONS does not </w:t>
      </w:r>
      <w:r w:rsidR="00D1266C">
        <w:t xml:space="preserve">report on data for children younger than 10, but global research in recent years </w:t>
      </w:r>
      <w:r w:rsidR="00A6696E">
        <w:t>shows</w:t>
      </w:r>
      <w:r w:rsidR="00D1266C">
        <w:t xml:space="preserve"> that both suicidal ideation and suicide attempts in children and teenagers are increasing, including in the under-10s age group.</w:t>
      </w:r>
    </w:p>
    <w:p w14:paraId="77434002" w14:textId="74D1FAA4" w:rsidR="00D1266C" w:rsidRDefault="00BF4C2E" w:rsidP="00A6421D">
      <w:pPr>
        <w:spacing w:before="240" w:after="240" w:line="360" w:lineRule="auto"/>
      </w:pPr>
      <w:r>
        <w:t>What feels particularly uncomfortable</w:t>
      </w:r>
      <w:r w:rsidR="003453B2">
        <w:t xml:space="preserve">, </w:t>
      </w:r>
      <w:r>
        <w:t xml:space="preserve">is that even when a Disabled boy left a note </w:t>
      </w:r>
      <w:r w:rsidR="00844D41">
        <w:t>outlining</w:t>
      </w:r>
      <w:r>
        <w:t xml:space="preserve"> the reasons for completing suicide and had a verifiable history of researching how to kill himself, a coroner </w:t>
      </w:r>
      <w:r w:rsidR="00E82743">
        <w:t xml:space="preserve">who had never met him </w:t>
      </w:r>
      <w:r>
        <w:t>dismissed</w:t>
      </w:r>
      <w:r w:rsidR="00E82743">
        <w:t xml:space="preserve"> the remaining evidence of</w:t>
      </w:r>
      <w:r>
        <w:t xml:space="preserve"> his lived experience and decided he </w:t>
      </w:r>
      <w:r w:rsidR="00844D41">
        <w:t xml:space="preserve">did not have the mental capacity to complete suicide. </w:t>
      </w:r>
    </w:p>
    <w:p w14:paraId="49660528" w14:textId="0E3657AB" w:rsidR="000E6FD6" w:rsidRDefault="000E6FD6" w:rsidP="00A6421D">
      <w:pPr>
        <w:spacing w:before="240" w:after="240" w:line="360" w:lineRule="auto"/>
      </w:pPr>
      <w:r>
        <w:t xml:space="preserve">While </w:t>
      </w:r>
      <w:r w:rsidR="00A6696E">
        <w:t>these</w:t>
      </w:r>
      <w:r>
        <w:t xml:space="preserve"> examples </w:t>
      </w:r>
      <w:r w:rsidR="008718F7">
        <w:t xml:space="preserve">were the result of direct quotes, there </w:t>
      </w:r>
      <w:r w:rsidR="00A6696E">
        <w:t>were</w:t>
      </w:r>
      <w:r w:rsidR="008718F7">
        <w:t xml:space="preserve"> mixed methods in how they were reported. Some articles chose </w:t>
      </w:r>
      <w:r w:rsidR="007F470F">
        <w:t>to</w:t>
      </w:r>
      <w:r w:rsidR="008718F7">
        <w:t xml:space="preserve"> centre the perspective of the professionals and framed their articles around the concepts of the Disabled victims having a lower “mental or emotional age” than their chronological age</w:t>
      </w:r>
      <w:r w:rsidR="0096181C">
        <w:t xml:space="preserve">; others framed the professional opinion </w:t>
      </w:r>
      <w:r w:rsidR="0096181C">
        <w:lastRenderedPageBreak/>
        <w:t>against the family’s opinions, which meant that there was less of a</w:t>
      </w:r>
      <w:r w:rsidR="00A6696E">
        <w:t xml:space="preserve">n outright </w:t>
      </w:r>
      <w:r w:rsidR="0096181C">
        <w:t>conclusion of “they did not know what they are doing”.</w:t>
      </w:r>
    </w:p>
    <w:p w14:paraId="0233383B" w14:textId="3597007F" w:rsidR="00930F01" w:rsidRDefault="00930F01" w:rsidP="00A6421D">
      <w:pPr>
        <w:spacing w:before="240" w:after="240" w:line="360" w:lineRule="auto"/>
      </w:pPr>
      <w:r>
        <w:t xml:space="preserve">In all these cases, </w:t>
      </w:r>
      <w:r w:rsidR="00E82743">
        <w:t>except for</w:t>
      </w:r>
      <w:r>
        <w:t xml:space="preserve"> the use of ‘mental age’, ‘emotional age’, or ‘language age’, the articles were largely written respectfully and avoided</w:t>
      </w:r>
      <w:r w:rsidR="00ED0F15">
        <w:t xml:space="preserve"> further disablist language or intentions. </w:t>
      </w:r>
      <w:r w:rsidR="00933561">
        <w:t>However, a number did not adhere to</w:t>
      </w:r>
      <w:r w:rsidR="004972A4">
        <w:t xml:space="preserve"> both</w:t>
      </w:r>
      <w:r w:rsidR="00933561">
        <w:t xml:space="preserve"> IPSO’s</w:t>
      </w:r>
      <w:r w:rsidR="006D1492">
        <w:rPr>
          <w:rStyle w:val="FootnoteReference"/>
        </w:rPr>
        <w:footnoteReference w:id="97"/>
      </w:r>
      <w:r w:rsidR="00933561">
        <w:t xml:space="preserve"> </w:t>
      </w:r>
      <w:r w:rsidR="004972A4">
        <w:t>and the Samaritan’s</w:t>
      </w:r>
      <w:r w:rsidR="006D1492">
        <w:rPr>
          <w:rStyle w:val="FootnoteReference"/>
        </w:rPr>
        <w:footnoteReference w:id="98"/>
      </w:r>
      <w:r w:rsidR="004972A4">
        <w:t xml:space="preserve"> </w:t>
      </w:r>
      <w:r w:rsidR="00933561">
        <w:t>guidance on reporting on suicides, including providing details of the ligature or point of suspension</w:t>
      </w:r>
      <w:r w:rsidR="00A2619F">
        <w:t xml:space="preserve"> when they did not seem to be central to the coroner’s conclusions (given that the coroners seemed to make their judgments primarily on the victim’s disability)</w:t>
      </w:r>
      <w:r w:rsidR="004972A4">
        <w:t>, and reporting the method of suicide in the article headline.</w:t>
      </w:r>
    </w:p>
    <w:p w14:paraId="4F8E0CB5" w14:textId="2BE46006" w:rsidR="00CD4FEC" w:rsidRDefault="006D1492" w:rsidP="00A6421D">
      <w:pPr>
        <w:spacing w:before="240" w:after="240" w:line="360" w:lineRule="auto"/>
      </w:pPr>
      <w:r>
        <w:t>In parallels to the Fiona Pilkington and Francesca Hardwick case, where failings in the police and other authorities led to disability hate crime being ignored and unidentified for years</w:t>
      </w:r>
      <w:r>
        <w:rPr>
          <w:rStyle w:val="FootnoteReference"/>
        </w:rPr>
        <w:footnoteReference w:id="99"/>
      </w:r>
      <w:r>
        <w:t>, n</w:t>
      </w:r>
      <w:r w:rsidR="0096181C">
        <w:t>one of the articles mentioned that the harassment the victims experienced before suicide</w:t>
      </w:r>
      <w:r w:rsidR="00104674">
        <w:t xml:space="preserve"> could be a hate crime. Some suggested that “bullying” occurred, while others downplayed even this by framing it as “banter” or “fun that went too far”. </w:t>
      </w:r>
    </w:p>
    <w:p w14:paraId="05B7E33A" w14:textId="28EA0671" w:rsidR="00701310" w:rsidRDefault="003B5905" w:rsidP="00A6421D">
      <w:pPr>
        <w:spacing w:before="240" w:after="240" w:line="360" w:lineRule="auto"/>
      </w:pPr>
      <w:r>
        <w:t xml:space="preserve">This is a common occurrence when the harassment is carried out by teenagers or young people; in the repeated assault and harassment of Jeremiah </w:t>
      </w:r>
      <w:r w:rsidR="004C27F0">
        <w:t xml:space="preserve">Khan by his classmates, </w:t>
      </w:r>
      <w:r w:rsidR="006D1492">
        <w:t>the school downplayed the attacks</w:t>
      </w:r>
      <w:r w:rsidR="00CD4FEC">
        <w:t>, even after a violent assault on Jeremiah saw him knocked unconscious</w:t>
      </w:r>
      <w:r w:rsidR="00701310">
        <w:rPr>
          <w:rStyle w:val="FootnoteReference"/>
        </w:rPr>
        <w:footnoteReference w:id="100"/>
      </w:r>
      <w:r w:rsidR="00CD4FEC">
        <w:t xml:space="preserve">. </w:t>
      </w:r>
      <w:r w:rsidR="00CD4FEC">
        <w:lastRenderedPageBreak/>
        <w:t xml:space="preserve">Jeremiah’s mother removed him from the school before anything worse could happen to her son, but this is another example of how harm perpetuated against Disabled people is often not taken seriously. </w:t>
      </w:r>
    </w:p>
    <w:p w14:paraId="38700D7E" w14:textId="21A4272D" w:rsidR="00701310" w:rsidRDefault="00701310" w:rsidP="00A6421D">
      <w:pPr>
        <w:spacing w:before="240" w:after="240" w:line="360" w:lineRule="auto"/>
      </w:pPr>
      <w:r>
        <w:t xml:space="preserve">In reading the details of the 14 cases involving suicide of the victim, it was clear that most of them </w:t>
      </w:r>
      <w:r w:rsidR="006D1492">
        <w:t>contained</w:t>
      </w:r>
      <w:r>
        <w:t xml:space="preserve"> details </w:t>
      </w:r>
      <w:r w:rsidR="006D1492">
        <w:t>suggesting</w:t>
      </w:r>
      <w:r>
        <w:t xml:space="preserve"> </w:t>
      </w:r>
      <w:r w:rsidR="00D01188">
        <w:t xml:space="preserve">the suicides were precipitated by disability hate crimes and incidents. Reports of Disabled victims being harassed or assaulted for being different, behaving differently, or something relating to their </w:t>
      </w:r>
      <w:r w:rsidR="007A6B79">
        <w:t xml:space="preserve">disability </w:t>
      </w:r>
      <w:r w:rsidR="00D01188">
        <w:t>were present in many of the write-ups</w:t>
      </w:r>
      <w:r w:rsidR="000930F2">
        <w:t xml:space="preserve">, as was confirmation from family members that they believed their loved one was targeted for their </w:t>
      </w:r>
      <w:r w:rsidR="00DE2781">
        <w:t>disability</w:t>
      </w:r>
      <w:r w:rsidR="000930F2">
        <w:t>. Yet the words disability hate incident or crime were not mentioned in a single article</w:t>
      </w:r>
      <w:r w:rsidR="006D1492">
        <w:t>, presumably because no-one within the CJS identified the cases as involving ongoing hate crimes.</w:t>
      </w:r>
    </w:p>
    <w:p w14:paraId="6466384A" w14:textId="77777777" w:rsidR="006D1492" w:rsidRDefault="000930F2" w:rsidP="00A6421D">
      <w:pPr>
        <w:spacing w:before="240" w:after="240" w:line="360" w:lineRule="auto"/>
      </w:pPr>
      <w:r>
        <w:t xml:space="preserve">The attitudes and </w:t>
      </w:r>
      <w:r w:rsidR="00A623A7">
        <w:t>biases that underpinned disability hate crimes often start at a young age and, as demonstrated by cases such as the murder of Lee Irving, disability hate crimes often continue for prolonged periods of time, escalating over time, sometimes to murder</w:t>
      </w:r>
      <w:r w:rsidR="006D1492">
        <w:rPr>
          <w:rStyle w:val="FootnoteReference"/>
        </w:rPr>
        <w:footnoteReference w:id="101"/>
      </w:r>
      <w:r w:rsidR="00A623A7">
        <w:t xml:space="preserve">. </w:t>
      </w:r>
    </w:p>
    <w:p w14:paraId="3589A01D" w14:textId="64F48113" w:rsidR="00A623A7" w:rsidRDefault="004C47A7" w:rsidP="00A6421D">
      <w:pPr>
        <w:spacing w:before="240" w:after="240" w:line="360" w:lineRule="auto"/>
      </w:pPr>
      <w:r>
        <w:t xml:space="preserve">Media </w:t>
      </w:r>
      <w:r w:rsidR="00A623A7">
        <w:t>acknowledgement of</w:t>
      </w:r>
      <w:r w:rsidR="000A2888">
        <w:t xml:space="preserve"> </w:t>
      </w:r>
      <w:r w:rsidR="00721540">
        <w:t>actions being motivated by bigotry or discrimination</w:t>
      </w:r>
      <w:r>
        <w:t xml:space="preserve"> when there is evidence </w:t>
      </w:r>
      <w:r w:rsidR="000A2888">
        <w:t xml:space="preserve">of it, </w:t>
      </w:r>
      <w:r w:rsidR="00721540">
        <w:t xml:space="preserve">or inclusion of how these patterns of harassment which lead to suicide can and are also present in a </w:t>
      </w:r>
      <w:r w:rsidR="00721540">
        <w:lastRenderedPageBreak/>
        <w:t>number of other disability hate crimes</w:t>
      </w:r>
      <w:r>
        <w:t xml:space="preserve"> would </w:t>
      </w:r>
      <w:r w:rsidR="006D1492">
        <w:t>emphasise</w:t>
      </w:r>
      <w:r>
        <w:t xml:space="preserve"> the importance of wider society’s role in reducing disability hate crime.</w:t>
      </w:r>
    </w:p>
    <w:p w14:paraId="13089B5C" w14:textId="21A7EEA8" w:rsidR="006D1492" w:rsidRDefault="006D1492" w:rsidP="00A6421D">
      <w:pPr>
        <w:spacing w:before="240" w:after="240" w:line="360" w:lineRule="auto"/>
      </w:pPr>
      <w:r>
        <w:t xml:space="preserve">Hate crimes and patterns of hate incidences can and do lead to murder, suicide, and other forms of harm; if it can be identified earlier and more often, on a societal scale, then this harm and these deaths may be avoidable. </w:t>
      </w:r>
    </w:p>
    <w:p w14:paraId="2186A8D1" w14:textId="77777777" w:rsidR="00A517A5" w:rsidRDefault="00A517A5" w:rsidP="00A6421D">
      <w:pPr>
        <w:spacing w:before="240" w:after="240" w:line="360" w:lineRule="auto"/>
      </w:pPr>
    </w:p>
    <w:p w14:paraId="17F31615" w14:textId="6CBEF298" w:rsidR="00F56885" w:rsidRDefault="00F56885" w:rsidP="00A6421D">
      <w:pPr>
        <w:spacing w:before="240" w:after="240" w:line="360" w:lineRule="auto"/>
      </w:pPr>
      <w:r>
        <w:br w:type="page"/>
      </w:r>
    </w:p>
    <w:p w14:paraId="746DA2E2" w14:textId="66BA38AD" w:rsidR="00A517A5" w:rsidRDefault="00F56885" w:rsidP="00A6421D">
      <w:pPr>
        <w:pStyle w:val="Heading1"/>
        <w:spacing w:after="240" w:line="360" w:lineRule="auto"/>
      </w:pPr>
      <w:bookmarkStart w:id="38" w:name="_Toc120713484"/>
      <w:r>
        <w:lastRenderedPageBreak/>
        <w:t>Conclusion</w:t>
      </w:r>
      <w:bookmarkEnd w:id="38"/>
    </w:p>
    <w:p w14:paraId="6F24B25C" w14:textId="77C42444" w:rsidR="006D1492" w:rsidRDefault="00A86B62" w:rsidP="00A6421D">
      <w:pPr>
        <w:spacing w:before="240" w:after="240" w:line="360" w:lineRule="auto"/>
      </w:pPr>
      <w:r>
        <w:t xml:space="preserve">We all absorb ideas, concepts, preconceptions, and biases from the world around us and the media plays an exceptionally large role in this. </w:t>
      </w:r>
      <w:r w:rsidR="006D1492">
        <w:t>Mass media has a heavy influence on individuals and society, even more so as people increasingly absorb what they hear and do not question whether it is true or not</w:t>
      </w:r>
      <w:r w:rsidR="006D1492">
        <w:rPr>
          <w:rStyle w:val="FootnoteReference"/>
        </w:rPr>
        <w:footnoteReference w:id="102"/>
      </w:r>
      <w:r w:rsidR="006D1492">
        <w:t xml:space="preserve">. When this influence allows disablism to spread — unconsciously or consciously, </w:t>
      </w:r>
      <w:r w:rsidR="008E63D0">
        <w:t>accidentally</w:t>
      </w:r>
      <w:r w:rsidR="006D1492">
        <w:t xml:space="preserve"> or purposefully — the impact it has on how society perceives Disabled people can have real-world impacts</w:t>
      </w:r>
      <w:r w:rsidR="00605601">
        <w:rPr>
          <w:rStyle w:val="FootnoteReference"/>
        </w:rPr>
        <w:footnoteReference w:id="103"/>
      </w:r>
      <w:r w:rsidR="006D1492">
        <w:t>.</w:t>
      </w:r>
    </w:p>
    <w:p w14:paraId="7CEBACE5" w14:textId="2D71505C" w:rsidR="00A517A5" w:rsidRDefault="00266331" w:rsidP="00A6421D">
      <w:pPr>
        <w:spacing w:before="240" w:after="240" w:line="360" w:lineRule="auto"/>
      </w:pPr>
      <w:r>
        <w:t xml:space="preserve">Of course, the news is not the only source of this. </w:t>
      </w:r>
      <w:r w:rsidR="00A86B62">
        <w:t xml:space="preserve">Others have written at length about the role entertainment </w:t>
      </w:r>
      <w:r>
        <w:t xml:space="preserve">media </w:t>
      </w:r>
      <w:r w:rsidR="00A86B62">
        <w:t xml:space="preserve">plays in </w:t>
      </w:r>
      <w:r w:rsidR="00C1080C">
        <w:t xml:space="preserve">either </w:t>
      </w:r>
      <w:r w:rsidR="00A86B62">
        <w:t xml:space="preserve">perpetuating bigotry and stereotypes </w:t>
      </w:r>
      <w:r w:rsidR="00C1080C">
        <w:t>or in improving inclusion and acceptance</w:t>
      </w:r>
      <w:r w:rsidR="00C1080C">
        <w:rPr>
          <w:rStyle w:val="FootnoteReference"/>
        </w:rPr>
        <w:footnoteReference w:id="104"/>
      </w:r>
      <w:r>
        <w:t>.</w:t>
      </w:r>
    </w:p>
    <w:p w14:paraId="6DB63626" w14:textId="47E27188" w:rsidR="00266331" w:rsidRDefault="00FD3812" w:rsidP="00A6421D">
      <w:pPr>
        <w:spacing w:before="240" w:after="240" w:line="360" w:lineRule="auto"/>
      </w:pPr>
      <w:r>
        <w:t>The</w:t>
      </w:r>
      <w:r w:rsidR="00996BC2">
        <w:t xml:space="preserve"> debate over what is and is not a hate crime continues, and with </w:t>
      </w:r>
      <w:r w:rsidR="00DC6964">
        <w:t>reforms following the recommendations from the Law Commission still pending</w:t>
      </w:r>
      <w:r>
        <w:t xml:space="preserve">, these debates are likely to emerge again over the coming </w:t>
      </w:r>
      <w:r w:rsidR="00A16DA7">
        <w:t>years</w:t>
      </w:r>
      <w:r w:rsidR="00605601">
        <w:rPr>
          <w:rStyle w:val="FootnoteReference"/>
        </w:rPr>
        <w:footnoteReference w:id="105"/>
      </w:r>
      <w:r>
        <w:t xml:space="preserve">. When hate crime itself is discussed in the media, </w:t>
      </w:r>
      <w:r w:rsidR="008E63D0">
        <w:t>sometimes</w:t>
      </w:r>
      <w:r>
        <w:t xml:space="preserve"> the emphasis is on </w:t>
      </w:r>
      <w:r>
        <w:lastRenderedPageBreak/>
        <w:t>online harms</w:t>
      </w:r>
      <w:r w:rsidR="00DD5D46">
        <w:t xml:space="preserve">; hateful content sent across social media, for example. This also plays a role in framing hate crimes in a certain way and, in doing so, fails to </w:t>
      </w:r>
      <w:r w:rsidR="00E77C27">
        <w:t>point out that hate crimes can</w:t>
      </w:r>
      <w:r w:rsidR="008E63D0">
        <w:t xml:space="preserve"> be</w:t>
      </w:r>
      <w:r w:rsidR="00605601">
        <w:t>, as demonstrated throughout this report</w:t>
      </w:r>
      <w:r w:rsidR="00821704">
        <w:t>,</w:t>
      </w:r>
      <w:r w:rsidR="00605601">
        <w:t xml:space="preserve"> </w:t>
      </w:r>
      <w:r w:rsidR="00E77C27">
        <w:t>violent crimes.</w:t>
      </w:r>
    </w:p>
    <w:p w14:paraId="7C3D3EDA" w14:textId="02294B44" w:rsidR="00E77C27" w:rsidRDefault="00E77C27" w:rsidP="00A6421D">
      <w:pPr>
        <w:spacing w:before="240" w:after="240" w:line="360" w:lineRule="auto"/>
      </w:pPr>
      <w:r>
        <w:t>Disabled victims of crime deserve to be written about in respectful and considerate ways that do not perpetuate disablist ideas.</w:t>
      </w:r>
      <w:r w:rsidR="008E491C">
        <w:t xml:space="preserve"> We hope that this report gives writers of all public facing media, but particularly those within the criminal justice system and reporting on crimes against Disabled people, some material to review their own publications</w:t>
      </w:r>
      <w:r w:rsidR="00D62965">
        <w:t>, what stories they decide to place value on, and how they choose to cover them</w:t>
      </w:r>
      <w:r w:rsidR="008E491C">
        <w:t>. It is easier for disablism to slip into our work than it is to take the time to review and remove it</w:t>
      </w:r>
      <w:r w:rsidR="00D62965">
        <w:t>; it is a work-in-progress for all of us, but an important one, nonetheless.</w:t>
      </w:r>
    </w:p>
    <w:p w14:paraId="05391B64" w14:textId="77777777" w:rsidR="008E63D0" w:rsidRDefault="008E63D0" w:rsidP="00A6421D">
      <w:pPr>
        <w:spacing w:before="240" w:after="240" w:line="360" w:lineRule="auto"/>
      </w:pPr>
    </w:p>
    <w:p w14:paraId="3D3E5799" w14:textId="2860A136" w:rsidR="00605601" w:rsidRDefault="008E63D0" w:rsidP="00605601">
      <w:pPr>
        <w:pStyle w:val="Heading2"/>
      </w:pPr>
      <w:bookmarkStart w:id="39" w:name="_Toc120713485"/>
      <w:r>
        <w:t>Next Steps</w:t>
      </w:r>
      <w:bookmarkEnd w:id="39"/>
    </w:p>
    <w:p w14:paraId="1E154B8B" w14:textId="77777777" w:rsidR="008E63D0" w:rsidRPr="008E63D0" w:rsidRDefault="008E63D0" w:rsidP="008E63D0"/>
    <w:p w14:paraId="78976570" w14:textId="7231F135" w:rsidR="00605601" w:rsidRDefault="00605601" w:rsidP="00605601">
      <w:pPr>
        <w:pStyle w:val="Content"/>
      </w:pPr>
      <w:r>
        <w:t xml:space="preserve">After reading this report, journalists or others involved in media writing about or otherwise portraying Disabled people, can pursue </w:t>
      </w:r>
      <w:r w:rsidR="008E63D0">
        <w:t>several</w:t>
      </w:r>
      <w:r>
        <w:t xml:space="preserve"> routes for continued engagement with the Disabled community and </w:t>
      </w:r>
      <w:r w:rsidR="008E63D0">
        <w:t>dismantling unconscious disablism in their work</w:t>
      </w:r>
      <w:r>
        <w:t>.</w:t>
      </w:r>
    </w:p>
    <w:p w14:paraId="7972B325" w14:textId="6E2DA454" w:rsidR="00D53DE0" w:rsidRDefault="00605601" w:rsidP="00605601">
      <w:pPr>
        <w:pStyle w:val="Content"/>
      </w:pPr>
      <w:r>
        <w:t>Deaf and Disabled People’s Organisations (DDPOs) exist throughout the UK and meaningful coproduction with these organisations</w:t>
      </w:r>
      <w:r w:rsidR="008E63D0">
        <w:t xml:space="preserve"> and other Disabled </w:t>
      </w:r>
      <w:r w:rsidR="008E63D0">
        <w:lastRenderedPageBreak/>
        <w:t>people</w:t>
      </w:r>
      <w:r>
        <w:t xml:space="preserve"> could be pursued. </w:t>
      </w:r>
      <w:r w:rsidR="00D53DE0">
        <w:t xml:space="preserve">Disability Cornwall have </w:t>
      </w:r>
      <w:r w:rsidR="008E63D0">
        <w:t>produced</w:t>
      </w:r>
      <w:r w:rsidR="00D53DE0">
        <w:t xml:space="preserve"> a DPO England map, which c</w:t>
      </w:r>
      <w:r w:rsidR="008E63D0">
        <w:t>an</w:t>
      </w:r>
      <w:r w:rsidR="00D53DE0">
        <w:t xml:space="preserve"> be used to locate DPOs in your area</w:t>
      </w:r>
      <w:r w:rsidR="00D53DE0">
        <w:rPr>
          <w:rStyle w:val="FootnoteReference"/>
        </w:rPr>
        <w:footnoteReference w:id="106"/>
      </w:r>
      <w:r w:rsidR="00D53DE0">
        <w:t>.</w:t>
      </w:r>
    </w:p>
    <w:p w14:paraId="7879008F" w14:textId="490E66C5" w:rsidR="00605601" w:rsidRDefault="00605601" w:rsidP="00605601">
      <w:pPr>
        <w:pStyle w:val="Content"/>
      </w:pPr>
      <w:r>
        <w:t>How this</w:t>
      </w:r>
      <w:r w:rsidR="008E63D0">
        <w:t xml:space="preserve"> engagement</w:t>
      </w:r>
      <w:r>
        <w:t xml:space="preserve"> would </w:t>
      </w:r>
      <w:r w:rsidR="00D53DE0">
        <w:t>look</w:t>
      </w:r>
      <w:r>
        <w:t xml:space="preserve"> would differ </w:t>
      </w:r>
      <w:r w:rsidR="008E63D0">
        <w:t>greatly but</w:t>
      </w:r>
      <w:r>
        <w:t xml:space="preserve"> </w:t>
      </w:r>
      <w:r w:rsidR="008E63D0">
        <w:t xml:space="preserve">work </w:t>
      </w:r>
      <w:r>
        <w:t xml:space="preserve">such as </w:t>
      </w:r>
      <w:r w:rsidR="00D53DE0">
        <w:t xml:space="preserve">paying Disabled people to review media articles or reports as sensitivity readers on a ‘spot check’ basis could help to reduce bias. </w:t>
      </w:r>
      <w:r w:rsidR="008E63D0">
        <w:t>Another possibility is</w:t>
      </w:r>
      <w:r w:rsidR="00D53DE0">
        <w:t xml:space="preserve"> bespoke training could be discussed with a DDPO or Disabled consultant, to meet the needs of the media organisation or journalists in question.</w:t>
      </w:r>
      <w:r w:rsidR="008E63D0">
        <w:t xml:space="preserve"> </w:t>
      </w:r>
    </w:p>
    <w:p w14:paraId="686EB417" w14:textId="7CA73C5B" w:rsidR="00D53DE0" w:rsidRDefault="00D53DE0" w:rsidP="00605601">
      <w:pPr>
        <w:pStyle w:val="Content"/>
      </w:pPr>
      <w:r>
        <w:t>Media Trust guidance is regularly updated, often after discussion with marginalised groups or other groups of people affected by reporting, and refreshing your understanding of that guidance can be helpful</w:t>
      </w:r>
      <w:r>
        <w:rPr>
          <w:rStyle w:val="FootnoteReference"/>
        </w:rPr>
        <w:footnoteReference w:id="107"/>
      </w:r>
      <w:r>
        <w:t>. There are also a variety of other resources on responsibly reporting on disability, many contained in the references of this report</w:t>
      </w:r>
      <w:r>
        <w:rPr>
          <w:rStyle w:val="FootnoteReference"/>
        </w:rPr>
        <w:footnoteReference w:id="108"/>
      </w:r>
      <w:r>
        <w:t>.</w:t>
      </w:r>
    </w:p>
    <w:p w14:paraId="36C37050" w14:textId="58EBDFC2" w:rsidR="00F17F6E" w:rsidRDefault="00F17F6E" w:rsidP="00605601">
      <w:pPr>
        <w:pStyle w:val="Content"/>
      </w:pPr>
      <w:r>
        <w:t>There are also many Disabled people writing books, blogs, and running social media pages which share an abundance of resources and information about disablism in everyday life, including representation in the media. Books such as Emily Ladau’s ‘Demystifying Disability’</w:t>
      </w:r>
      <w:r>
        <w:rPr>
          <w:rStyle w:val="FootnoteReference"/>
        </w:rPr>
        <w:footnoteReference w:id="109"/>
      </w:r>
      <w:r w:rsidR="00C708F7">
        <w:t>, e</w:t>
      </w:r>
      <w:r>
        <w:t xml:space="preserve">ssay collections such as those edited by Alice Wong — </w:t>
      </w:r>
      <w:r w:rsidR="00C708F7">
        <w:t>‘</w:t>
      </w:r>
      <w:r>
        <w:t>Disability Visibility</w:t>
      </w:r>
      <w:r w:rsidR="00C708F7">
        <w:t>’</w:t>
      </w:r>
      <w:r>
        <w:rPr>
          <w:rStyle w:val="FootnoteReference"/>
        </w:rPr>
        <w:footnoteReference w:id="110"/>
      </w:r>
      <w:r>
        <w:t xml:space="preserve"> and </w:t>
      </w:r>
      <w:r w:rsidR="00C708F7">
        <w:t>‘</w:t>
      </w:r>
      <w:r>
        <w:t>Resistance and Hope</w:t>
      </w:r>
      <w:r w:rsidR="00C708F7">
        <w:t>’</w:t>
      </w:r>
      <w:r>
        <w:rPr>
          <w:rStyle w:val="FootnoteReference"/>
        </w:rPr>
        <w:footnoteReference w:id="111"/>
      </w:r>
      <w:r>
        <w:t xml:space="preserve"> — </w:t>
      </w:r>
      <w:r w:rsidR="00C708F7">
        <w:t xml:space="preserve">or memoirs about the lived experience of </w:t>
      </w:r>
      <w:r w:rsidR="00C708F7">
        <w:lastRenderedPageBreak/>
        <w:t>disability, such as Keah Brown’s ‘The Pretty One’</w:t>
      </w:r>
      <w:r w:rsidR="00C708F7">
        <w:rPr>
          <w:rStyle w:val="FootnoteReference"/>
        </w:rPr>
        <w:footnoteReference w:id="112"/>
      </w:r>
      <w:r w:rsidR="00C708F7">
        <w:t xml:space="preserve"> are just a few examples of books written from the lived experience of Disable</w:t>
      </w:r>
      <w:r w:rsidR="00D1786A">
        <w:t>d</w:t>
      </w:r>
      <w:r w:rsidR="00C708F7">
        <w:t xml:space="preserve"> people and offer examples of not just how disablism disadvantages Disabled people, but of Disabled joy and community. This latter focus is almost always missed out of media representation, just as too many news articles framed Disabled victim’s lives around suffering.</w:t>
      </w:r>
    </w:p>
    <w:p w14:paraId="04579EE1" w14:textId="6A742025" w:rsidR="00C708F7" w:rsidRDefault="00C708F7" w:rsidP="00605601">
      <w:pPr>
        <w:pStyle w:val="Content"/>
      </w:pPr>
      <w:r>
        <w:t xml:space="preserve">As well as books, many Disabled people run websites, </w:t>
      </w:r>
      <w:r w:rsidR="009A350D">
        <w:t>P</w:t>
      </w:r>
      <w:r>
        <w:t xml:space="preserve">atreons, podcasts, and newsletters, filled with information that is not only applicable to media representation, but in general for the dismantling of societal ableism. </w:t>
      </w:r>
    </w:p>
    <w:p w14:paraId="00D136D3" w14:textId="255381B4" w:rsidR="00D53DE0" w:rsidRDefault="00D53DE0" w:rsidP="00D53DE0">
      <w:pPr>
        <w:pStyle w:val="Content"/>
      </w:pPr>
      <w:r>
        <w:t>Finally, our own website continues to be updated regularly with training and resources which people may find useful in learning more about disability, Disabled people, and how to report responsibly about the Disabled community</w:t>
      </w:r>
      <w:r>
        <w:rPr>
          <w:rStyle w:val="FootnoteReference"/>
        </w:rPr>
        <w:footnoteReference w:id="113"/>
      </w:r>
      <w:r>
        <w:t>.</w:t>
      </w:r>
    </w:p>
    <w:p w14:paraId="29CFCEBD" w14:textId="6B9E409B" w:rsidR="00DC0A99" w:rsidRPr="00DC0A99" w:rsidRDefault="00DC0A99" w:rsidP="00DC0A99">
      <w:pPr>
        <w:rPr>
          <w:rFonts w:eastAsiaTheme="minorEastAsia"/>
          <w:color w:val="000000" w:themeColor="text1"/>
          <w:lang w:val="en-US"/>
        </w:rPr>
      </w:pPr>
    </w:p>
    <w:sectPr w:rsidR="00DC0A99" w:rsidRPr="00DC0A99" w:rsidSect="00F15914">
      <w:headerReference w:type="default" r:id="rId19"/>
      <w:pgSz w:w="11906" w:h="16838"/>
      <w:pgMar w:top="851" w:right="1134" w:bottom="1134" w:left="85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F177" w14:textId="77777777" w:rsidR="00053286" w:rsidRDefault="00053286" w:rsidP="009B1BC0">
      <w:pPr>
        <w:spacing w:after="0" w:line="240" w:lineRule="auto"/>
      </w:pPr>
      <w:r>
        <w:separator/>
      </w:r>
    </w:p>
  </w:endnote>
  <w:endnote w:type="continuationSeparator" w:id="0">
    <w:p w14:paraId="4E97514D" w14:textId="77777777" w:rsidR="00053286" w:rsidRDefault="00053286" w:rsidP="009B1BC0">
      <w:pPr>
        <w:spacing w:after="0" w:line="240" w:lineRule="auto"/>
      </w:pPr>
      <w:r>
        <w:continuationSeparator/>
      </w:r>
    </w:p>
  </w:endnote>
  <w:endnote w:type="continuationNotice" w:id="1">
    <w:p w14:paraId="6E245869" w14:textId="77777777" w:rsidR="00053286" w:rsidRDefault="000532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360B" w14:textId="77777777" w:rsidR="00053286" w:rsidRDefault="00053286" w:rsidP="009B1BC0">
      <w:pPr>
        <w:spacing w:after="0" w:line="240" w:lineRule="auto"/>
      </w:pPr>
      <w:r>
        <w:separator/>
      </w:r>
    </w:p>
  </w:footnote>
  <w:footnote w:type="continuationSeparator" w:id="0">
    <w:p w14:paraId="6614EAC0" w14:textId="77777777" w:rsidR="00053286" w:rsidRDefault="00053286" w:rsidP="009B1BC0">
      <w:pPr>
        <w:spacing w:after="0" w:line="240" w:lineRule="auto"/>
      </w:pPr>
      <w:r>
        <w:continuationSeparator/>
      </w:r>
    </w:p>
  </w:footnote>
  <w:footnote w:type="continuationNotice" w:id="1">
    <w:p w14:paraId="56237758" w14:textId="77777777" w:rsidR="00053286" w:rsidRDefault="00053286">
      <w:pPr>
        <w:spacing w:after="0" w:line="240" w:lineRule="auto"/>
      </w:pPr>
    </w:p>
  </w:footnote>
  <w:footnote w:id="2">
    <w:p w14:paraId="7877FEB1" w14:textId="69F5674F" w:rsidR="00345453" w:rsidRDefault="00345453">
      <w:pPr>
        <w:pStyle w:val="FootnoteText"/>
      </w:pPr>
      <w:r>
        <w:rPr>
          <w:rStyle w:val="FootnoteReference"/>
        </w:rPr>
        <w:footnoteRef/>
      </w:r>
      <w:r>
        <w:t xml:space="preserve"> Burch, L. (2022). </w:t>
      </w:r>
      <w:r w:rsidR="00B333D4">
        <w:t xml:space="preserve">Understanding Disability and Everyday Hate; </w:t>
      </w:r>
      <w:r w:rsidR="00FE2898">
        <w:t>Targeted: The Truth about Disability Hate Crime (2020)</w:t>
      </w:r>
      <w:r w:rsidR="00B3726C">
        <w:t xml:space="preserve">. </w:t>
      </w:r>
      <w:r w:rsidR="00E75799">
        <w:t xml:space="preserve">Butchins, R. BBC </w:t>
      </w:r>
      <w:r w:rsidR="00684EE2">
        <w:t>Two</w:t>
      </w:r>
      <w:r w:rsidR="002F0F74">
        <w:t xml:space="preserve">; Inclusion London (2020). ‘Still Getting Away with Murder’ </w:t>
      </w:r>
      <w:hyperlink r:id="rId1" w:history="1">
        <w:r w:rsidR="002F0F74" w:rsidRPr="004C5078">
          <w:rPr>
            <w:rStyle w:val="Hyperlink"/>
          </w:rPr>
          <w:t>https://www.inclusionlondon.org.uk/wp-content/uploads/2020/09/FINAL-Still-Getting-Away-with-Murder-Sept-2020-FINAL.pdf</w:t>
        </w:r>
      </w:hyperlink>
      <w:r w:rsidR="002F0F74">
        <w:t xml:space="preserve"> </w:t>
      </w:r>
    </w:p>
  </w:footnote>
  <w:footnote w:id="3">
    <w:p w14:paraId="6220CEE0" w14:textId="45D6F179" w:rsidR="00D8461B" w:rsidRDefault="00D8461B">
      <w:pPr>
        <w:pStyle w:val="FootnoteText"/>
      </w:pPr>
      <w:r>
        <w:rPr>
          <w:rStyle w:val="FootnoteReference"/>
        </w:rPr>
        <w:footnoteRef/>
      </w:r>
      <w:r>
        <w:t xml:space="preserve"> </w:t>
      </w:r>
      <w:r w:rsidR="003109E0">
        <w:t>Law Commission. (2021) Hate crime laws: Final report (</w:t>
      </w:r>
      <w:r w:rsidR="003109E0" w:rsidRPr="003109E0">
        <w:t>https://s3-eu-west-2.amazonaws.com/lawcom-prod-storage-11jsxou24uy7q/uploads/2021/12/Hate-crime-report-accessible.pdf</w:t>
      </w:r>
      <w:r w:rsidR="003109E0">
        <w:t>).</w:t>
      </w:r>
    </w:p>
  </w:footnote>
  <w:footnote w:id="4">
    <w:p w14:paraId="424D218A" w14:textId="2B1B1FDB" w:rsidR="007554CD" w:rsidRDefault="007554CD">
      <w:pPr>
        <w:pStyle w:val="FootnoteText"/>
      </w:pPr>
      <w:r>
        <w:rPr>
          <w:rStyle w:val="FootnoteReference"/>
        </w:rPr>
        <w:footnoteRef/>
      </w:r>
      <w:r>
        <w:t xml:space="preserve"> Law Commission. (2021) Hate crime laws: Final report, 3.57 (page </w:t>
      </w:r>
      <w:r w:rsidR="00B14170">
        <w:t>71)</w:t>
      </w:r>
      <w:r>
        <w:t xml:space="preserve"> (</w:t>
      </w:r>
      <w:r w:rsidRPr="003109E0">
        <w:t>https://s3-eu-west-2.amazonaws.com/lawcom-prod-storage-11jsxou24uy7q/uploads/2021/12/Hate-crime-report-accessible.pdf</w:t>
      </w:r>
      <w:r>
        <w:t>).</w:t>
      </w:r>
    </w:p>
  </w:footnote>
  <w:footnote w:id="5">
    <w:p w14:paraId="25B70FDC" w14:textId="0A69A964" w:rsidR="00CC13D1" w:rsidRDefault="008A4F22">
      <w:pPr>
        <w:pStyle w:val="FootnoteText"/>
      </w:pPr>
      <w:r>
        <w:rPr>
          <w:rStyle w:val="FootnoteReference"/>
        </w:rPr>
        <w:footnoteRef/>
      </w:r>
      <w:r>
        <w:t xml:space="preserve"> </w:t>
      </w:r>
      <w:hyperlink r:id="rId2" w:history="1">
        <w:r w:rsidR="00CC13D1" w:rsidRPr="00E73B43">
          <w:rPr>
            <w:rStyle w:val="Hyperlink"/>
          </w:rPr>
          <w:t>https://www.holdthefrontpage.co.uk/2021/news/journalists-slam-police-policy-of-refusing-details-on-lower-level-crimes/</w:t>
        </w:r>
      </w:hyperlink>
    </w:p>
  </w:footnote>
  <w:footnote w:id="6">
    <w:p w14:paraId="2AAF9BC6" w14:textId="5F9AFF98" w:rsidR="00C029E1" w:rsidRDefault="00C029E1">
      <w:pPr>
        <w:pStyle w:val="FootnoteText"/>
      </w:pPr>
      <w:r>
        <w:rPr>
          <w:rStyle w:val="FootnoteReference"/>
        </w:rPr>
        <w:footnoteRef/>
      </w:r>
      <w:r>
        <w:t xml:space="preserve"> </w:t>
      </w:r>
      <w:hyperlink r:id="rId3" w:history="1">
        <w:r w:rsidRPr="00E73B43">
          <w:rPr>
            <w:rStyle w:val="Hyperlink"/>
          </w:rPr>
          <w:t>https://www.holdthefrontpage.co.uk/2022/news/journalist-wins-plaudits-after-crime-scene-stand-off-with-police/</w:t>
        </w:r>
      </w:hyperlink>
      <w:r>
        <w:t xml:space="preserve"> </w:t>
      </w:r>
    </w:p>
  </w:footnote>
  <w:footnote w:id="7">
    <w:p w14:paraId="33604BF4" w14:textId="01E5CB62" w:rsidR="008E04A1" w:rsidRDefault="008E04A1">
      <w:pPr>
        <w:pStyle w:val="FootnoteText"/>
      </w:pPr>
      <w:r>
        <w:rPr>
          <w:rStyle w:val="FootnoteReference"/>
        </w:rPr>
        <w:footnoteRef/>
      </w:r>
      <w:r>
        <w:t xml:space="preserve"> </w:t>
      </w:r>
      <w:hyperlink r:id="rId4" w:history="1">
        <w:r w:rsidRPr="00E73B43">
          <w:rPr>
            <w:rStyle w:val="Hyperlink"/>
          </w:rPr>
          <w:t>https://www.theguardian.com/media/2011/aug/07/police-journalists-crime-research</w:t>
        </w:r>
      </w:hyperlink>
      <w:r>
        <w:t xml:space="preserve"> </w:t>
      </w:r>
    </w:p>
  </w:footnote>
  <w:footnote w:id="8">
    <w:p w14:paraId="532C4E43" w14:textId="30CE5456" w:rsidR="008B3B6A" w:rsidRDefault="008B3B6A">
      <w:pPr>
        <w:pStyle w:val="FootnoteText"/>
      </w:pPr>
      <w:r>
        <w:rPr>
          <w:rStyle w:val="FootnoteReference"/>
        </w:rPr>
        <w:footnoteRef/>
      </w:r>
      <w:r>
        <w:t xml:space="preserve"> </w:t>
      </w:r>
      <w:hyperlink r:id="rId5" w:history="1">
        <w:r w:rsidRPr="00E73B43">
          <w:rPr>
            <w:rStyle w:val="Hyperlink"/>
          </w:rPr>
          <w:t>https://www.huffingtonpost.co.uk/entry/metropolitan-police_uk_603fa18ec5b617a7e411ffc5</w:t>
        </w:r>
      </w:hyperlink>
      <w:r>
        <w:t xml:space="preserve"> </w:t>
      </w:r>
      <w:hyperlink r:id="rId6" w:history="1">
        <w:r w:rsidR="00D832EC" w:rsidRPr="00E73B43">
          <w:rPr>
            <w:rStyle w:val="Hyperlink"/>
          </w:rPr>
          <w:t>https://www.huffingtonpost.co.uk/entry/racism-in-police-media_uk_6049f3d6c5b6cf72d0945115</w:t>
        </w:r>
      </w:hyperlink>
      <w:r w:rsidR="00D832EC">
        <w:t xml:space="preserve"> </w:t>
      </w:r>
    </w:p>
  </w:footnote>
  <w:footnote w:id="9">
    <w:p w14:paraId="35029ACB" w14:textId="1B68A995" w:rsidR="00D832EC" w:rsidRDefault="00D832EC">
      <w:pPr>
        <w:pStyle w:val="FootnoteText"/>
      </w:pPr>
      <w:r>
        <w:rPr>
          <w:rStyle w:val="FootnoteReference"/>
        </w:rPr>
        <w:footnoteRef/>
      </w:r>
      <w:r>
        <w:t xml:space="preserve"> </w:t>
      </w:r>
      <w:r w:rsidR="00904850">
        <w:t>Colbran, M. (</w:t>
      </w:r>
      <w:r w:rsidR="00FB0A54">
        <w:t>2022)</w:t>
      </w:r>
      <w:r w:rsidR="003778B6">
        <w:t xml:space="preserve"> Crime and Investigative Reporting in the UK. </w:t>
      </w:r>
    </w:p>
  </w:footnote>
  <w:footnote w:id="10">
    <w:p w14:paraId="4EC37566" w14:textId="2744DF71" w:rsidR="0069611A" w:rsidRDefault="0069611A">
      <w:pPr>
        <w:pStyle w:val="FootnoteText"/>
      </w:pPr>
      <w:r>
        <w:rPr>
          <w:rStyle w:val="FootnoteReference"/>
        </w:rPr>
        <w:footnoteRef/>
      </w:r>
      <w:r>
        <w:t xml:space="preserve"> </w:t>
      </w:r>
      <w:hyperlink r:id="rId7" w:history="1">
        <w:r w:rsidRPr="0003646C">
          <w:rPr>
            <w:rStyle w:val="Hyperlink"/>
          </w:rPr>
          <w:t>https://www.thenewsmanual.net/Manuals%20Volume%203/volume3_58.htm</w:t>
        </w:r>
      </w:hyperlink>
      <w:r>
        <w:t xml:space="preserve"> </w:t>
      </w:r>
    </w:p>
  </w:footnote>
  <w:footnote w:id="11">
    <w:p w14:paraId="70691C8F" w14:textId="24B537A8" w:rsidR="0069611A" w:rsidRDefault="0069611A">
      <w:pPr>
        <w:pStyle w:val="FootnoteText"/>
      </w:pPr>
      <w:r>
        <w:rPr>
          <w:rStyle w:val="FootnoteReference"/>
        </w:rPr>
        <w:footnoteRef/>
      </w:r>
      <w:r>
        <w:t xml:space="preserve"> </w:t>
      </w:r>
      <w:hyperlink r:id="rId8" w:history="1">
        <w:r w:rsidRPr="0003646C">
          <w:rPr>
            <w:rStyle w:val="Hyperlink"/>
          </w:rPr>
          <w:t>http://www.mediacrimevictimguide.com/breaking.html</w:t>
        </w:r>
      </w:hyperlink>
      <w:r>
        <w:t xml:space="preserve"> </w:t>
      </w:r>
    </w:p>
  </w:footnote>
  <w:footnote w:id="12">
    <w:p w14:paraId="69D7EC34" w14:textId="0EE7F682" w:rsidR="00F94A77" w:rsidRDefault="00F94A77" w:rsidP="00F94A77">
      <w:pPr>
        <w:pStyle w:val="FootnoteText"/>
      </w:pPr>
      <w:r>
        <w:rPr>
          <w:rStyle w:val="FootnoteReference"/>
        </w:rPr>
        <w:footnoteRef/>
      </w:r>
      <w:r>
        <w:t xml:space="preserve"> </w:t>
      </w:r>
      <w:hyperlink r:id="rId9" w:history="1">
        <w:r w:rsidRPr="0074713B">
          <w:rPr>
            <w:rStyle w:val="Hyperlink"/>
          </w:rPr>
          <w:t>https://www.wsj.com/articles/how-google-interferes-with-its-search-algorithms-and-changes-your-results-11573823753</w:t>
        </w:r>
      </w:hyperlink>
      <w:r w:rsidR="007D5639">
        <w:t>;</w:t>
      </w:r>
      <w:r>
        <w:t xml:space="preserve"> </w:t>
      </w:r>
      <w:hyperlink r:id="rId10" w:history="1">
        <w:r w:rsidR="00C6237F" w:rsidRPr="0074713B">
          <w:rPr>
            <w:rStyle w:val="Hyperlink"/>
          </w:rPr>
          <w:t>https://www.theguardian.com/technology/2016/dec/16/google-autocomplete-rightwing-bias-algorithm-political-propaganda</w:t>
        </w:r>
      </w:hyperlink>
      <w:r w:rsidR="007D5639">
        <w:t>;</w:t>
      </w:r>
      <w:r w:rsidR="00C6237F">
        <w:t xml:space="preserve"> </w:t>
      </w:r>
      <w:r w:rsidR="007D5639">
        <w:t>Safiya Umoja Noble</w:t>
      </w:r>
      <w:r w:rsidR="00B93DBC">
        <w:t xml:space="preserve"> (2018) Algorithms of Oppression</w:t>
      </w:r>
    </w:p>
  </w:footnote>
  <w:footnote w:id="13">
    <w:p w14:paraId="3670CD12" w14:textId="1610C490" w:rsidR="009B1BC0" w:rsidRDefault="009B1BC0">
      <w:pPr>
        <w:pStyle w:val="FootnoteText"/>
      </w:pPr>
      <w:r>
        <w:rPr>
          <w:rStyle w:val="FootnoteReference"/>
        </w:rPr>
        <w:footnoteRef/>
      </w:r>
      <w:r>
        <w:t xml:space="preserve"> </w:t>
      </w:r>
      <w:r w:rsidRPr="009B1BC0">
        <w:t>https://www.statista.com/statistics/278519/platforms-used-for-news-in-the-united-kingdom-uk/</w:t>
      </w:r>
    </w:p>
  </w:footnote>
  <w:footnote w:id="14">
    <w:p w14:paraId="3BBD4F74" w14:textId="170D3545" w:rsidR="0045075E" w:rsidRDefault="0045075E">
      <w:pPr>
        <w:pStyle w:val="FootnoteText"/>
      </w:pPr>
      <w:r>
        <w:rPr>
          <w:rStyle w:val="FootnoteReference"/>
        </w:rPr>
        <w:footnoteRef/>
      </w:r>
      <w:r>
        <w:t xml:space="preserve"> </w:t>
      </w:r>
      <w:r w:rsidRPr="0045075E">
        <w:t>https://www.ofcom.org.uk/__data/assets/pdf_file/0025/222478/news-consumption-in-the-uk-overview-of-findings-2021.pdf</w:t>
      </w:r>
    </w:p>
  </w:footnote>
  <w:footnote w:id="15">
    <w:p w14:paraId="4F6C4347" w14:textId="302655F1" w:rsidR="005E5133" w:rsidRDefault="005E5133">
      <w:pPr>
        <w:pStyle w:val="FootnoteText"/>
      </w:pPr>
      <w:r>
        <w:rPr>
          <w:rStyle w:val="FootnoteReference"/>
        </w:rPr>
        <w:footnoteRef/>
      </w:r>
      <w:r>
        <w:t xml:space="preserve"> </w:t>
      </w:r>
      <w:hyperlink r:id="rId11" w:history="1">
        <w:r w:rsidRPr="0074713B">
          <w:rPr>
            <w:rStyle w:val="Hyperlink"/>
          </w:rPr>
          <w:t>https://theconversation.com/how-engagement-makes-you-vulnerable-to-manipulation-and-misinformation-on-social-media-145375</w:t>
        </w:r>
      </w:hyperlink>
      <w:r>
        <w:t xml:space="preserve"> </w:t>
      </w:r>
      <w:hyperlink r:id="rId12" w:history="1">
        <w:r w:rsidR="00E54970" w:rsidRPr="0074713B">
          <w:rPr>
            <w:rStyle w:val="Hyperlink"/>
          </w:rPr>
          <w:t>https://journals.sagepub.com/doi/full/10.1177/14614448211027174</w:t>
        </w:r>
      </w:hyperlink>
      <w:r w:rsidR="00E54970">
        <w:t xml:space="preserve"> </w:t>
      </w:r>
    </w:p>
  </w:footnote>
  <w:footnote w:id="16">
    <w:p w14:paraId="25ED9120" w14:textId="5B042C33" w:rsidR="00016367" w:rsidRDefault="00016367">
      <w:pPr>
        <w:pStyle w:val="FootnoteText"/>
      </w:pPr>
      <w:r>
        <w:rPr>
          <w:rStyle w:val="FootnoteReference"/>
        </w:rPr>
        <w:footnoteRef/>
      </w:r>
      <w:r>
        <w:t xml:space="preserve"> </w:t>
      </w:r>
      <w:hyperlink r:id="rId13" w:history="1">
        <w:r w:rsidRPr="00B97363">
          <w:rPr>
            <w:rStyle w:val="Hyperlink"/>
          </w:rPr>
          <w:t>https://newsliteracymatters.com/2019/11/11/q-what-does-if-it-bleeds-it-leads-mean/</w:t>
        </w:r>
      </w:hyperlink>
      <w:r>
        <w:t xml:space="preserve"> </w:t>
      </w:r>
    </w:p>
  </w:footnote>
  <w:footnote w:id="17">
    <w:p w14:paraId="41D1E558" w14:textId="178A8410" w:rsidR="00EE181F" w:rsidRDefault="00EE181F">
      <w:pPr>
        <w:pStyle w:val="FootnoteText"/>
      </w:pPr>
      <w:r>
        <w:rPr>
          <w:rStyle w:val="FootnoteReference"/>
        </w:rPr>
        <w:footnoteRef/>
      </w:r>
      <w:r>
        <w:t xml:space="preserve"> </w:t>
      </w:r>
      <w:hyperlink r:id="rId14" w:history="1">
        <w:r w:rsidR="00244B89" w:rsidRPr="00FA5347">
          <w:rPr>
            <w:rStyle w:val="Hyperlink"/>
          </w:rPr>
          <w:t>https://www.independent.co.uk/news/uk/home-news/black-people-missing-b1827530.html</w:t>
        </w:r>
      </w:hyperlink>
      <w:r w:rsidR="00244B89">
        <w:t xml:space="preserve"> </w:t>
      </w:r>
      <w:hyperlink r:id="rId15" w:history="1">
        <w:r w:rsidR="00244B89" w:rsidRPr="00FA5347">
          <w:rPr>
            <w:rStyle w:val="Hyperlink"/>
          </w:rPr>
          <w:t>https://www.port.ac.uk/news-events-and-blogs/blogs/democratic-citizenship/why-racial-bias-dominates-coverage-of-missing-person-cases</w:t>
        </w:r>
      </w:hyperlink>
      <w:r w:rsidR="00244B89">
        <w:t xml:space="preserve"> </w:t>
      </w:r>
    </w:p>
  </w:footnote>
  <w:footnote w:id="18">
    <w:p w14:paraId="04693C90" w14:textId="2E305D75" w:rsidR="002953D6" w:rsidRDefault="002953D6">
      <w:pPr>
        <w:pStyle w:val="FootnoteText"/>
      </w:pPr>
      <w:r>
        <w:rPr>
          <w:rStyle w:val="FootnoteReference"/>
        </w:rPr>
        <w:footnoteRef/>
      </w:r>
      <w:r>
        <w:t xml:space="preserve"> </w:t>
      </w:r>
      <w:hyperlink r:id="rId16" w:history="1">
        <w:r w:rsidR="008F36BF" w:rsidRPr="0074713B">
          <w:rPr>
            <w:rStyle w:val="Hyperlink"/>
          </w:rPr>
          <w:t>https://news.sky.com/story/julie-burdett-woman-left-to-die-surrounded-by-filth-after-her-father-and-brother-failed-to-care-for-her-court-told-12578859</w:t>
        </w:r>
      </w:hyperlink>
      <w:r w:rsidR="008F36BF">
        <w:t xml:space="preserve"> </w:t>
      </w:r>
    </w:p>
  </w:footnote>
  <w:footnote w:id="19">
    <w:p w14:paraId="28FBBEF0" w14:textId="5337DDA6" w:rsidR="008F36BF" w:rsidRDefault="008F36BF">
      <w:pPr>
        <w:pStyle w:val="FootnoteText"/>
      </w:pPr>
      <w:r>
        <w:rPr>
          <w:rStyle w:val="FootnoteReference"/>
        </w:rPr>
        <w:footnoteRef/>
      </w:r>
      <w:r>
        <w:t xml:space="preserve"> </w:t>
      </w:r>
      <w:hyperlink r:id="rId17" w:history="1">
        <w:r w:rsidRPr="0074713B">
          <w:rPr>
            <w:rStyle w:val="Hyperlink"/>
          </w:rPr>
          <w:t>https://www.bbc.co.uk/news/uk-wales-south-west-wales-42985957</w:t>
        </w:r>
      </w:hyperlink>
      <w:r>
        <w:t xml:space="preserve"> </w:t>
      </w:r>
    </w:p>
  </w:footnote>
  <w:footnote w:id="20">
    <w:p w14:paraId="0C06BBA0" w14:textId="4B3DC2CA" w:rsidR="00247A8A" w:rsidRDefault="00247A8A">
      <w:pPr>
        <w:pStyle w:val="FootnoteText"/>
      </w:pPr>
      <w:r>
        <w:rPr>
          <w:rStyle w:val="FootnoteReference"/>
        </w:rPr>
        <w:footnoteRef/>
      </w:r>
      <w:r>
        <w:t xml:space="preserve"> </w:t>
      </w:r>
      <w:r w:rsidRPr="00247A8A">
        <w:t>https://www.vox.com/recode/2020/2/18/21121286/algorithms-bias-discrimination-facial-recognition-transparency</w:t>
      </w:r>
    </w:p>
  </w:footnote>
  <w:footnote w:id="21">
    <w:p w14:paraId="2CBE549B" w14:textId="55363CE0" w:rsidR="006B36FA" w:rsidRDefault="006B36FA">
      <w:pPr>
        <w:pStyle w:val="FootnoteText"/>
      </w:pPr>
      <w:r>
        <w:rPr>
          <w:rStyle w:val="FootnoteReference"/>
        </w:rPr>
        <w:footnoteRef/>
      </w:r>
      <w:r>
        <w:t xml:space="preserve"> </w:t>
      </w:r>
      <w:hyperlink r:id="rId18" w:history="1">
        <w:r w:rsidRPr="004216F4">
          <w:rPr>
            <w:rStyle w:val="Hyperlink"/>
          </w:rPr>
          <w:t>https://www.nuj.org.uk/about-us/rules-and-guidance/code-of-conduct.html</w:t>
        </w:r>
      </w:hyperlink>
      <w:r>
        <w:t xml:space="preserve"> </w:t>
      </w:r>
    </w:p>
  </w:footnote>
  <w:footnote w:id="22">
    <w:p w14:paraId="5BB36231" w14:textId="36256BAF" w:rsidR="00BE555D" w:rsidRDefault="00BE555D">
      <w:pPr>
        <w:pStyle w:val="FootnoteText"/>
      </w:pPr>
      <w:r>
        <w:rPr>
          <w:rStyle w:val="FootnoteReference"/>
        </w:rPr>
        <w:footnoteRef/>
      </w:r>
      <w:r>
        <w:t xml:space="preserve"> </w:t>
      </w:r>
      <w:hyperlink r:id="rId19" w:history="1">
        <w:r w:rsidR="008B3C54" w:rsidRPr="0074713B">
          <w:rPr>
            <w:rStyle w:val="Hyperlink"/>
          </w:rPr>
          <w:t>https://www.itv.com/news/calendar/update/2015-10-16/pensioner-sentenced-to-life-for-murder-of-disabled-partner/</w:t>
        </w:r>
      </w:hyperlink>
      <w:r w:rsidR="008B3C54">
        <w:t xml:space="preserve"> </w:t>
      </w:r>
    </w:p>
  </w:footnote>
  <w:footnote w:id="23">
    <w:p w14:paraId="46229C34" w14:textId="03AB8039" w:rsidR="008B3C54" w:rsidRDefault="008B3C54">
      <w:pPr>
        <w:pStyle w:val="FootnoteText"/>
      </w:pPr>
      <w:r>
        <w:rPr>
          <w:rStyle w:val="FootnoteReference"/>
        </w:rPr>
        <w:footnoteRef/>
      </w:r>
      <w:r>
        <w:t xml:space="preserve"> </w:t>
      </w:r>
      <w:hyperlink r:id="rId20" w:history="1">
        <w:r w:rsidRPr="0074713B">
          <w:rPr>
            <w:rStyle w:val="Hyperlink"/>
          </w:rPr>
          <w:t>https://www.bbc.co.uk/news/uk-england-south-yorkshire-21887535</w:t>
        </w:r>
      </w:hyperlink>
      <w:r>
        <w:t xml:space="preserve"> </w:t>
      </w:r>
    </w:p>
  </w:footnote>
  <w:footnote w:id="24">
    <w:p w14:paraId="0FEA2FD8" w14:textId="6C89A6C3" w:rsidR="009F0DEE" w:rsidRPr="00353A9D" w:rsidRDefault="009F0DEE" w:rsidP="00353A9D">
      <w:pPr>
        <w:pStyle w:val="FootnoteText"/>
        <w:rPr>
          <w:rFonts w:ascii="Times New Roman" w:eastAsia="Times New Roman" w:hAnsi="Times New Roman" w:cs="Times New Roman"/>
          <w:lang w:eastAsia="en-GB"/>
        </w:rPr>
      </w:pPr>
      <w:r w:rsidRPr="00353A9D">
        <w:rPr>
          <w:rStyle w:val="FootnoteReference"/>
          <w:vertAlign w:val="baseline"/>
        </w:rPr>
        <w:footnoteRef/>
      </w:r>
      <w:r w:rsidRPr="00353A9D">
        <w:rPr>
          <w:rStyle w:val="FootnoteReference"/>
          <w:vertAlign w:val="baseline"/>
        </w:rPr>
        <w:t xml:space="preserve"> ‘What makes a homicide newsworthy? UK National Tabloid Newspaper Journalists Tell All’</w:t>
      </w:r>
      <w:r w:rsidR="00DD25A5" w:rsidRPr="00353A9D">
        <w:rPr>
          <w:rStyle w:val="FootnoteReference"/>
          <w:vertAlign w:val="baseline"/>
        </w:rPr>
        <w:t xml:space="preserve"> (2012)</w:t>
      </w:r>
      <w:r w:rsidRPr="00353A9D">
        <w:rPr>
          <w:rStyle w:val="FootnoteReference"/>
          <w:vertAlign w:val="baseline"/>
        </w:rPr>
        <w:t xml:space="preserve"> </w:t>
      </w:r>
      <w:r w:rsidRPr="009F0DEE">
        <w:rPr>
          <w:rStyle w:val="FootnoteReference"/>
          <w:vertAlign w:val="baseline"/>
        </w:rPr>
        <w:t>Gekoski,</w:t>
      </w:r>
      <w:r w:rsidR="00DD25A5" w:rsidRPr="00353A9D">
        <w:rPr>
          <w:rStyle w:val="FootnoteReference"/>
          <w:vertAlign w:val="baseline"/>
        </w:rPr>
        <w:t xml:space="preserve"> A.,</w:t>
      </w:r>
      <w:r w:rsidRPr="009F0DEE">
        <w:rPr>
          <w:rStyle w:val="FootnoteReference"/>
          <w:vertAlign w:val="baseline"/>
        </w:rPr>
        <w:t xml:space="preserve"> Gray</w:t>
      </w:r>
      <w:r w:rsidR="00DD25A5" w:rsidRPr="00353A9D">
        <w:rPr>
          <w:rStyle w:val="FootnoteReference"/>
          <w:vertAlign w:val="baseline"/>
        </w:rPr>
        <w:t>, J.M.,</w:t>
      </w:r>
      <w:r w:rsidRPr="009F0DEE">
        <w:rPr>
          <w:rStyle w:val="FootnoteReference"/>
          <w:vertAlign w:val="baseline"/>
        </w:rPr>
        <w:t xml:space="preserve"> </w:t>
      </w:r>
      <w:r w:rsidR="00DD25A5" w:rsidRPr="00353A9D">
        <w:rPr>
          <w:rStyle w:val="FootnoteReference"/>
          <w:vertAlign w:val="baseline"/>
        </w:rPr>
        <w:t xml:space="preserve">&amp; </w:t>
      </w:r>
      <w:r w:rsidRPr="009F0DEE">
        <w:rPr>
          <w:rStyle w:val="FootnoteReference"/>
          <w:vertAlign w:val="baseline"/>
        </w:rPr>
        <w:t>Adler</w:t>
      </w:r>
      <w:r w:rsidR="00DD25A5" w:rsidRPr="00353A9D">
        <w:rPr>
          <w:rStyle w:val="FootnoteReference"/>
          <w:vertAlign w:val="baseline"/>
        </w:rPr>
        <w:t>, J.R.</w:t>
      </w:r>
      <w:r w:rsidRPr="00353A9D">
        <w:rPr>
          <w:rStyle w:val="FootnoteReference"/>
          <w:vertAlign w:val="baseline"/>
        </w:rPr>
        <w:t xml:space="preserve"> </w:t>
      </w:r>
      <w:r w:rsidRPr="009F0DEE">
        <w:rPr>
          <w:rStyle w:val="FootnoteReference"/>
          <w:vertAlign w:val="baseline"/>
        </w:rPr>
        <w:t>The British Journal of Criminology</w:t>
      </w:r>
      <w:r w:rsidRPr="00353A9D">
        <w:rPr>
          <w:rStyle w:val="FootnoteReference"/>
          <w:vertAlign w:val="baseline"/>
        </w:rPr>
        <w:t xml:space="preserve">, </w:t>
      </w:r>
      <w:r w:rsidRPr="009F0DEE">
        <w:rPr>
          <w:rStyle w:val="FootnoteReference"/>
          <w:vertAlign w:val="baseline"/>
        </w:rPr>
        <w:t>52</w:t>
      </w:r>
      <w:r w:rsidR="00DD25A5" w:rsidRPr="00353A9D">
        <w:rPr>
          <w:rStyle w:val="FootnoteReference"/>
          <w:vertAlign w:val="baseline"/>
        </w:rPr>
        <w:t xml:space="preserve"> (</w:t>
      </w:r>
      <w:r w:rsidRPr="009F0DEE">
        <w:rPr>
          <w:rStyle w:val="FootnoteReference"/>
          <w:vertAlign w:val="baseline"/>
        </w:rPr>
        <w:t>6</w:t>
      </w:r>
      <w:r w:rsidR="00DD25A5" w:rsidRPr="00353A9D">
        <w:rPr>
          <w:rStyle w:val="FootnoteReference"/>
          <w:vertAlign w:val="baseline"/>
        </w:rPr>
        <w:t>),</w:t>
      </w:r>
      <w:r w:rsidRPr="009F0DEE">
        <w:rPr>
          <w:rStyle w:val="FootnoteReference"/>
          <w:vertAlign w:val="baseline"/>
        </w:rPr>
        <w:t xml:space="preserve"> 1212-1232</w:t>
      </w:r>
      <w:r w:rsidR="006B36FA">
        <w:t xml:space="preserve">. </w:t>
      </w:r>
      <w:hyperlink r:id="rId21" w:history="1">
        <w:r w:rsidR="006B36FA" w:rsidRPr="00E73B43">
          <w:rPr>
            <w:rStyle w:val="Hyperlink"/>
          </w:rPr>
          <w:t>https://www.themarshallproject.org/2020/10/28/when-does-murder-make-the-news-it-depends-on-the-victim-s-race</w:t>
        </w:r>
      </w:hyperlink>
      <w:r w:rsidR="006B36FA">
        <w:t xml:space="preserve"> </w:t>
      </w:r>
      <w:r w:rsidR="006B36FA" w:rsidRPr="000E23AF">
        <w:t xml:space="preserve"> </w:t>
      </w:r>
      <w:r w:rsidR="006B36FA">
        <w:t xml:space="preserve"> </w:t>
      </w:r>
      <w:hyperlink r:id="rId22" w:history="1">
        <w:r w:rsidR="006B36FA" w:rsidRPr="00E73B43">
          <w:rPr>
            <w:rStyle w:val="Hyperlink"/>
          </w:rPr>
          <w:t>https://www.un.org/development/desa/disabilities/resources/disability-and-the-media.html</w:t>
        </w:r>
      </w:hyperlink>
      <w:r w:rsidR="006B36FA">
        <w:t xml:space="preserve"> </w:t>
      </w:r>
      <w:hyperlink r:id="rId23" w:history="1">
        <w:r w:rsidR="006B36FA" w:rsidRPr="00E73B43">
          <w:rPr>
            <w:rStyle w:val="Hyperlink"/>
          </w:rPr>
          <w:t>https://www.glaad.org/sites/default/files/MTAN/More%20Than%20A%20Number%20-%20GLAAD.pdf</w:t>
        </w:r>
      </w:hyperlink>
    </w:p>
  </w:footnote>
  <w:footnote w:id="25">
    <w:p w14:paraId="6287E834" w14:textId="3CC00E2B" w:rsidR="00464E4E" w:rsidRDefault="00464E4E">
      <w:pPr>
        <w:pStyle w:val="FootnoteText"/>
      </w:pPr>
      <w:r>
        <w:rPr>
          <w:rStyle w:val="FootnoteReference"/>
        </w:rPr>
        <w:footnoteRef/>
      </w:r>
      <w:r>
        <w:t xml:space="preserve"> </w:t>
      </w:r>
      <w:hyperlink r:id="rId24" w:history="1">
        <w:r w:rsidRPr="0074713B">
          <w:rPr>
            <w:rStyle w:val="Hyperlink"/>
          </w:rPr>
          <w:t>https://www.bbc.co.uk/news/uk-england-beds-bucks-herts-35987385</w:t>
        </w:r>
      </w:hyperlink>
      <w:r>
        <w:t xml:space="preserve"> </w:t>
      </w:r>
    </w:p>
  </w:footnote>
  <w:footnote w:id="26">
    <w:p w14:paraId="53D687F8" w14:textId="435DB0C1" w:rsidR="008E3E5B" w:rsidRDefault="008E3E5B">
      <w:pPr>
        <w:pStyle w:val="FootnoteText"/>
      </w:pPr>
      <w:r>
        <w:rPr>
          <w:rStyle w:val="FootnoteReference"/>
        </w:rPr>
        <w:footnoteRef/>
      </w:r>
      <w:r>
        <w:t xml:space="preserve"> </w:t>
      </w:r>
      <w:hyperlink r:id="rId25" w:history="1">
        <w:r w:rsidRPr="0074713B">
          <w:rPr>
            <w:rStyle w:val="Hyperlink"/>
          </w:rPr>
          <w:t>https://www.guardian-series.co.uk/news/17994148.walthamstow-teacher-kicked-pupil-avoids-ban-profession/</w:t>
        </w:r>
      </w:hyperlink>
      <w:r>
        <w:t xml:space="preserve"> </w:t>
      </w:r>
    </w:p>
  </w:footnote>
  <w:footnote w:id="27">
    <w:p w14:paraId="21909EAE" w14:textId="17E32BCB" w:rsidR="00DA6101" w:rsidRDefault="00DA6101">
      <w:pPr>
        <w:pStyle w:val="FootnoteText"/>
      </w:pPr>
      <w:r>
        <w:rPr>
          <w:rStyle w:val="FootnoteReference"/>
        </w:rPr>
        <w:footnoteRef/>
      </w:r>
      <w:r>
        <w:t xml:space="preserve"> </w:t>
      </w:r>
      <w:hyperlink r:id="rId26" w:history="1">
        <w:r w:rsidRPr="00D92A7D">
          <w:rPr>
            <w:rStyle w:val="Hyperlink"/>
          </w:rPr>
          <w:t>https://eachother.org.uk/why-is-disability-hate-crime-so-hard-to-prove/</w:t>
        </w:r>
      </w:hyperlink>
      <w:r>
        <w:t>;</w:t>
      </w:r>
      <w:r w:rsidR="00DC3000">
        <w:t xml:space="preserve"> Roulstone, A., Thomas, P., and Balderstone, S. (2011). ‘Between hate and vulnerability: unpacking the British criminal justice </w:t>
      </w:r>
      <w:r w:rsidR="008D32C9">
        <w:t>system’s construction of disablist hate crime’, Disability &amp; Society, 26(3)</w:t>
      </w:r>
    </w:p>
  </w:footnote>
  <w:footnote w:id="28">
    <w:p w14:paraId="4A37C1BF" w14:textId="79F2BA0E" w:rsidR="003F508D" w:rsidRDefault="003F508D">
      <w:pPr>
        <w:pStyle w:val="FootnoteText"/>
      </w:pPr>
      <w:r>
        <w:rPr>
          <w:rStyle w:val="FootnoteReference"/>
        </w:rPr>
        <w:footnoteRef/>
      </w:r>
      <w:r>
        <w:t xml:space="preserve"> </w:t>
      </w:r>
      <w:hyperlink r:id="rId27" w:history="1">
        <w:r w:rsidRPr="00454187">
          <w:rPr>
            <w:rStyle w:val="Hyperlink"/>
          </w:rPr>
          <w:t>https://www.judiciary.uk/wp-content/uploads/2022/02/R-v-Boulton-sentencing-020222.pdf</w:t>
        </w:r>
      </w:hyperlink>
      <w:r>
        <w:t xml:space="preserve"> </w:t>
      </w:r>
    </w:p>
  </w:footnote>
  <w:footnote w:id="29">
    <w:p w14:paraId="78401FF8" w14:textId="10F496AE" w:rsidR="0095372C" w:rsidRDefault="0095372C">
      <w:pPr>
        <w:pStyle w:val="FootnoteText"/>
      </w:pPr>
      <w:r>
        <w:rPr>
          <w:rStyle w:val="FootnoteReference"/>
        </w:rPr>
        <w:footnoteRef/>
      </w:r>
      <w:r>
        <w:t xml:space="preserve"> </w:t>
      </w:r>
      <w:hyperlink r:id="rId28" w:history="1">
        <w:r w:rsidR="008250E3" w:rsidRPr="00454187">
          <w:rPr>
            <w:rStyle w:val="Hyperlink"/>
          </w:rPr>
          <w:t>https://www.sussex.ac.uk/webteam/gateway/file.php?name=final-report---hate-crime-and-the-legal-process.pdf&amp;site=539</w:t>
        </w:r>
      </w:hyperlink>
      <w:r w:rsidR="008250E3">
        <w:t xml:space="preserve"> </w:t>
      </w:r>
    </w:p>
  </w:footnote>
  <w:footnote w:id="30">
    <w:p w14:paraId="46AB6E27" w14:textId="142F4718" w:rsidR="0016182C" w:rsidRDefault="0016182C">
      <w:pPr>
        <w:pStyle w:val="FootnoteText"/>
      </w:pPr>
      <w:r>
        <w:rPr>
          <w:rStyle w:val="FootnoteReference"/>
        </w:rPr>
        <w:footnoteRef/>
      </w:r>
      <w:r>
        <w:t xml:space="preserve"> </w:t>
      </w:r>
      <w:hyperlink r:id="rId29" w:history="1">
        <w:r w:rsidRPr="00454187">
          <w:rPr>
            <w:rStyle w:val="Hyperlink"/>
          </w:rPr>
          <w:t>https://www.bbc.co.uk/news/uk-england-london-57396725</w:t>
        </w:r>
      </w:hyperlink>
      <w:r>
        <w:t xml:space="preserve"> </w:t>
      </w:r>
    </w:p>
  </w:footnote>
  <w:footnote w:id="31">
    <w:p w14:paraId="46D5C4D1" w14:textId="75B23C49" w:rsidR="00110487" w:rsidRDefault="00110487">
      <w:pPr>
        <w:pStyle w:val="FootnoteText"/>
      </w:pPr>
      <w:r>
        <w:rPr>
          <w:rStyle w:val="FootnoteReference"/>
        </w:rPr>
        <w:footnoteRef/>
      </w:r>
      <w:r>
        <w:t xml:space="preserve"> </w:t>
      </w:r>
      <w:hyperlink r:id="rId30" w:history="1">
        <w:r w:rsidRPr="00D92A7D">
          <w:rPr>
            <w:rStyle w:val="Hyperlink"/>
          </w:rPr>
          <w:t>https://eachother.org.uk/why-is-disability-hate-crime-so-hard-to-prove/</w:t>
        </w:r>
      </w:hyperlink>
      <w:r>
        <w:t>;</w:t>
      </w:r>
    </w:p>
  </w:footnote>
  <w:footnote w:id="32">
    <w:p w14:paraId="7BA17F0D" w14:textId="7FA7D202" w:rsidR="003B4539" w:rsidRDefault="003B4539">
      <w:pPr>
        <w:pStyle w:val="FootnoteText"/>
      </w:pPr>
      <w:r>
        <w:rPr>
          <w:rStyle w:val="FootnoteReference"/>
        </w:rPr>
        <w:footnoteRef/>
      </w:r>
      <w:r>
        <w:t xml:space="preserve"> Walters, M.A. (2014) ‘Conceptualizing ‘Hostility’ for Hate Crime Law: Minding ‘the Minutiae’ when Interpreting Section 28(1)(a) of the Crime and Disorder Act 1998’, Oxford Journal of Legal Studies, 34(1), 47-74; </w:t>
      </w:r>
    </w:p>
  </w:footnote>
  <w:footnote w:id="33">
    <w:p w14:paraId="3E697634" w14:textId="6A536E40" w:rsidR="00FA4C96" w:rsidRDefault="00FA4C96">
      <w:pPr>
        <w:pStyle w:val="FootnoteText"/>
      </w:pPr>
      <w:r>
        <w:rPr>
          <w:rStyle w:val="FootnoteReference"/>
        </w:rPr>
        <w:footnoteRef/>
      </w:r>
      <w:r>
        <w:t xml:space="preserve"> Walters, M.A., Wiedlitzka, S., Owusu-Bempah, A., and Goodall, K. (2017). Hate Crime and the Legal Process: Options for Law Reform (</w:t>
      </w:r>
      <w:hyperlink r:id="rId31" w:history="1">
        <w:r w:rsidRPr="00454187">
          <w:rPr>
            <w:rStyle w:val="Hyperlink"/>
          </w:rPr>
          <w:t>https://www.sussex.ac.uk/webteam/gateway/file.php?name=final-report---hate-crime-and-the-legal-process.pdf&amp;site=539</w:t>
        </w:r>
      </w:hyperlink>
      <w:r>
        <w:rPr>
          <w:rStyle w:val="Hyperlink"/>
        </w:rPr>
        <w:t xml:space="preserve">); </w:t>
      </w:r>
      <w:r>
        <w:t>Law Commission. (2021) Hate crime laws: Final report (</w:t>
      </w:r>
      <w:r w:rsidRPr="003109E0">
        <w:t>https://s3-eu-west-2.amazonaws.com/lawcom-prod-storage-11jsxou24uy7q/uploads/2021/12/Hate-crime-report-accessible.pdf</w:t>
      </w:r>
      <w:r>
        <w:t>).</w:t>
      </w:r>
    </w:p>
  </w:footnote>
  <w:footnote w:id="34">
    <w:p w14:paraId="3A1D5D49" w14:textId="36F31C59" w:rsidR="00D7292C" w:rsidRDefault="00D7292C">
      <w:pPr>
        <w:pStyle w:val="FootnoteText"/>
      </w:pPr>
      <w:r>
        <w:rPr>
          <w:rStyle w:val="FootnoteReference"/>
        </w:rPr>
        <w:footnoteRef/>
      </w:r>
      <w:r>
        <w:t xml:space="preserve"> </w:t>
      </w:r>
      <w:r w:rsidR="00FA4C96">
        <w:t>Walters, M.A., Wiedlitzka, S., Owusu-Bempah, A., and Goodall, K. (2017). Hate Crime and the Legal Process: Options for Law Reform</w:t>
      </w:r>
    </w:p>
  </w:footnote>
  <w:footnote w:id="35">
    <w:p w14:paraId="5A003034" w14:textId="17995C36" w:rsidR="00C60BF1" w:rsidRDefault="00C60BF1">
      <w:pPr>
        <w:pStyle w:val="FootnoteText"/>
      </w:pPr>
      <w:r>
        <w:rPr>
          <w:rStyle w:val="FootnoteReference"/>
        </w:rPr>
        <w:footnoteRef/>
      </w:r>
      <w:r>
        <w:t xml:space="preserve"> </w:t>
      </w:r>
      <w:hyperlink r:id="rId32" w:history="1">
        <w:r w:rsidRPr="00454187">
          <w:rPr>
            <w:rStyle w:val="Hyperlink"/>
          </w:rPr>
          <w:t>https://www.forbes.com/sites/andrewpulrang/2021/02/20/its-time-to-stop-even-casually-misusing-disability-words/?sh=5ed851fa7d4e</w:t>
        </w:r>
      </w:hyperlink>
      <w:r>
        <w:t xml:space="preserve"> </w:t>
      </w:r>
    </w:p>
  </w:footnote>
  <w:footnote w:id="36">
    <w:p w14:paraId="68471652" w14:textId="4A9E3C09" w:rsidR="005F2E15" w:rsidRDefault="005F2E15">
      <w:pPr>
        <w:pStyle w:val="FootnoteText"/>
      </w:pPr>
      <w:r>
        <w:rPr>
          <w:rStyle w:val="FootnoteReference"/>
        </w:rPr>
        <w:footnoteRef/>
      </w:r>
      <w:r>
        <w:t xml:space="preserve"> </w:t>
      </w:r>
      <w:hyperlink r:id="rId33" w:history="1">
        <w:r w:rsidRPr="00454187">
          <w:rPr>
            <w:rStyle w:val="Hyperlink"/>
          </w:rPr>
          <w:t>https://www.stokesentinel.co.uk/news/stoke-on-trent-news/stoke-city-worker-25-pushed-5223555</w:t>
        </w:r>
      </w:hyperlink>
      <w:r>
        <w:t xml:space="preserve"> </w:t>
      </w:r>
    </w:p>
  </w:footnote>
  <w:footnote w:id="37">
    <w:p w14:paraId="144B1BBB" w14:textId="235DFEB5" w:rsidR="00F569F9" w:rsidRDefault="00F569F9">
      <w:pPr>
        <w:pStyle w:val="FootnoteText"/>
      </w:pPr>
      <w:r>
        <w:rPr>
          <w:rStyle w:val="FootnoteReference"/>
        </w:rPr>
        <w:footnoteRef/>
      </w:r>
      <w:r>
        <w:t xml:space="preserve"> </w:t>
      </w:r>
      <w:hyperlink r:id="rId34" w:history="1">
        <w:r w:rsidR="00BB2760" w:rsidRPr="00454187">
          <w:rPr>
            <w:rStyle w:val="Hyperlink"/>
          </w:rPr>
          <w:t>https://www.disabilitynewsservice.com/head-of-judiciary-said-brexit-delays-will-rule-out-vital-hate-crime-law-change/</w:t>
        </w:r>
      </w:hyperlink>
      <w:r w:rsidR="00BB2760">
        <w:t xml:space="preserve"> </w:t>
      </w:r>
    </w:p>
  </w:footnote>
  <w:footnote w:id="38">
    <w:p w14:paraId="0689745C" w14:textId="6E1B48AD" w:rsidR="003B4539" w:rsidRDefault="003B4539">
      <w:pPr>
        <w:pStyle w:val="FootnoteText"/>
      </w:pPr>
      <w:r>
        <w:rPr>
          <w:rStyle w:val="FootnoteReference"/>
        </w:rPr>
        <w:footnoteRef/>
      </w:r>
      <w:hyperlink r:id="rId35" w:history="1">
        <w:r w:rsidRPr="003B4539">
          <w:rPr>
            <w:rStyle w:val="Hyperlink"/>
            <w:rFonts w:cs="Open Sans"/>
          </w:rPr>
          <w:t>https://www.researchgate.net/publication/44652354_To_empower_or_to_protect_Constructing_the_'vulnerable_adult'_in_English_law_and_public_policy</w:t>
        </w:r>
      </w:hyperlink>
    </w:p>
  </w:footnote>
  <w:footnote w:id="39">
    <w:p w14:paraId="6F980488" w14:textId="631901C7" w:rsidR="00E06066" w:rsidRDefault="00E06066">
      <w:pPr>
        <w:pStyle w:val="FootnoteText"/>
      </w:pPr>
      <w:r>
        <w:rPr>
          <w:rStyle w:val="FootnoteReference"/>
        </w:rPr>
        <w:footnoteRef/>
      </w:r>
      <w:r>
        <w:t xml:space="preserve"> </w:t>
      </w:r>
      <w:r w:rsidR="00FA4C96">
        <w:t>Walters, M.A., Wiedlitzka, S., Owusu-Bempah, A., and Goodall, K. (2017). Hate Crime and the Legal Process: Options for Law Reform</w:t>
      </w:r>
    </w:p>
  </w:footnote>
  <w:footnote w:id="40">
    <w:p w14:paraId="15E18900" w14:textId="0EAF2DCE" w:rsidR="002211DA" w:rsidRDefault="002211DA">
      <w:pPr>
        <w:pStyle w:val="FootnoteText"/>
      </w:pPr>
      <w:r>
        <w:rPr>
          <w:rStyle w:val="FootnoteReference"/>
        </w:rPr>
        <w:footnoteRef/>
      </w:r>
      <w:r>
        <w:t xml:space="preserve"> Macdonald, K., and Morgan, H.M. (2020). ‘The impact of austerity on disabled, elderly, and immigrants in the United Kingdom: a literature review’, Disability &amp; Society, 36(7), 1125-1147; Ryan, F. (2019) Crippled. Brooklyn: Verso.</w:t>
      </w:r>
    </w:p>
  </w:footnote>
  <w:footnote w:id="41">
    <w:p w14:paraId="7ED543D1" w14:textId="5D6B892C" w:rsidR="002211DA" w:rsidRDefault="002211DA">
      <w:pPr>
        <w:pStyle w:val="FootnoteText"/>
      </w:pPr>
      <w:r>
        <w:rPr>
          <w:rStyle w:val="FootnoteReference"/>
        </w:rPr>
        <w:footnoteRef/>
      </w:r>
      <w:r>
        <w:t xml:space="preserve"> Inclusion London (2022). ‘Austerity kills – Policy Briefing’ (</w:t>
      </w:r>
      <w:hyperlink r:id="rId36" w:history="1">
        <w:r w:rsidRPr="004C5078">
          <w:rPr>
            <w:rStyle w:val="Hyperlink"/>
          </w:rPr>
          <w:t>https://www.inclusionlondon.org.uk/campaigns-and-policy/act-now/austerity-kills-policy-briefing/</w:t>
        </w:r>
      </w:hyperlink>
      <w:r>
        <w:t xml:space="preserve">) </w:t>
      </w:r>
    </w:p>
  </w:footnote>
  <w:footnote w:id="42">
    <w:p w14:paraId="2BD6F562" w14:textId="5050618E" w:rsidR="00646F3A" w:rsidRDefault="00646F3A">
      <w:pPr>
        <w:pStyle w:val="FootnoteText"/>
      </w:pPr>
      <w:r>
        <w:rPr>
          <w:rStyle w:val="FootnoteReference"/>
        </w:rPr>
        <w:footnoteRef/>
      </w:r>
      <w:r>
        <w:t xml:space="preserve"> </w:t>
      </w:r>
      <w:hyperlink r:id="rId37" w:history="1">
        <w:r w:rsidRPr="00454187">
          <w:rPr>
            <w:rStyle w:val="Hyperlink"/>
          </w:rPr>
          <w:t>https://www.echo-news.co.uk/news/16444909.ilie-ciubotaru-jailed-attacking-vulnerable-man-southend-care-home/</w:t>
        </w:r>
      </w:hyperlink>
    </w:p>
  </w:footnote>
  <w:footnote w:id="43">
    <w:p w14:paraId="6A978271" w14:textId="2D870CAB" w:rsidR="00FA14D4" w:rsidRDefault="00FA14D4">
      <w:pPr>
        <w:pStyle w:val="FootnoteText"/>
      </w:pPr>
      <w:r>
        <w:rPr>
          <w:rStyle w:val="FootnoteReference"/>
        </w:rPr>
        <w:footnoteRef/>
      </w:r>
      <w:r>
        <w:t xml:space="preserve"> </w:t>
      </w:r>
      <w:hyperlink r:id="rId38" w:history="1">
        <w:r w:rsidRPr="00454187">
          <w:rPr>
            <w:rStyle w:val="Hyperlink"/>
          </w:rPr>
          <w:t>https://www.bbc.co.uk/news/uk-wales-13549363</w:t>
        </w:r>
      </w:hyperlink>
      <w:r>
        <w:t xml:space="preserve"> </w:t>
      </w:r>
    </w:p>
  </w:footnote>
  <w:footnote w:id="44">
    <w:p w14:paraId="50889D56" w14:textId="793125FC" w:rsidR="00644C33" w:rsidRDefault="00644C33">
      <w:pPr>
        <w:pStyle w:val="FootnoteText"/>
      </w:pPr>
      <w:r>
        <w:rPr>
          <w:rStyle w:val="FootnoteReference"/>
        </w:rPr>
        <w:footnoteRef/>
      </w:r>
      <w:r>
        <w:t xml:space="preserve"> </w:t>
      </w:r>
      <w:hyperlink r:id="rId39" w:history="1">
        <w:r w:rsidRPr="00A6221E">
          <w:rPr>
            <w:rStyle w:val="Hyperlink"/>
          </w:rPr>
          <w:t>https://www.tandfonline.com/doi/full/10.1080/1461670X.2019.1632735</w:t>
        </w:r>
      </w:hyperlink>
      <w:r>
        <w:t xml:space="preserve"> </w:t>
      </w:r>
    </w:p>
  </w:footnote>
  <w:footnote w:id="45">
    <w:p w14:paraId="12BDD160" w14:textId="08D2F25F" w:rsidR="007C4CA1" w:rsidRDefault="007C4CA1">
      <w:pPr>
        <w:pStyle w:val="FootnoteText"/>
      </w:pPr>
      <w:r>
        <w:rPr>
          <w:rStyle w:val="FootnoteReference"/>
        </w:rPr>
        <w:footnoteRef/>
      </w:r>
      <w:r>
        <w:t xml:space="preserve"> </w:t>
      </w:r>
      <w:hyperlink r:id="rId40" w:history="1">
        <w:r w:rsidRPr="00454187">
          <w:rPr>
            <w:rStyle w:val="Hyperlink"/>
          </w:rPr>
          <w:t>https://www.echo-news.co.uk/news/16444909.ilie-ciubotaru-jailed-attacking-vulnerable-man-southend-care-home/</w:t>
        </w:r>
      </w:hyperlink>
      <w:r>
        <w:t xml:space="preserve"> </w:t>
      </w:r>
    </w:p>
  </w:footnote>
  <w:footnote w:id="46">
    <w:p w14:paraId="572F802E" w14:textId="75CF8EDF" w:rsidR="00F35CC1" w:rsidRDefault="00F35CC1">
      <w:pPr>
        <w:pStyle w:val="FootnoteText"/>
      </w:pPr>
      <w:r>
        <w:rPr>
          <w:rStyle w:val="FootnoteReference"/>
        </w:rPr>
        <w:footnoteRef/>
      </w:r>
      <w:r>
        <w:t xml:space="preserve"> </w:t>
      </w:r>
      <w:hyperlink r:id="rId41" w:history="1">
        <w:r w:rsidRPr="00454187">
          <w:rPr>
            <w:rStyle w:val="Hyperlink"/>
          </w:rPr>
          <w:t>https://en.wikipedia.org/wiki/List_of_disability-related_terms_with_negative_connotations</w:t>
        </w:r>
      </w:hyperlink>
      <w:r>
        <w:t xml:space="preserve"> </w:t>
      </w:r>
    </w:p>
  </w:footnote>
  <w:footnote w:id="47">
    <w:p w14:paraId="2376B123" w14:textId="6BBFFB44" w:rsidR="00C74425" w:rsidRDefault="00C74425">
      <w:pPr>
        <w:pStyle w:val="FootnoteText"/>
      </w:pPr>
      <w:r>
        <w:rPr>
          <w:rStyle w:val="FootnoteReference"/>
        </w:rPr>
        <w:footnoteRef/>
      </w:r>
      <w:r>
        <w:t xml:space="preserve"> </w:t>
      </w:r>
      <w:hyperlink r:id="rId42" w:history="1">
        <w:r w:rsidRPr="00454187">
          <w:rPr>
            <w:rStyle w:val="Hyperlink"/>
          </w:rPr>
          <w:t>https://www.manchestereveningnews.co.uk/news/greater-manchester-news/kick-boxing-coward-who-murdered-19173395</w:t>
        </w:r>
      </w:hyperlink>
      <w:r>
        <w:t xml:space="preserve"> </w:t>
      </w:r>
    </w:p>
  </w:footnote>
  <w:footnote w:id="48">
    <w:p w14:paraId="00B6F6C8" w14:textId="2504680C" w:rsidR="008B0E17" w:rsidRDefault="008B0E17">
      <w:pPr>
        <w:pStyle w:val="FootnoteText"/>
      </w:pPr>
      <w:r>
        <w:rPr>
          <w:rStyle w:val="FootnoteReference"/>
        </w:rPr>
        <w:footnoteRef/>
      </w:r>
      <w:r>
        <w:t xml:space="preserve"> </w:t>
      </w:r>
      <w:hyperlink r:id="rId43" w:history="1">
        <w:r w:rsidRPr="00454187">
          <w:rPr>
            <w:rStyle w:val="Hyperlink"/>
          </w:rPr>
          <w:t>https://www.manchestereveningnews.co.uk/news/greater-manchester-news/boozed-up-nutcase-beat-vulnerable-19104180</w:t>
        </w:r>
      </w:hyperlink>
      <w:r>
        <w:t xml:space="preserve"> </w:t>
      </w:r>
    </w:p>
  </w:footnote>
  <w:footnote w:id="49">
    <w:p w14:paraId="44ABEF9E" w14:textId="7E64B696" w:rsidR="007B0167" w:rsidRDefault="007B0167">
      <w:pPr>
        <w:pStyle w:val="FootnoteText"/>
      </w:pPr>
      <w:r>
        <w:rPr>
          <w:rStyle w:val="FootnoteReference"/>
        </w:rPr>
        <w:footnoteRef/>
      </w:r>
      <w:r>
        <w:t xml:space="preserve"> </w:t>
      </w:r>
      <w:hyperlink r:id="rId44" w:history="1">
        <w:r w:rsidRPr="007972A1">
          <w:rPr>
            <w:rStyle w:val="Hyperlink"/>
          </w:rPr>
          <w:t>https://www.dailymail.co.uk/news/article-3586908/Boyfriend-42-murdered-special-needs-girlfriend-beating-walking-stick-dousing-white-spirit-setting-fire-jailed-life.html</w:t>
        </w:r>
      </w:hyperlink>
      <w:r>
        <w:t xml:space="preserve"> </w:t>
      </w:r>
    </w:p>
  </w:footnote>
  <w:footnote w:id="50">
    <w:p w14:paraId="38D490DD" w14:textId="1C8FC18E" w:rsidR="00A7431D" w:rsidRDefault="00A7431D">
      <w:pPr>
        <w:pStyle w:val="FootnoteText"/>
      </w:pPr>
      <w:r>
        <w:rPr>
          <w:rStyle w:val="FootnoteReference"/>
        </w:rPr>
        <w:footnoteRef/>
      </w:r>
      <w:r>
        <w:t xml:space="preserve"> </w:t>
      </w:r>
      <w:hyperlink r:id="rId45" w:history="1">
        <w:r w:rsidRPr="00454187">
          <w:rPr>
            <w:rStyle w:val="Hyperlink"/>
          </w:rPr>
          <w:t>https://www.meriahnichols.com/3-reasons-say-disability-instead-special-needs/</w:t>
        </w:r>
      </w:hyperlink>
      <w:r w:rsidR="0091571F">
        <w:t>;</w:t>
      </w:r>
      <w:r>
        <w:t xml:space="preserve"> </w:t>
      </w:r>
      <w:hyperlink r:id="rId46" w:history="1">
        <w:r w:rsidR="00EA6800" w:rsidRPr="00454187">
          <w:rPr>
            <w:rStyle w:val="Hyperlink"/>
          </w:rPr>
          <w:t>https://johndabell.com/2020/11/16/why-special-needs-needs-to-go/</w:t>
        </w:r>
      </w:hyperlink>
      <w:r w:rsidR="0091571F">
        <w:t>;</w:t>
      </w:r>
      <w:r w:rsidR="00EA6800">
        <w:t xml:space="preserve"> </w:t>
      </w:r>
      <w:hyperlink r:id="rId47" w:history="1">
        <w:r w:rsidR="0091571F" w:rsidRPr="00454187">
          <w:rPr>
            <w:rStyle w:val="Hyperlink"/>
          </w:rPr>
          <w:t>https://hellomichelleswan.com/my-needs-are-not-special/</w:t>
        </w:r>
      </w:hyperlink>
      <w:r w:rsidR="0091571F">
        <w:t xml:space="preserve"> </w:t>
      </w:r>
    </w:p>
  </w:footnote>
  <w:footnote w:id="51">
    <w:p w14:paraId="2BC01F47" w14:textId="5422FF8A" w:rsidR="00266636" w:rsidRDefault="00266636">
      <w:pPr>
        <w:pStyle w:val="FootnoteText"/>
      </w:pPr>
      <w:r>
        <w:rPr>
          <w:rStyle w:val="FootnoteReference"/>
        </w:rPr>
        <w:footnoteRef/>
      </w:r>
      <w:r>
        <w:t xml:space="preserve"> </w:t>
      </w:r>
      <w:hyperlink r:id="rId48" w:history="1">
        <w:r w:rsidRPr="00454187">
          <w:rPr>
            <w:rStyle w:val="Hyperlink"/>
          </w:rPr>
          <w:t>https://www.mentalhealth.org.uk/explore-mental-health/blogs/why-language-we-use-describe-mental-health-matters</w:t>
        </w:r>
      </w:hyperlink>
      <w:r>
        <w:t xml:space="preserve"> </w:t>
      </w:r>
    </w:p>
  </w:footnote>
  <w:footnote w:id="52">
    <w:p w14:paraId="6C9B6223" w14:textId="23B76419" w:rsidR="00AF2ADD" w:rsidRDefault="00AF2ADD">
      <w:pPr>
        <w:pStyle w:val="FootnoteText"/>
      </w:pPr>
      <w:r>
        <w:rPr>
          <w:rStyle w:val="FootnoteReference"/>
        </w:rPr>
        <w:footnoteRef/>
      </w:r>
      <w:r>
        <w:t xml:space="preserve"> Naraharisetty, R. (2021). ‘Appropriate Language can Reduce Mental Health Stigma, Improve Access to Treatment’ </w:t>
      </w:r>
      <w:hyperlink r:id="rId49" w:history="1">
        <w:r w:rsidRPr="004C5078">
          <w:rPr>
            <w:rStyle w:val="Hyperlink"/>
          </w:rPr>
          <w:t>https://theswaddle.com/appropriate-language-can-reduce-mental-health-stigma-improve-access-to-treatment-experts/</w:t>
        </w:r>
      </w:hyperlink>
      <w:r>
        <w:t xml:space="preserve"> </w:t>
      </w:r>
    </w:p>
  </w:footnote>
  <w:footnote w:id="53">
    <w:p w14:paraId="1B7630CF" w14:textId="1F4670F9" w:rsidR="00DB2EE9" w:rsidRDefault="00DB2EE9">
      <w:pPr>
        <w:pStyle w:val="FootnoteText"/>
      </w:pPr>
      <w:r>
        <w:rPr>
          <w:rStyle w:val="FootnoteReference"/>
        </w:rPr>
        <w:footnoteRef/>
      </w:r>
      <w:r>
        <w:t xml:space="preserve"> </w:t>
      </w:r>
      <w:hyperlink r:id="rId50" w:history="1">
        <w:r w:rsidRPr="00454187">
          <w:rPr>
            <w:rStyle w:val="Hyperlink"/>
          </w:rPr>
          <w:t>https://canbc.org/blog/proper-terminology-dont-use-confined-to-or-wheelchair-bound/</w:t>
        </w:r>
      </w:hyperlink>
      <w:r>
        <w:t xml:space="preserve"> </w:t>
      </w:r>
    </w:p>
  </w:footnote>
  <w:footnote w:id="54">
    <w:p w14:paraId="3EF64F08" w14:textId="1318A2AE" w:rsidR="006421D6" w:rsidRDefault="006421D6">
      <w:pPr>
        <w:pStyle w:val="FootnoteText"/>
      </w:pPr>
      <w:r>
        <w:rPr>
          <w:rStyle w:val="FootnoteReference"/>
        </w:rPr>
        <w:footnoteRef/>
      </w:r>
      <w:r>
        <w:t xml:space="preserve"> </w:t>
      </w:r>
      <w:r w:rsidRPr="006421D6">
        <w:t>https://web.archive.org/web/20191220203753/https://www.yorkshirepost.co.uk/news/latest-news/coroner-criticises-witnesses-in-case-of-punched-youth-s-death-1-3246627</w:t>
      </w:r>
    </w:p>
  </w:footnote>
  <w:footnote w:id="55">
    <w:p w14:paraId="056DAB51" w14:textId="5ED74291" w:rsidR="00BA2F97" w:rsidRDefault="00BA2F97" w:rsidP="00BA2F97">
      <w:pPr>
        <w:pStyle w:val="FootnoteText"/>
      </w:pPr>
      <w:r>
        <w:rPr>
          <w:rStyle w:val="FootnoteReference"/>
        </w:rPr>
        <w:footnoteRef/>
      </w:r>
      <w:r>
        <w:t xml:space="preserve"> </w:t>
      </w:r>
      <w:hyperlink r:id="rId51" w:history="1">
        <w:r w:rsidR="00347AC9" w:rsidRPr="00454187">
          <w:rPr>
            <w:rStyle w:val="Hyperlink"/>
          </w:rPr>
          <w:t>https://www.theguardian.com/society/2022/jul/05/they-saw-me-as-calculating-not-a-child-how-adultification-leads-to-black-children-being-treated-as-criminals</w:t>
        </w:r>
      </w:hyperlink>
      <w:r w:rsidR="00347AC9">
        <w:t xml:space="preserve"> </w:t>
      </w:r>
    </w:p>
  </w:footnote>
  <w:footnote w:id="56">
    <w:p w14:paraId="5B520616" w14:textId="2A7923D3" w:rsidR="00BA2F97" w:rsidRDefault="00BA2F97" w:rsidP="00BA2F97">
      <w:pPr>
        <w:pStyle w:val="FootnoteText"/>
      </w:pPr>
      <w:r>
        <w:rPr>
          <w:rStyle w:val="FootnoteReference"/>
        </w:rPr>
        <w:footnoteRef/>
      </w:r>
      <w:r>
        <w:t xml:space="preserve"> </w:t>
      </w:r>
      <w:hyperlink r:id="rId52" w:history="1">
        <w:r w:rsidR="00D6035C" w:rsidRPr="00454187">
          <w:rPr>
            <w:rStyle w:val="Hyperlink"/>
          </w:rPr>
          <w:t>https://www.theguardian.com/politics/2011/aug/24/ipcc-upholds-protester-complaint-police</w:t>
        </w:r>
      </w:hyperlink>
      <w:r w:rsidR="00D6035C">
        <w:t xml:space="preserve"> </w:t>
      </w:r>
    </w:p>
  </w:footnote>
  <w:footnote w:id="57">
    <w:p w14:paraId="0B5ABCAA" w14:textId="082FA3C8" w:rsidR="00977EFB" w:rsidRDefault="00977EFB">
      <w:pPr>
        <w:pStyle w:val="FootnoteText"/>
      </w:pPr>
      <w:r>
        <w:rPr>
          <w:rStyle w:val="FootnoteReference"/>
        </w:rPr>
        <w:footnoteRef/>
      </w:r>
      <w:r>
        <w:t xml:space="preserve"> </w:t>
      </w:r>
      <w:hyperlink r:id="rId53" w:history="1">
        <w:r w:rsidRPr="00454187">
          <w:rPr>
            <w:rStyle w:val="Hyperlink"/>
          </w:rPr>
          <w:t>https://www.wsws.org/en/articles/2010/12/mcin-d22.html</w:t>
        </w:r>
      </w:hyperlink>
      <w:r>
        <w:t xml:space="preserve"> </w:t>
      </w:r>
    </w:p>
  </w:footnote>
  <w:footnote w:id="58">
    <w:p w14:paraId="4BE830B6" w14:textId="23EC9015" w:rsidR="002155E2" w:rsidRDefault="002155E2">
      <w:pPr>
        <w:pStyle w:val="FootnoteText"/>
      </w:pPr>
      <w:r>
        <w:rPr>
          <w:rStyle w:val="FootnoteReference"/>
        </w:rPr>
        <w:footnoteRef/>
      </w:r>
      <w:r>
        <w:t xml:space="preserve"> </w:t>
      </w:r>
      <w:r w:rsidRPr="002155E2">
        <w:t>https://www.theguardian.com/uk/2010/dec/15/jody-mcintyre-protester-dragged-from-wheelchair</w:t>
      </w:r>
    </w:p>
  </w:footnote>
  <w:footnote w:id="59">
    <w:p w14:paraId="1EFA3CE7" w14:textId="32699C47" w:rsidR="008A333D" w:rsidRDefault="008A333D">
      <w:pPr>
        <w:pStyle w:val="FootnoteText"/>
      </w:pPr>
      <w:r>
        <w:rPr>
          <w:rStyle w:val="FootnoteReference"/>
        </w:rPr>
        <w:footnoteRef/>
      </w:r>
      <w:r>
        <w:t xml:space="preserve"> </w:t>
      </w:r>
      <w:hyperlink r:id="rId54" w:history="1">
        <w:r w:rsidRPr="007972A1">
          <w:rPr>
            <w:rStyle w:val="Hyperlink"/>
          </w:rPr>
          <w:t>https://encompass.eku.edu/cgi/viewcontent.cgi?article=1008&amp;context=kjus</w:t>
        </w:r>
      </w:hyperlink>
      <w:r>
        <w:t xml:space="preserve">; </w:t>
      </w:r>
      <w:hyperlink r:id="rId55" w:history="1">
        <w:r w:rsidR="002A469D" w:rsidRPr="007972A1">
          <w:rPr>
            <w:rStyle w:val="Hyperlink"/>
          </w:rPr>
          <w:t>https://spssi.onlinelibrary.wiley.com/doi/10.1111/josi.12248</w:t>
        </w:r>
      </w:hyperlink>
      <w:r w:rsidR="002A469D">
        <w:t xml:space="preserve">; </w:t>
      </w:r>
      <w:r>
        <w:t xml:space="preserve"> </w:t>
      </w:r>
    </w:p>
  </w:footnote>
  <w:footnote w:id="60">
    <w:p w14:paraId="02B6E9FF" w14:textId="63185A26" w:rsidR="006F678F" w:rsidRDefault="006F678F">
      <w:pPr>
        <w:pStyle w:val="FootnoteText"/>
      </w:pPr>
      <w:r>
        <w:rPr>
          <w:rStyle w:val="FootnoteReference"/>
        </w:rPr>
        <w:footnoteRef/>
      </w:r>
      <w:r>
        <w:t xml:space="preserve"> </w:t>
      </w:r>
      <w:r w:rsidR="00265754">
        <w:t>‘Disability, Hate Crime and Violence’ (2012) Roulstone, A., and Mason-Bish, H</w:t>
      </w:r>
      <w:r w:rsidR="004D4D07">
        <w:t>; ‘Scapegoat: Why we are Failing Disabled People’ (2011) Katharine Quarmby.</w:t>
      </w:r>
    </w:p>
  </w:footnote>
  <w:footnote w:id="61">
    <w:p w14:paraId="61425E90" w14:textId="0A33A5BA" w:rsidR="00151C2D" w:rsidRDefault="00151C2D">
      <w:pPr>
        <w:pStyle w:val="FootnoteText"/>
      </w:pPr>
      <w:r>
        <w:rPr>
          <w:rStyle w:val="FootnoteReference"/>
        </w:rPr>
        <w:footnoteRef/>
      </w:r>
      <w:r>
        <w:t xml:space="preserve"> </w:t>
      </w:r>
      <w:r w:rsidRPr="00151C2D">
        <w:t>Parti K and Robinson RA (2021) What hinders victims from reporting sexual violence: A qualitative study</w:t>
      </w:r>
      <w:r>
        <w:br/>
      </w:r>
      <w:r w:rsidRPr="00151C2D">
        <w:t>with police officers, prosecutors, and judges in Hungary. International Journal for Crime, Justice and Social</w:t>
      </w:r>
      <w:r>
        <w:br/>
      </w:r>
      <w:r w:rsidRPr="00151C2D">
        <w:t xml:space="preserve">Democracy. 10(3): 158-176. </w:t>
      </w:r>
      <w:hyperlink r:id="rId56" w:history="1">
        <w:r w:rsidRPr="007972A1">
          <w:rPr>
            <w:rStyle w:val="Hyperlink"/>
          </w:rPr>
          <w:t>https://doi.org/10.5204/ijcjsd.1851</w:t>
        </w:r>
      </w:hyperlink>
      <w:r>
        <w:t xml:space="preserve">;  </w:t>
      </w:r>
      <w:r w:rsidR="006E246A" w:rsidRPr="006E246A">
        <w:t>Schoellkopf, Julia Churchill, "Victim-Blaming: A New Term for an Old Trend" (2012).</w:t>
      </w:r>
      <w:r w:rsidR="006E246A">
        <w:t xml:space="preserve"> </w:t>
      </w:r>
      <w:r w:rsidR="006E246A" w:rsidRPr="006E246A">
        <w:t>Lesbian Gay Bisexual</w:t>
      </w:r>
      <w:r w:rsidR="006E246A">
        <w:t xml:space="preserve"> </w:t>
      </w:r>
      <w:r w:rsidR="006E246A" w:rsidRPr="006E246A">
        <w:t>Transgender Queer Center. Paper 33</w:t>
      </w:r>
      <w:r w:rsidR="006E246A">
        <w:t xml:space="preserve">; </w:t>
      </w:r>
    </w:p>
  </w:footnote>
  <w:footnote w:id="62">
    <w:p w14:paraId="0D90F9F9" w14:textId="2E9D44AA" w:rsidR="00BF2D4F" w:rsidRDefault="00BF2D4F">
      <w:pPr>
        <w:pStyle w:val="FootnoteText"/>
      </w:pPr>
      <w:r>
        <w:rPr>
          <w:rStyle w:val="FootnoteReference"/>
        </w:rPr>
        <w:footnoteRef/>
      </w:r>
      <w:r w:rsidR="008743E0">
        <w:t xml:space="preserve"> </w:t>
      </w:r>
      <w:r w:rsidR="008743E0" w:rsidRPr="008743E0">
        <w:t xml:space="preserve">Ghidina, Marcia (2019). Deconstructing Victim-Blaming, Dehumanization, and Othering: Using Empathy to Develop a Sociological Imagination. Teaching Sociology, 47(3), 231–242.         doi:10.1177/0092055X19843978     </w:t>
      </w:r>
    </w:p>
  </w:footnote>
  <w:footnote w:id="63">
    <w:p w14:paraId="4CC6BF2B" w14:textId="702D2B41" w:rsidR="00D8296B" w:rsidRDefault="00D8296B">
      <w:pPr>
        <w:pStyle w:val="FootnoteText"/>
      </w:pPr>
      <w:r>
        <w:rPr>
          <w:rStyle w:val="FootnoteReference"/>
        </w:rPr>
        <w:footnoteRef/>
      </w:r>
      <w:r>
        <w:t xml:space="preserve"> </w:t>
      </w:r>
      <w:hyperlink r:id="rId57" w:history="1">
        <w:r w:rsidRPr="00454187">
          <w:rPr>
            <w:rStyle w:val="Hyperlink"/>
          </w:rPr>
          <w:t>https://disability-memorial.org/</w:t>
        </w:r>
      </w:hyperlink>
      <w:r>
        <w:t xml:space="preserve"> </w:t>
      </w:r>
    </w:p>
  </w:footnote>
  <w:footnote w:id="64">
    <w:p w14:paraId="4F11A939" w14:textId="2431C050" w:rsidR="00A41AD7" w:rsidRDefault="00A41AD7">
      <w:pPr>
        <w:pStyle w:val="FootnoteText"/>
      </w:pPr>
      <w:r>
        <w:rPr>
          <w:rStyle w:val="FootnoteReference"/>
        </w:rPr>
        <w:footnoteRef/>
      </w:r>
      <w:r>
        <w:t xml:space="preserve"> </w:t>
      </w:r>
      <w:hyperlink r:id="rId58" w:history="1">
        <w:r w:rsidRPr="007972A1">
          <w:rPr>
            <w:rStyle w:val="Hyperlink"/>
          </w:rPr>
          <w:t>https://metro.co.uk/2018/09/25/man-killed-wife-then-himself-fearing-he-would-get-dementia-like-her-7978395/</w:t>
        </w:r>
      </w:hyperlink>
      <w:r>
        <w:t xml:space="preserve"> </w:t>
      </w:r>
    </w:p>
  </w:footnote>
  <w:footnote w:id="65">
    <w:p w14:paraId="5747702A" w14:textId="5B095E5E" w:rsidR="00A41AD7" w:rsidRDefault="00A41AD7">
      <w:pPr>
        <w:pStyle w:val="FootnoteText"/>
      </w:pPr>
      <w:r>
        <w:rPr>
          <w:rStyle w:val="FootnoteReference"/>
        </w:rPr>
        <w:footnoteRef/>
      </w:r>
      <w:r>
        <w:t xml:space="preserve"> </w:t>
      </w:r>
      <w:hyperlink r:id="rId59" w:history="1">
        <w:r w:rsidR="00F65E9F" w:rsidRPr="007972A1">
          <w:rPr>
            <w:rStyle w:val="Hyperlink"/>
          </w:rPr>
          <w:t>https://www.kentlive.news/news/kent-news/father-strangled-daughter-death-herne-1159450</w:t>
        </w:r>
      </w:hyperlink>
      <w:r w:rsidR="00F65E9F">
        <w:t xml:space="preserve">; </w:t>
      </w:r>
      <w:hyperlink r:id="rId60" w:history="1">
        <w:r w:rsidR="00F31D9C" w:rsidRPr="007972A1">
          <w:rPr>
            <w:rStyle w:val="Hyperlink"/>
          </w:rPr>
          <w:t>https://www.mirror.co.uk/news/uk-news/father-strangled-daughter-couldnt-suffer-11961396</w:t>
        </w:r>
      </w:hyperlink>
      <w:r w:rsidR="00F31D9C">
        <w:t xml:space="preserve"> </w:t>
      </w:r>
      <w:r w:rsidR="00F65E9F">
        <w:t xml:space="preserve"> </w:t>
      </w:r>
    </w:p>
  </w:footnote>
  <w:footnote w:id="66">
    <w:p w14:paraId="361CE2D8" w14:textId="569CFEF3" w:rsidR="00F31D9C" w:rsidRDefault="00F31D9C">
      <w:pPr>
        <w:pStyle w:val="FootnoteText"/>
      </w:pPr>
      <w:r>
        <w:rPr>
          <w:rStyle w:val="FootnoteReference"/>
        </w:rPr>
        <w:footnoteRef/>
      </w:r>
      <w:r>
        <w:t xml:space="preserve"> </w:t>
      </w:r>
      <w:hyperlink r:id="rId61" w:history="1">
        <w:r w:rsidR="002A2FC3" w:rsidRPr="007972A1">
          <w:rPr>
            <w:rStyle w:val="Hyperlink"/>
          </w:rPr>
          <w:t>https://www.dailymail.co.uk/news/article-367460/Mother-killed-Downs-son-allowed-free.html</w:t>
        </w:r>
      </w:hyperlink>
      <w:r w:rsidR="002A2FC3">
        <w:t xml:space="preserve">; </w:t>
      </w:r>
      <w:hyperlink r:id="rId62" w:history="1">
        <w:r w:rsidR="002A2FC3" w:rsidRPr="007972A1">
          <w:rPr>
            <w:rStyle w:val="Hyperlink"/>
          </w:rPr>
          <w:t>https://www.theguardian.com/uk/2005/sep/24/patrickbarkham.uknews2</w:t>
        </w:r>
      </w:hyperlink>
      <w:r w:rsidR="002A2FC3">
        <w:t xml:space="preserve">  </w:t>
      </w:r>
    </w:p>
  </w:footnote>
  <w:footnote w:id="67">
    <w:p w14:paraId="39258590" w14:textId="5C9A3096" w:rsidR="007A6A28" w:rsidRDefault="007A6A28">
      <w:pPr>
        <w:pStyle w:val="FootnoteText"/>
      </w:pPr>
      <w:r>
        <w:rPr>
          <w:rStyle w:val="FootnoteReference"/>
        </w:rPr>
        <w:footnoteRef/>
      </w:r>
      <w:r>
        <w:t xml:space="preserve"> </w:t>
      </w:r>
      <w:hyperlink r:id="rId63" w:history="1">
        <w:r w:rsidR="00FF5886" w:rsidRPr="00A6221E">
          <w:rPr>
            <w:rStyle w:val="Hyperlink"/>
          </w:rPr>
          <w:t>https://autisticadvocacy.org/projects/community/mourning/anti-filicide/</w:t>
        </w:r>
      </w:hyperlink>
      <w:r w:rsidR="00FF5886">
        <w:t xml:space="preserve"> </w:t>
      </w:r>
    </w:p>
  </w:footnote>
  <w:footnote w:id="68">
    <w:p w14:paraId="28220694" w14:textId="77777777" w:rsidR="00A91629" w:rsidRDefault="00A91629" w:rsidP="00A91629">
      <w:pPr>
        <w:pStyle w:val="FootnoteText"/>
      </w:pPr>
      <w:r>
        <w:rPr>
          <w:rStyle w:val="FootnoteReference"/>
        </w:rPr>
        <w:footnoteRef/>
      </w:r>
      <w:r>
        <w:t xml:space="preserve"> </w:t>
      </w:r>
      <w:r w:rsidRPr="008B2DFA">
        <w:t>https://www.forbes.com/sites/andrewpulrang/2021/02/20/its-time-to-stop-even-casually-misusing-disability-words/?sh=40bde34f7d4e</w:t>
      </w:r>
    </w:p>
  </w:footnote>
  <w:footnote w:id="69">
    <w:p w14:paraId="3B9B491F" w14:textId="364C26C1" w:rsidR="003C4A7C" w:rsidRDefault="003C4A7C">
      <w:pPr>
        <w:pStyle w:val="FootnoteText"/>
      </w:pPr>
      <w:r>
        <w:rPr>
          <w:rStyle w:val="FootnoteReference"/>
        </w:rPr>
        <w:footnoteRef/>
      </w:r>
      <w:r>
        <w:t xml:space="preserve"> </w:t>
      </w:r>
      <w:hyperlink r:id="rId64" w:history="1">
        <w:r w:rsidRPr="004C5078">
          <w:rPr>
            <w:rStyle w:val="Hyperlink"/>
          </w:rPr>
          <w:t>https://www.hulldailymail.co.uk/news/hull-east-yorkshire-news/disturbed-thug-attacked-disabled-man-4875820</w:t>
        </w:r>
      </w:hyperlink>
      <w:r>
        <w:t xml:space="preserve"> </w:t>
      </w:r>
    </w:p>
  </w:footnote>
  <w:footnote w:id="70">
    <w:p w14:paraId="1E2C925C" w14:textId="29562339" w:rsidR="00AA1DB2" w:rsidRDefault="00AA1DB2">
      <w:pPr>
        <w:pStyle w:val="FootnoteText"/>
      </w:pPr>
      <w:r>
        <w:rPr>
          <w:rStyle w:val="FootnoteReference"/>
        </w:rPr>
        <w:footnoteRef/>
      </w:r>
      <w:r>
        <w:t xml:space="preserve"> </w:t>
      </w:r>
      <w:hyperlink r:id="rId65" w:history="1">
        <w:r w:rsidRPr="004C5078">
          <w:rPr>
            <w:rStyle w:val="Hyperlink"/>
          </w:rPr>
          <w:t>https://www.londonworld.com/news/crime/psychotic-man-who-beat-his-grandmother-76-to-death-before-raping-her-corpse-given-hospital-order-3634022</w:t>
        </w:r>
      </w:hyperlink>
      <w:r>
        <w:t xml:space="preserve"> </w:t>
      </w:r>
    </w:p>
  </w:footnote>
  <w:footnote w:id="71">
    <w:p w14:paraId="618E614B" w14:textId="0A7EDE65" w:rsidR="00AA1DB2" w:rsidRDefault="00AA1DB2">
      <w:pPr>
        <w:pStyle w:val="FootnoteText"/>
      </w:pPr>
      <w:r>
        <w:rPr>
          <w:rStyle w:val="FootnoteReference"/>
        </w:rPr>
        <w:footnoteRef/>
      </w:r>
      <w:r>
        <w:t xml:space="preserve"> </w:t>
      </w:r>
      <w:hyperlink r:id="rId66" w:history="1">
        <w:r w:rsidRPr="004C5078">
          <w:rPr>
            <w:rStyle w:val="Hyperlink"/>
          </w:rPr>
          <w:t>https://www.thesun.co.uk/news/1369396/mentally-ill-woman-killed-her-elderly-mother-because-she-thought-she-looked-like-a-witch/</w:t>
        </w:r>
      </w:hyperlink>
      <w:r>
        <w:t xml:space="preserve"> </w:t>
      </w:r>
    </w:p>
  </w:footnote>
  <w:footnote w:id="72">
    <w:p w14:paraId="0DDF33FB" w14:textId="77777777" w:rsidR="00AA1DB2" w:rsidRDefault="00AA1DB2" w:rsidP="00AA1DB2">
      <w:pPr>
        <w:pStyle w:val="FootnoteText"/>
      </w:pPr>
      <w:r>
        <w:rPr>
          <w:rStyle w:val="FootnoteReference"/>
        </w:rPr>
        <w:footnoteRef/>
      </w:r>
      <w:r>
        <w:t xml:space="preserve"> </w:t>
      </w:r>
      <w:hyperlink r:id="rId67" w:history="1">
        <w:r w:rsidRPr="004C5078">
          <w:rPr>
            <w:rStyle w:val="Hyperlink"/>
          </w:rPr>
          <w:t>https://www.dailymail.co.uk/news/article-2570570/Savage-past-one-punch-killer-calls-Capone-gang-robbed-teenager-bus.html</w:t>
        </w:r>
      </w:hyperlink>
      <w:r>
        <w:t xml:space="preserve"> </w:t>
      </w:r>
    </w:p>
  </w:footnote>
  <w:footnote w:id="73">
    <w:p w14:paraId="22549D1A" w14:textId="77777777" w:rsidR="00AA1DB2" w:rsidRDefault="00AA1DB2" w:rsidP="00AA1DB2">
      <w:pPr>
        <w:pStyle w:val="FootnoteText"/>
      </w:pPr>
      <w:r>
        <w:rPr>
          <w:rStyle w:val="FootnoteReference"/>
        </w:rPr>
        <w:footnoteRef/>
      </w:r>
      <w:r>
        <w:t xml:space="preserve"> </w:t>
      </w:r>
      <w:hyperlink r:id="rId68" w:history="1">
        <w:r w:rsidRPr="00454187">
          <w:rPr>
            <w:rStyle w:val="Hyperlink"/>
          </w:rPr>
          <w:t>https://www.mentalhealth.org.uk/explore-mental-health/blogs/why-language-we-use-describe-mental-health-matters</w:t>
        </w:r>
      </w:hyperlink>
      <w:r>
        <w:t xml:space="preserve"> </w:t>
      </w:r>
    </w:p>
    <w:p w14:paraId="5AA5DC98" w14:textId="231BA7FE" w:rsidR="00AA1DB2" w:rsidRDefault="00AA1DB2" w:rsidP="00AA1DB2">
      <w:pPr>
        <w:pStyle w:val="FootnoteText"/>
      </w:pPr>
      <w:r>
        <w:rPr>
          <w:rStyle w:val="FootnoteReference"/>
        </w:rPr>
        <w:footnoteRef/>
      </w:r>
      <w:r>
        <w:t xml:space="preserve"> Naraharisetty, R. (2021). ‘Appropriate Language can Reduce Mental Health Stigma, Improve Access to Treatment’ </w:t>
      </w:r>
      <w:hyperlink r:id="rId69" w:history="1">
        <w:r w:rsidRPr="004C5078">
          <w:rPr>
            <w:rStyle w:val="Hyperlink"/>
          </w:rPr>
          <w:t>https://theswaddle.com/appropriate-language-can-reduce-mental-health-stigma-improve-access-to-treatment-experts/</w:t>
        </w:r>
      </w:hyperlink>
    </w:p>
  </w:footnote>
  <w:footnote w:id="74">
    <w:p w14:paraId="3AB409B6" w14:textId="77777777" w:rsidR="00FD0B3C" w:rsidRDefault="00FD0B3C" w:rsidP="00FD0B3C">
      <w:pPr>
        <w:pStyle w:val="FootnoteText"/>
      </w:pPr>
      <w:r>
        <w:rPr>
          <w:rStyle w:val="FootnoteReference"/>
        </w:rPr>
        <w:footnoteRef/>
      </w:r>
      <w:r>
        <w:t xml:space="preserve"> </w:t>
      </w:r>
      <w:hyperlink r:id="rId70" w:history="1">
        <w:r w:rsidRPr="0092662E">
          <w:rPr>
            <w:rStyle w:val="Hyperlink"/>
          </w:rPr>
          <w:t>https://www.dailymail.co.uk/news/article-3585008/Four-year-old-girl-beaten-death-sadistic-father-courts-social-workers-repeatedly-missed-chances-save-awarded-custody.html</w:t>
        </w:r>
      </w:hyperlink>
      <w:r>
        <w:t xml:space="preserve"> </w:t>
      </w:r>
      <w:hyperlink r:id="rId71" w:history="1">
        <w:r w:rsidRPr="0092662E">
          <w:rPr>
            <w:rStyle w:val="Hyperlink"/>
          </w:rPr>
          <w:t>https://www.heart.co.uk/fourcounties/news/local/hatfield-dad-jailed-for-life/</w:t>
        </w:r>
      </w:hyperlink>
      <w:r>
        <w:t xml:space="preserve"> </w:t>
      </w:r>
    </w:p>
  </w:footnote>
  <w:footnote w:id="75">
    <w:p w14:paraId="478AD542" w14:textId="703BBED9" w:rsidR="00FD18C5" w:rsidRDefault="00FD18C5">
      <w:pPr>
        <w:pStyle w:val="FootnoteText"/>
      </w:pPr>
      <w:r>
        <w:rPr>
          <w:rStyle w:val="FootnoteReference"/>
        </w:rPr>
        <w:footnoteRef/>
      </w:r>
      <w:r>
        <w:t xml:space="preserve"> </w:t>
      </w:r>
      <w:hyperlink r:id="rId72" w:history="1">
        <w:r w:rsidRPr="004C5078">
          <w:rPr>
            <w:rStyle w:val="Hyperlink"/>
          </w:rPr>
          <w:t>https://www.theguardian.com/society/reality-check/2013/oct/07/sun-people-killed-mental-health-true</w:t>
        </w:r>
      </w:hyperlink>
      <w:r>
        <w:t xml:space="preserve"> </w:t>
      </w:r>
    </w:p>
  </w:footnote>
  <w:footnote w:id="76">
    <w:p w14:paraId="3528309C" w14:textId="122761ED" w:rsidR="00FD18C5" w:rsidRDefault="00FD18C5">
      <w:pPr>
        <w:pStyle w:val="FootnoteText"/>
      </w:pPr>
      <w:r>
        <w:rPr>
          <w:rStyle w:val="FootnoteReference"/>
        </w:rPr>
        <w:footnoteRef/>
      </w:r>
      <w:r>
        <w:t xml:space="preserve"> </w:t>
      </w:r>
      <w:hyperlink r:id="rId73" w:history="1">
        <w:r w:rsidRPr="004C5078">
          <w:rPr>
            <w:rStyle w:val="Hyperlink"/>
          </w:rPr>
          <w:t>https://disabledparenting.com/library/disabled-parents-in-the-news/</w:t>
        </w:r>
      </w:hyperlink>
      <w:r>
        <w:t xml:space="preserve"> </w:t>
      </w:r>
    </w:p>
  </w:footnote>
  <w:footnote w:id="77">
    <w:p w14:paraId="3C552831" w14:textId="7E2128E2" w:rsidR="00FD18C5" w:rsidRDefault="00FD18C5">
      <w:pPr>
        <w:pStyle w:val="FootnoteText"/>
      </w:pPr>
      <w:r>
        <w:rPr>
          <w:rStyle w:val="FootnoteReference"/>
        </w:rPr>
        <w:footnoteRef/>
      </w:r>
      <w:r>
        <w:t xml:space="preserve"> </w:t>
      </w:r>
      <w:hyperlink r:id="rId74" w:history="1">
        <w:r w:rsidRPr="004C5078">
          <w:rPr>
            <w:rStyle w:val="Hyperlink"/>
          </w:rPr>
          <w:t>https://news.sky.com/story/gang-of-four-jailed-for-sadistic-murder-10489798</w:t>
        </w:r>
      </w:hyperlink>
    </w:p>
  </w:footnote>
  <w:footnote w:id="78">
    <w:p w14:paraId="472A04B6" w14:textId="7BAC955E" w:rsidR="00FD18C5" w:rsidRDefault="00FD18C5">
      <w:pPr>
        <w:pStyle w:val="FootnoteText"/>
      </w:pPr>
      <w:r>
        <w:rPr>
          <w:rStyle w:val="FootnoteReference"/>
        </w:rPr>
        <w:footnoteRef/>
      </w:r>
      <w:r>
        <w:t xml:space="preserve"> </w:t>
      </w:r>
      <w:hyperlink r:id="rId75" w:history="1">
        <w:r w:rsidRPr="004C5078">
          <w:rPr>
            <w:rStyle w:val="Hyperlink"/>
          </w:rPr>
          <w:t>https://www.mirror.co.uk/news/uk-news/man-who-murdered-mother-in-law-sexual-3657623</w:t>
        </w:r>
      </w:hyperlink>
      <w:r>
        <w:t xml:space="preserve"> </w:t>
      </w:r>
    </w:p>
  </w:footnote>
  <w:footnote w:id="79">
    <w:p w14:paraId="060D8EB5" w14:textId="139333B3" w:rsidR="00FD18C5" w:rsidRDefault="00FD18C5">
      <w:pPr>
        <w:pStyle w:val="FootnoteText"/>
      </w:pPr>
      <w:r>
        <w:rPr>
          <w:rStyle w:val="FootnoteReference"/>
        </w:rPr>
        <w:footnoteRef/>
      </w:r>
      <w:r>
        <w:t xml:space="preserve"> </w:t>
      </w:r>
      <w:hyperlink r:id="rId76" w:history="1">
        <w:r w:rsidR="00B864C1" w:rsidRPr="004C5078">
          <w:rPr>
            <w:rStyle w:val="Hyperlink"/>
          </w:rPr>
          <w:t>https://www.southwalesargus.co.uk/news/1378274.life-for-killer-cousins/</w:t>
        </w:r>
      </w:hyperlink>
      <w:r w:rsidR="00B864C1">
        <w:t xml:space="preserve"> </w:t>
      </w:r>
    </w:p>
  </w:footnote>
  <w:footnote w:id="80">
    <w:p w14:paraId="3CED50CB" w14:textId="34C83C20" w:rsidR="00B864C1" w:rsidRDefault="00B864C1">
      <w:pPr>
        <w:pStyle w:val="FootnoteText"/>
      </w:pPr>
      <w:r>
        <w:rPr>
          <w:rStyle w:val="FootnoteReference"/>
        </w:rPr>
        <w:footnoteRef/>
      </w:r>
      <w:r>
        <w:t xml:space="preserve"> </w:t>
      </w:r>
      <w:hyperlink r:id="rId77" w:history="1">
        <w:r w:rsidRPr="004C5078">
          <w:rPr>
            <w:rStyle w:val="Hyperlink"/>
          </w:rPr>
          <w:t>https://www.disabilitynewsservice.com/agencies-should-have-been-aware-of-risks-faced-by-lee-irving-before-his-murder/</w:t>
        </w:r>
      </w:hyperlink>
      <w:r>
        <w:t xml:space="preserve"> </w:t>
      </w:r>
    </w:p>
  </w:footnote>
  <w:footnote w:id="81">
    <w:p w14:paraId="47D7F3ED" w14:textId="637F6B72" w:rsidR="00B864C1" w:rsidRDefault="00B864C1">
      <w:pPr>
        <w:pStyle w:val="FootnoteText"/>
      </w:pPr>
      <w:r>
        <w:rPr>
          <w:rStyle w:val="FootnoteReference"/>
        </w:rPr>
        <w:footnoteRef/>
      </w:r>
      <w:r>
        <w:t xml:space="preserve"> </w:t>
      </w:r>
      <w:hyperlink r:id="rId78" w:history="1">
        <w:r w:rsidRPr="004C5078">
          <w:rPr>
            <w:rStyle w:val="Hyperlink"/>
          </w:rPr>
          <w:t>https://www.theguardian.com/society/2007/dec/06/policy</w:t>
        </w:r>
      </w:hyperlink>
      <w:r>
        <w:t xml:space="preserve"> </w:t>
      </w:r>
    </w:p>
  </w:footnote>
  <w:footnote w:id="82">
    <w:p w14:paraId="3C309BB7" w14:textId="3B9EA866" w:rsidR="009F543C" w:rsidRDefault="009F543C">
      <w:pPr>
        <w:pStyle w:val="FootnoteText"/>
      </w:pPr>
      <w:r>
        <w:rPr>
          <w:rStyle w:val="FootnoteReference"/>
        </w:rPr>
        <w:footnoteRef/>
      </w:r>
      <w:r>
        <w:t xml:space="preserve"> </w:t>
      </w:r>
      <w:hyperlink r:id="rId79" w:history="1">
        <w:r w:rsidRPr="007972A1">
          <w:rPr>
            <w:rStyle w:val="Hyperlink"/>
          </w:rPr>
          <w:t>https://www.walesonline.co.uk/news/wales-news/former-soldier-mother-jailed-life-14261774</w:t>
        </w:r>
      </w:hyperlink>
      <w:r>
        <w:t xml:space="preserve"> </w:t>
      </w:r>
    </w:p>
  </w:footnote>
  <w:footnote w:id="83">
    <w:p w14:paraId="0DE7B1B5" w14:textId="544B2277" w:rsidR="000255BC" w:rsidRDefault="000255BC">
      <w:pPr>
        <w:pStyle w:val="FootnoteText"/>
      </w:pPr>
      <w:r>
        <w:rPr>
          <w:rStyle w:val="FootnoteReference"/>
        </w:rPr>
        <w:footnoteRef/>
      </w:r>
      <w:r>
        <w:t xml:space="preserve"> </w:t>
      </w:r>
      <w:hyperlink r:id="rId80" w:history="1">
        <w:r w:rsidR="00825209" w:rsidRPr="0003646C">
          <w:rPr>
            <w:rStyle w:val="Hyperlink"/>
          </w:rPr>
          <w:t>https://www.theoldhamtimes.co.uk/news/16689245.amp/</w:t>
        </w:r>
      </w:hyperlink>
      <w:r w:rsidR="00825209">
        <w:t xml:space="preserve">;  </w:t>
      </w:r>
    </w:p>
  </w:footnote>
  <w:footnote w:id="84">
    <w:p w14:paraId="5A4CB248" w14:textId="0C9BC643" w:rsidR="000255BC" w:rsidRDefault="000255BC">
      <w:pPr>
        <w:pStyle w:val="FootnoteText"/>
      </w:pPr>
      <w:r>
        <w:rPr>
          <w:rStyle w:val="FootnoteReference"/>
        </w:rPr>
        <w:footnoteRef/>
      </w:r>
      <w:r>
        <w:t xml:space="preserve"> </w:t>
      </w:r>
      <w:r w:rsidR="0003732E" w:rsidRPr="0003732E">
        <w:t>https://www.harwichandmanningtreestandard.co.uk/news/south_essex_news/17218576.peter-sargent-banned-shops-trollies-preying-vulnerable-elderly-women/</w:t>
      </w:r>
      <w:r w:rsidR="0003732E">
        <w:t xml:space="preserve"> </w:t>
      </w:r>
    </w:p>
  </w:footnote>
  <w:footnote w:id="85">
    <w:p w14:paraId="5B893251" w14:textId="02F5D89D" w:rsidR="000255BC" w:rsidRDefault="000255BC">
      <w:pPr>
        <w:pStyle w:val="FootnoteText"/>
      </w:pPr>
      <w:r>
        <w:rPr>
          <w:rStyle w:val="FootnoteReference"/>
        </w:rPr>
        <w:footnoteRef/>
      </w:r>
      <w:r>
        <w:t xml:space="preserve"> </w:t>
      </w:r>
      <w:hyperlink r:id="rId81" w:history="1">
        <w:r w:rsidR="0003732E" w:rsidRPr="0003646C">
          <w:rPr>
            <w:rStyle w:val="Hyperlink"/>
          </w:rPr>
          <w:t>https://www.eppingforestguardian.co.uk/news/19113905.harlow-drug-dealing-brothers-jailed-cuckooing-woman/</w:t>
        </w:r>
      </w:hyperlink>
      <w:r w:rsidR="0003732E">
        <w:t xml:space="preserve">; </w:t>
      </w:r>
      <w:hyperlink r:id="rId82" w:history="1">
        <w:r w:rsidR="0003732E" w:rsidRPr="0003646C">
          <w:rPr>
            <w:rStyle w:val="Hyperlink"/>
          </w:rPr>
          <w:t>https://www.elystandard.co.uk/news/crime/22740353.drug-dealer-set-base-vulnerable-mans-home-cambridgeshire/</w:t>
        </w:r>
      </w:hyperlink>
      <w:r w:rsidR="0003732E">
        <w:t xml:space="preserve"> </w:t>
      </w:r>
    </w:p>
  </w:footnote>
  <w:footnote w:id="86">
    <w:p w14:paraId="2D3469AE" w14:textId="3E3AECA8" w:rsidR="000255BC" w:rsidRDefault="000255BC">
      <w:pPr>
        <w:pStyle w:val="FootnoteText"/>
      </w:pPr>
      <w:r>
        <w:rPr>
          <w:rStyle w:val="FootnoteReference"/>
        </w:rPr>
        <w:footnoteRef/>
      </w:r>
      <w:r>
        <w:t xml:space="preserve"> </w:t>
      </w:r>
      <w:hyperlink r:id="rId83" w:history="1">
        <w:r w:rsidR="0003732E" w:rsidRPr="0003646C">
          <w:rPr>
            <w:rStyle w:val="Hyperlink"/>
          </w:rPr>
          <w:t>https://www.echo-news.co.uk/news/16151477.clayton-bailey-cuckooed-vulnerable-adult-sell-drugs-jailed/</w:t>
        </w:r>
      </w:hyperlink>
      <w:r w:rsidR="0003732E">
        <w:t xml:space="preserve"> </w:t>
      </w:r>
    </w:p>
  </w:footnote>
  <w:footnote w:id="87">
    <w:p w14:paraId="045D7C3D" w14:textId="0C5E3B28" w:rsidR="000B462F" w:rsidRDefault="000B462F">
      <w:pPr>
        <w:pStyle w:val="FootnoteText"/>
      </w:pPr>
      <w:r>
        <w:rPr>
          <w:rStyle w:val="FootnoteReference"/>
        </w:rPr>
        <w:footnoteRef/>
      </w:r>
      <w:r>
        <w:t xml:space="preserve"> </w:t>
      </w:r>
      <w:hyperlink r:id="rId84" w:history="1">
        <w:r w:rsidRPr="00A335D2">
          <w:rPr>
            <w:rStyle w:val="Hyperlink"/>
          </w:rPr>
          <w:t>https://disabilityhorizons.com/2015/09/10-things-to-avoid-when-meeting-someone-with-a-disability/</w:t>
        </w:r>
      </w:hyperlink>
      <w:r>
        <w:t>; Ladau, E. (2021). Demystifying Disability: What to Know, What to Say, and How to be an Ally.</w:t>
      </w:r>
    </w:p>
  </w:footnote>
  <w:footnote w:id="88">
    <w:p w14:paraId="0EF30AB9" w14:textId="3C6528CC" w:rsidR="0081385F" w:rsidRDefault="0081385F">
      <w:pPr>
        <w:pStyle w:val="FootnoteText"/>
      </w:pPr>
      <w:r>
        <w:rPr>
          <w:rStyle w:val="FootnoteReference"/>
        </w:rPr>
        <w:footnoteRef/>
      </w:r>
      <w:r>
        <w:t xml:space="preserve"> </w:t>
      </w:r>
      <w:r w:rsidRPr="0081385F">
        <w:t>https://www.walesonline.co.uk/news/wales-news/terrible-story-abuse-drugs-neglect-8543762</w:t>
      </w:r>
    </w:p>
  </w:footnote>
  <w:footnote w:id="89">
    <w:p w14:paraId="36BE5B5C" w14:textId="181E018A" w:rsidR="00EF3428" w:rsidRDefault="00EF3428">
      <w:pPr>
        <w:pStyle w:val="FootnoteText"/>
      </w:pPr>
      <w:r>
        <w:rPr>
          <w:rStyle w:val="FootnoteReference"/>
        </w:rPr>
        <w:footnoteRef/>
      </w:r>
      <w:r>
        <w:t xml:space="preserve"> </w:t>
      </w:r>
      <w:r w:rsidR="00323F1C" w:rsidRPr="00323F1C">
        <w:t>Creer, S., Enderby, P., Judge, S. orcid.org/0000-0001-5119-8094 et al. (1 more author)</w:t>
      </w:r>
      <w:r w:rsidR="00323F1C">
        <w:br/>
      </w:r>
      <w:r w:rsidR="00323F1C" w:rsidRPr="00323F1C">
        <w:t>(2016) Prevalence of people who could benefit from augmentative and alternative</w:t>
      </w:r>
      <w:r w:rsidR="00323F1C">
        <w:br/>
      </w:r>
      <w:r w:rsidR="00323F1C" w:rsidRPr="00323F1C">
        <w:t>communication (AAC) in the UK: determining the need. International Journal of Language</w:t>
      </w:r>
      <w:r w:rsidR="00323F1C">
        <w:br/>
      </w:r>
      <w:r w:rsidR="00323F1C" w:rsidRPr="00323F1C">
        <w:t>and Communication Disorders, 51 (6). pp. 639-653. ISSN 1368-2822</w:t>
      </w:r>
    </w:p>
  </w:footnote>
  <w:footnote w:id="90">
    <w:p w14:paraId="38A01AFC" w14:textId="251F0DFE" w:rsidR="00EF3428" w:rsidRDefault="00EF3428">
      <w:pPr>
        <w:pStyle w:val="FootnoteText"/>
      </w:pPr>
      <w:r>
        <w:rPr>
          <w:rStyle w:val="FootnoteReference"/>
        </w:rPr>
        <w:footnoteRef/>
      </w:r>
      <w:r>
        <w:t xml:space="preserve"> </w:t>
      </w:r>
      <w:hyperlink r:id="rId85" w:history="1">
        <w:r w:rsidR="00323F1C" w:rsidRPr="0003646C">
          <w:rPr>
            <w:rStyle w:val="Hyperlink"/>
          </w:rPr>
          <w:t>https://talk-kit.org/reporting-course/module-2/</w:t>
        </w:r>
      </w:hyperlink>
      <w:r w:rsidR="00323F1C">
        <w:t xml:space="preserve">; </w:t>
      </w:r>
      <w:hyperlink r:id="rId86" w:history="1">
        <w:r w:rsidR="00323F1C" w:rsidRPr="0003646C">
          <w:rPr>
            <w:rStyle w:val="Hyperlink"/>
          </w:rPr>
          <w:t>https://epicassist.org/the-biggest-barrier-for-people-with-disability/</w:t>
        </w:r>
      </w:hyperlink>
    </w:p>
  </w:footnote>
  <w:footnote w:id="91">
    <w:p w14:paraId="4C0D91D5" w14:textId="038CF7F2" w:rsidR="00323F1C" w:rsidRDefault="00323F1C">
      <w:pPr>
        <w:pStyle w:val="FootnoteText"/>
      </w:pPr>
      <w:r>
        <w:rPr>
          <w:rStyle w:val="FootnoteReference"/>
        </w:rPr>
        <w:footnoteRef/>
      </w:r>
      <w:r>
        <w:t xml:space="preserve"> </w:t>
      </w:r>
      <w:hyperlink r:id="rId87" w:history="1">
        <w:r w:rsidRPr="0003646C">
          <w:rPr>
            <w:rStyle w:val="Hyperlink"/>
          </w:rPr>
          <w:t>https://www.sisofrida.org/wp-content/uploads/2021/05/Sisters-of-Fridas-Guide-to-Accessible-Online-communication-a-Toolkit-final.pdf</w:t>
        </w:r>
      </w:hyperlink>
      <w:r>
        <w:t xml:space="preserve">; </w:t>
      </w:r>
      <w:hyperlink r:id="rId88" w:history="1">
        <w:r w:rsidRPr="0003646C">
          <w:rPr>
            <w:rStyle w:val="Hyperlink"/>
          </w:rPr>
          <w:t>https://www.gov.uk/government/publications/inclusive-communication/accessible-communication-formats</w:t>
        </w:r>
      </w:hyperlink>
      <w:r>
        <w:t xml:space="preserve">; </w:t>
      </w:r>
      <w:hyperlink r:id="rId89" w:history="1">
        <w:r w:rsidRPr="0003646C">
          <w:rPr>
            <w:rStyle w:val="Hyperlink"/>
          </w:rPr>
          <w:t>https://www.england.nhs.uk/learning-disabilities/about/get-involved/involving-people/making-meetings-accessible/</w:t>
        </w:r>
      </w:hyperlink>
    </w:p>
  </w:footnote>
  <w:footnote w:id="92">
    <w:p w14:paraId="74DE187F" w14:textId="58DE6263" w:rsidR="004914BD" w:rsidRDefault="004914BD">
      <w:pPr>
        <w:pStyle w:val="FootnoteText"/>
      </w:pPr>
      <w:r>
        <w:rPr>
          <w:rStyle w:val="FootnoteReference"/>
        </w:rPr>
        <w:footnoteRef/>
      </w:r>
      <w:r>
        <w:t xml:space="preserve"> </w:t>
      </w:r>
      <w:hyperlink r:id="rId90" w:history="1">
        <w:r w:rsidR="00323F1C" w:rsidRPr="0003646C">
          <w:rPr>
            <w:rStyle w:val="Hyperlink"/>
          </w:rPr>
          <w:t>https://www.birminghammail.co.uk/news/midlands-news/woman-killed-herself-after-neighbour-12399545</w:t>
        </w:r>
      </w:hyperlink>
      <w:r>
        <w:t xml:space="preserve"> </w:t>
      </w:r>
    </w:p>
  </w:footnote>
  <w:footnote w:id="93">
    <w:p w14:paraId="6D06E27B" w14:textId="77777777" w:rsidR="001102D3" w:rsidRDefault="001102D3" w:rsidP="001102D3">
      <w:pPr>
        <w:pStyle w:val="FootnoteText"/>
      </w:pPr>
      <w:r>
        <w:rPr>
          <w:rStyle w:val="FootnoteReference"/>
        </w:rPr>
        <w:footnoteRef/>
      </w:r>
      <w:r>
        <w:t xml:space="preserve"> </w:t>
      </w:r>
      <w:hyperlink r:id="rId91" w:history="1">
        <w:r w:rsidRPr="007972A1">
          <w:rPr>
            <w:rStyle w:val="Hyperlink"/>
          </w:rPr>
          <w:t>https://metro.co.uk/2017/12/08/abused-boy-killed-himself-at-childrens-home-after-cries-for-help-were-ignored-7144244/</w:t>
        </w:r>
      </w:hyperlink>
      <w:r>
        <w:t xml:space="preserve"> </w:t>
      </w:r>
    </w:p>
  </w:footnote>
  <w:footnote w:id="94">
    <w:p w14:paraId="40C81185" w14:textId="69C6365C" w:rsidR="000A0A15" w:rsidRDefault="000A0A15">
      <w:pPr>
        <w:pStyle w:val="FootnoteText"/>
      </w:pPr>
      <w:r>
        <w:rPr>
          <w:rStyle w:val="FootnoteReference"/>
        </w:rPr>
        <w:footnoteRef/>
      </w:r>
      <w:r>
        <w:t xml:space="preserve"> </w:t>
      </w:r>
      <w:r w:rsidRPr="000A0A15">
        <w:t>https://www.bbc.co.uk/news/uk-england-suffolk-37186184</w:t>
      </w:r>
    </w:p>
  </w:footnote>
  <w:footnote w:id="95">
    <w:p w14:paraId="7F74B23A" w14:textId="5506C7AE" w:rsidR="007D53FA" w:rsidRDefault="007D53FA">
      <w:pPr>
        <w:pStyle w:val="FootnoteText"/>
      </w:pPr>
      <w:r>
        <w:rPr>
          <w:rStyle w:val="FootnoteReference"/>
        </w:rPr>
        <w:footnoteRef/>
      </w:r>
      <w:r>
        <w:t xml:space="preserve"> </w:t>
      </w:r>
      <w:r w:rsidRPr="007D53FA">
        <w:t>https://www.mirror.co.uk/news/uk-news/autistic-schoolboy-who-hanged-himself-11162155</w:t>
      </w:r>
    </w:p>
  </w:footnote>
  <w:footnote w:id="96">
    <w:p w14:paraId="6EB06546" w14:textId="4D3508DE" w:rsidR="003453B2" w:rsidRDefault="003453B2">
      <w:pPr>
        <w:pStyle w:val="FootnoteText"/>
      </w:pPr>
      <w:r>
        <w:rPr>
          <w:rStyle w:val="FootnoteReference"/>
        </w:rPr>
        <w:footnoteRef/>
      </w:r>
      <w:hyperlink r:id="rId92" w:history="1">
        <w:r w:rsidRPr="007972A1">
          <w:rPr>
            <w:rStyle w:val="Hyperlink"/>
          </w:rPr>
          <w:t>https://www.ons.gov.uk/peoplepopulationandcommunity/birthsdeathsandmarriages/deaths/datasets/suicidesintheunitedkingdomreferencetables</w:t>
        </w:r>
      </w:hyperlink>
      <w:r>
        <w:t xml:space="preserve"> </w:t>
      </w:r>
    </w:p>
  </w:footnote>
  <w:footnote w:id="97">
    <w:p w14:paraId="4012E86E" w14:textId="3F10EF71" w:rsidR="006D1492" w:rsidRDefault="006D1492">
      <w:pPr>
        <w:pStyle w:val="FootnoteText"/>
      </w:pPr>
      <w:r>
        <w:rPr>
          <w:rStyle w:val="FootnoteReference"/>
        </w:rPr>
        <w:footnoteRef/>
      </w:r>
      <w:r>
        <w:t xml:space="preserve"> </w:t>
      </w:r>
      <w:hyperlink r:id="rId93" w:history="1">
        <w:r w:rsidRPr="004C5078">
          <w:rPr>
            <w:rStyle w:val="Hyperlink"/>
          </w:rPr>
          <w:t>https://www.ipso.co.uk/resources-and-guidance/reporting-suicide-guidance/</w:t>
        </w:r>
      </w:hyperlink>
      <w:r>
        <w:t xml:space="preserve"> </w:t>
      </w:r>
    </w:p>
  </w:footnote>
  <w:footnote w:id="98">
    <w:p w14:paraId="7CFAE6B1" w14:textId="0EDEC3BE" w:rsidR="006D1492" w:rsidRDefault="006D1492">
      <w:pPr>
        <w:pStyle w:val="FootnoteText"/>
      </w:pPr>
      <w:r>
        <w:rPr>
          <w:rStyle w:val="FootnoteReference"/>
        </w:rPr>
        <w:footnoteRef/>
      </w:r>
      <w:r>
        <w:t xml:space="preserve"> </w:t>
      </w:r>
      <w:hyperlink r:id="rId94" w:history="1">
        <w:r w:rsidRPr="004C5078">
          <w:rPr>
            <w:rStyle w:val="Hyperlink"/>
          </w:rPr>
          <w:t>https://www.samaritans.org/about-samaritans/media-guidelines/media-guidelines-reporting-suicide/</w:t>
        </w:r>
      </w:hyperlink>
      <w:r>
        <w:t xml:space="preserve"> </w:t>
      </w:r>
    </w:p>
  </w:footnote>
  <w:footnote w:id="99">
    <w:p w14:paraId="5A66F440" w14:textId="325F2CA9" w:rsidR="006D1492" w:rsidRDefault="006D1492">
      <w:pPr>
        <w:pStyle w:val="FootnoteText"/>
      </w:pPr>
      <w:r>
        <w:rPr>
          <w:rStyle w:val="FootnoteReference"/>
        </w:rPr>
        <w:footnoteRef/>
      </w:r>
      <w:r>
        <w:t xml:space="preserve"> </w:t>
      </w:r>
      <w:hyperlink r:id="rId95" w:history="1">
        <w:r w:rsidRPr="004C5078">
          <w:rPr>
            <w:rStyle w:val="Hyperlink"/>
          </w:rPr>
          <w:t>https://www.theguardian.com/uk/2011/may/24/fiona-pilkington-police-misconduct-proceedings</w:t>
        </w:r>
      </w:hyperlink>
      <w:r>
        <w:t xml:space="preserve"> </w:t>
      </w:r>
    </w:p>
  </w:footnote>
  <w:footnote w:id="100">
    <w:p w14:paraId="135303A3" w14:textId="62A53CC0" w:rsidR="00701310" w:rsidRDefault="00701310">
      <w:pPr>
        <w:pStyle w:val="FootnoteText"/>
      </w:pPr>
      <w:r>
        <w:rPr>
          <w:rStyle w:val="FootnoteReference"/>
        </w:rPr>
        <w:footnoteRef/>
      </w:r>
      <w:r>
        <w:t xml:space="preserve"> </w:t>
      </w:r>
      <w:hyperlink r:id="rId96" w:history="1">
        <w:r w:rsidRPr="007972A1">
          <w:rPr>
            <w:rStyle w:val="Hyperlink"/>
          </w:rPr>
          <w:t>https://www.mirror.co.uk/news/uk-news/autistic-boy-says-teachers-ignored-24917971</w:t>
        </w:r>
      </w:hyperlink>
      <w:r>
        <w:t xml:space="preserve"> </w:t>
      </w:r>
    </w:p>
  </w:footnote>
  <w:footnote w:id="101">
    <w:p w14:paraId="0870B3AA" w14:textId="3D26B6D0" w:rsidR="006D1492" w:rsidRDefault="006D1492">
      <w:pPr>
        <w:pStyle w:val="FootnoteText"/>
      </w:pPr>
      <w:r>
        <w:rPr>
          <w:rStyle w:val="FootnoteReference"/>
        </w:rPr>
        <w:footnoteRef/>
      </w:r>
      <w:r>
        <w:t xml:space="preserve"> Getting away with Murder – Scope (</w:t>
      </w:r>
      <w:r w:rsidRPr="006D1492">
        <w:t>https://arcuk.org.uk/safetynet/files/2012/08/Getting-away-with-murder.pdf</w:t>
      </w:r>
      <w:r>
        <w:t xml:space="preserve">) ; Inclusion London (2020). ‘Still Getting Away with Murder’ </w:t>
      </w:r>
      <w:hyperlink r:id="rId97" w:history="1">
        <w:r w:rsidRPr="004C5078">
          <w:rPr>
            <w:rStyle w:val="Hyperlink"/>
          </w:rPr>
          <w:t>https://www.inclusionlondon.org.uk/wp-content/uploads/2020/09/FINAL-Still-Getting-Away-with-Murder-Sept-2020-FINAL.pdf</w:t>
        </w:r>
      </w:hyperlink>
      <w:r>
        <w:t xml:space="preserve"> </w:t>
      </w:r>
    </w:p>
  </w:footnote>
  <w:footnote w:id="102">
    <w:p w14:paraId="72A8B7F4" w14:textId="764A5CDF" w:rsidR="006D1492" w:rsidRPr="00605601" w:rsidRDefault="006D1492">
      <w:pPr>
        <w:pStyle w:val="FootnoteText"/>
        <w:rPr>
          <w:sz w:val="18"/>
          <w:szCs w:val="18"/>
        </w:rPr>
      </w:pPr>
      <w:r>
        <w:rPr>
          <w:rStyle w:val="FootnoteReference"/>
        </w:rPr>
        <w:footnoteRef/>
      </w:r>
      <w:r>
        <w:t xml:space="preserve"> </w:t>
      </w:r>
      <w:r w:rsidRPr="00605601">
        <w:rPr>
          <w:sz w:val="18"/>
          <w:szCs w:val="18"/>
        </w:rPr>
        <w:t xml:space="preserve">Ullah, R., Khan, A. (2020). The Role of Mass Media in Shaping Public Opinion </w:t>
      </w:r>
      <w:hyperlink r:id="rId98" w:history="1">
        <w:r w:rsidRPr="00605601">
          <w:rPr>
            <w:rStyle w:val="Hyperlink"/>
            <w:sz w:val="18"/>
            <w:szCs w:val="18"/>
          </w:rPr>
          <w:t>https://www.researchgate.net/publication/343392876_The_Role_of_Mass_Media_in_Shaping_Public_Opinion</w:t>
        </w:r>
      </w:hyperlink>
      <w:r w:rsidRPr="00605601">
        <w:rPr>
          <w:sz w:val="18"/>
          <w:szCs w:val="18"/>
        </w:rPr>
        <w:t xml:space="preserve"> </w:t>
      </w:r>
    </w:p>
  </w:footnote>
  <w:footnote w:id="103">
    <w:p w14:paraId="7C7A27A5" w14:textId="31BBE7B1" w:rsidR="00605601" w:rsidRPr="00605601" w:rsidRDefault="00605601">
      <w:pPr>
        <w:pStyle w:val="FootnoteText"/>
        <w:rPr>
          <w:sz w:val="18"/>
          <w:szCs w:val="18"/>
        </w:rPr>
      </w:pPr>
      <w:r w:rsidRPr="00605601">
        <w:rPr>
          <w:rStyle w:val="FootnoteReference"/>
          <w:sz w:val="18"/>
          <w:szCs w:val="18"/>
        </w:rPr>
        <w:footnoteRef/>
      </w:r>
      <w:r w:rsidRPr="00605601">
        <w:rPr>
          <w:sz w:val="18"/>
          <w:szCs w:val="18"/>
        </w:rPr>
        <w:t xml:space="preserve"> Briant, E., Watson, N., and Philo, G. (2013). Reporting disability in the age of austerity: the changing face of media representation of disability and disabled people in the United Kingdom and the creation of new ‘folk devils’, Disability &amp; Society, 28(6), 874-889; Briant, E., Watson, N., and Philo, G. (2011) Bad News for Disabled People: ow the Newspapers are Reporting Disability (</w:t>
      </w:r>
      <w:hyperlink r:id="rId99" w:history="1">
        <w:r w:rsidRPr="00605601">
          <w:rPr>
            <w:rStyle w:val="Hyperlink"/>
            <w:sz w:val="18"/>
            <w:szCs w:val="18"/>
          </w:rPr>
          <w:t>https://eprints.gla.ac.uk/57499/1/57499.pdf</w:t>
        </w:r>
      </w:hyperlink>
      <w:r w:rsidRPr="00605601">
        <w:rPr>
          <w:sz w:val="18"/>
          <w:szCs w:val="18"/>
        </w:rPr>
        <w:t xml:space="preserve">) </w:t>
      </w:r>
    </w:p>
  </w:footnote>
  <w:footnote w:id="104">
    <w:p w14:paraId="629A8FA6" w14:textId="00027109" w:rsidR="00C1080C" w:rsidRPr="00605601" w:rsidRDefault="00C1080C">
      <w:pPr>
        <w:pStyle w:val="FootnoteText"/>
        <w:rPr>
          <w:sz w:val="18"/>
          <w:szCs w:val="18"/>
        </w:rPr>
      </w:pPr>
      <w:r w:rsidRPr="00605601">
        <w:rPr>
          <w:rStyle w:val="FootnoteReference"/>
          <w:sz w:val="18"/>
          <w:szCs w:val="18"/>
        </w:rPr>
        <w:footnoteRef/>
      </w:r>
      <w:r w:rsidRPr="00605601">
        <w:rPr>
          <w:sz w:val="18"/>
          <w:szCs w:val="18"/>
        </w:rPr>
        <w:t xml:space="preserve"> </w:t>
      </w:r>
      <w:hyperlink r:id="rId100" w:history="1">
        <w:r w:rsidRPr="00605601">
          <w:rPr>
            <w:rStyle w:val="Hyperlink"/>
            <w:sz w:val="18"/>
            <w:szCs w:val="18"/>
          </w:rPr>
          <w:t>https://www.scholarsandstorytellers.com/blog-main/diversity-in-hollywood-the-case-for-authentic-disability-representation-in-film-and-tv</w:t>
        </w:r>
      </w:hyperlink>
      <w:r w:rsidR="00C36BAF" w:rsidRPr="00605601">
        <w:rPr>
          <w:sz w:val="18"/>
          <w:szCs w:val="18"/>
        </w:rPr>
        <w:t xml:space="preserve">; </w:t>
      </w:r>
      <w:hyperlink r:id="rId101" w:history="1">
        <w:r w:rsidR="00C36BAF" w:rsidRPr="00605601">
          <w:rPr>
            <w:rStyle w:val="Hyperlink"/>
            <w:sz w:val="18"/>
            <w:szCs w:val="18"/>
          </w:rPr>
          <w:t>https://psyarxiv.com/bv2pq/</w:t>
        </w:r>
      </w:hyperlink>
      <w:r w:rsidR="00C36BAF" w:rsidRPr="00605601">
        <w:rPr>
          <w:sz w:val="18"/>
          <w:szCs w:val="18"/>
        </w:rPr>
        <w:t xml:space="preserve">; </w:t>
      </w:r>
      <w:hyperlink r:id="rId102" w:history="1">
        <w:r w:rsidR="00266331" w:rsidRPr="00605601">
          <w:rPr>
            <w:rStyle w:val="Hyperlink"/>
            <w:sz w:val="18"/>
            <w:szCs w:val="18"/>
          </w:rPr>
          <w:t>https://www.scholarsandstorytellers.com/air</w:t>
        </w:r>
      </w:hyperlink>
      <w:r w:rsidR="00266331" w:rsidRPr="00605601">
        <w:rPr>
          <w:sz w:val="18"/>
          <w:szCs w:val="18"/>
        </w:rPr>
        <w:t xml:space="preserve"> </w:t>
      </w:r>
      <w:r w:rsidRPr="00605601">
        <w:rPr>
          <w:sz w:val="18"/>
          <w:szCs w:val="18"/>
        </w:rPr>
        <w:t xml:space="preserve"> </w:t>
      </w:r>
    </w:p>
  </w:footnote>
  <w:footnote w:id="105">
    <w:p w14:paraId="0699AC5F" w14:textId="08F29ADE" w:rsidR="00605601" w:rsidRDefault="00605601" w:rsidP="00605601">
      <w:pPr>
        <w:pStyle w:val="FootnoteText"/>
      </w:pPr>
      <w:r w:rsidRPr="00605601">
        <w:rPr>
          <w:rStyle w:val="FootnoteReference"/>
          <w:sz w:val="18"/>
          <w:szCs w:val="18"/>
        </w:rPr>
        <w:footnoteRef/>
      </w:r>
      <w:r w:rsidRPr="00605601">
        <w:rPr>
          <w:sz w:val="18"/>
          <w:szCs w:val="18"/>
        </w:rPr>
        <w:t xml:space="preserve"> Inclusion London (2020). ‘Still Getting Away with Murder’ </w:t>
      </w:r>
      <w:hyperlink r:id="rId103" w:history="1">
        <w:r w:rsidRPr="00605601">
          <w:rPr>
            <w:rStyle w:val="Hyperlink"/>
            <w:sz w:val="18"/>
            <w:szCs w:val="18"/>
          </w:rPr>
          <w:t>https://www.inclusionlondon.org.uk/wp-content/uploads/2020/09/FINAL-Still-Getting-Away-with-Murder-Sept-2020-FINAL.pdf</w:t>
        </w:r>
      </w:hyperlink>
      <w:r w:rsidRPr="00605601">
        <w:rPr>
          <w:sz w:val="18"/>
          <w:szCs w:val="18"/>
        </w:rPr>
        <w:t xml:space="preserve"> ; Walters, M.A., Wiedlitzka, S., Owusu-Bempah, A., and Goodall, K. (2017). Hate Crime and the Legal Process: Options for Law Refo</w:t>
      </w:r>
      <w:r w:rsidRPr="00605601">
        <w:rPr>
          <w:sz w:val="16"/>
          <w:szCs w:val="16"/>
        </w:rPr>
        <w:t>r</w:t>
      </w:r>
      <w:r w:rsidRPr="00605601">
        <w:rPr>
          <w:sz w:val="18"/>
          <w:szCs w:val="18"/>
        </w:rPr>
        <w:t>m</w:t>
      </w:r>
      <w:r>
        <w:t xml:space="preserve"> </w:t>
      </w:r>
      <w:r w:rsidRPr="00605601">
        <w:rPr>
          <w:sz w:val="18"/>
          <w:szCs w:val="18"/>
        </w:rPr>
        <w:t>(</w:t>
      </w:r>
      <w:hyperlink r:id="rId104" w:history="1">
        <w:r w:rsidRPr="00605601">
          <w:rPr>
            <w:rStyle w:val="Hyperlink"/>
            <w:sz w:val="18"/>
            <w:szCs w:val="18"/>
          </w:rPr>
          <w:t>https://www.sussex.ac.uk/webteam/gateway/file.php?name=final-report---hate-crime-and-the-legal-process.pdf&amp;site=539</w:t>
        </w:r>
      </w:hyperlink>
      <w:r w:rsidRPr="00605601">
        <w:rPr>
          <w:rStyle w:val="Hyperlink"/>
          <w:sz w:val="18"/>
          <w:szCs w:val="18"/>
        </w:rPr>
        <w:t>)</w:t>
      </w:r>
    </w:p>
    <w:p w14:paraId="6B5DE7AB" w14:textId="50766C70" w:rsidR="00605601" w:rsidRDefault="00605601">
      <w:pPr>
        <w:pStyle w:val="FootnoteText"/>
      </w:pPr>
    </w:p>
  </w:footnote>
  <w:footnote w:id="106">
    <w:p w14:paraId="0C359249" w14:textId="2E128FAB" w:rsidR="00D53DE0" w:rsidRDefault="00D53DE0">
      <w:pPr>
        <w:pStyle w:val="FootnoteText"/>
      </w:pPr>
      <w:r>
        <w:rPr>
          <w:rStyle w:val="FootnoteReference"/>
        </w:rPr>
        <w:footnoteRef/>
      </w:r>
      <w:r>
        <w:t xml:space="preserve"> </w:t>
      </w:r>
      <w:hyperlink r:id="rId105" w:history="1">
        <w:r w:rsidRPr="004C5078">
          <w:rPr>
            <w:rStyle w:val="Hyperlink"/>
          </w:rPr>
          <w:t>https://www.disabilitycornwall.org.uk/about-us/research</w:t>
        </w:r>
      </w:hyperlink>
      <w:r>
        <w:t xml:space="preserve"> </w:t>
      </w:r>
    </w:p>
  </w:footnote>
  <w:footnote w:id="107">
    <w:p w14:paraId="4B54157E" w14:textId="033C5EB8" w:rsidR="00D53DE0" w:rsidRDefault="00D53DE0">
      <w:pPr>
        <w:pStyle w:val="FootnoteText"/>
      </w:pPr>
      <w:r>
        <w:rPr>
          <w:rStyle w:val="FootnoteReference"/>
        </w:rPr>
        <w:footnoteRef/>
      </w:r>
      <w:r>
        <w:t xml:space="preserve"> </w:t>
      </w:r>
      <w:hyperlink r:id="rId106" w:history="1">
        <w:r w:rsidRPr="004C5078">
          <w:rPr>
            <w:rStyle w:val="Hyperlink"/>
          </w:rPr>
          <w:t>https://mediatrust.org/communications-support/resource-hub/</w:t>
        </w:r>
      </w:hyperlink>
      <w:r>
        <w:t xml:space="preserve"> </w:t>
      </w:r>
    </w:p>
  </w:footnote>
  <w:footnote w:id="108">
    <w:p w14:paraId="54DB0764" w14:textId="1E258096" w:rsidR="00D53DE0" w:rsidRDefault="00D53DE0">
      <w:pPr>
        <w:pStyle w:val="FootnoteText"/>
      </w:pPr>
      <w:r>
        <w:rPr>
          <w:rStyle w:val="FootnoteReference"/>
        </w:rPr>
        <w:footnoteRef/>
      </w:r>
      <w:r>
        <w:t xml:space="preserve"> </w:t>
      </w:r>
      <w:hyperlink r:id="rId107" w:history="1">
        <w:r w:rsidRPr="004C5078">
          <w:rPr>
            <w:rStyle w:val="Hyperlink"/>
          </w:rPr>
          <w:t>https://www.ibt.org.uk/blog/why-language-matters-when-covering-disability/</w:t>
        </w:r>
      </w:hyperlink>
      <w:r>
        <w:t xml:space="preserve"> </w:t>
      </w:r>
    </w:p>
  </w:footnote>
  <w:footnote w:id="109">
    <w:p w14:paraId="1FEBF360" w14:textId="3B46CCC1" w:rsidR="00F17F6E" w:rsidRDefault="00F17F6E">
      <w:pPr>
        <w:pStyle w:val="FootnoteText"/>
      </w:pPr>
      <w:r>
        <w:rPr>
          <w:rStyle w:val="FootnoteReference"/>
        </w:rPr>
        <w:footnoteRef/>
      </w:r>
      <w:r>
        <w:t xml:space="preserve"> Ladau, E. (2021). Demystifying Disability: What to Know, What to Say, and How to be an Ally. </w:t>
      </w:r>
    </w:p>
  </w:footnote>
  <w:footnote w:id="110">
    <w:p w14:paraId="7963644D" w14:textId="09C8DCFD" w:rsidR="00F17F6E" w:rsidRDefault="00F17F6E">
      <w:pPr>
        <w:pStyle w:val="FootnoteText"/>
      </w:pPr>
      <w:r>
        <w:rPr>
          <w:rStyle w:val="FootnoteReference"/>
        </w:rPr>
        <w:footnoteRef/>
      </w:r>
      <w:r>
        <w:t xml:space="preserve"> </w:t>
      </w:r>
      <w:r w:rsidR="00C708F7">
        <w:t>Wong, A. (2020). Disability Visibility: First-Person Stories from the Twenty-First Century.</w:t>
      </w:r>
    </w:p>
  </w:footnote>
  <w:footnote w:id="111">
    <w:p w14:paraId="399E9DA7" w14:textId="30C48C7F" w:rsidR="00F17F6E" w:rsidRDefault="00F17F6E">
      <w:pPr>
        <w:pStyle w:val="FootnoteText"/>
      </w:pPr>
      <w:r>
        <w:rPr>
          <w:rStyle w:val="FootnoteReference"/>
        </w:rPr>
        <w:footnoteRef/>
      </w:r>
      <w:r>
        <w:t xml:space="preserve"> </w:t>
      </w:r>
      <w:r w:rsidR="00C708F7">
        <w:t>Wong, A. (2018). Resistance and Hope: Essays by Disabled People.</w:t>
      </w:r>
    </w:p>
  </w:footnote>
  <w:footnote w:id="112">
    <w:p w14:paraId="0A6E356F" w14:textId="390AADDC" w:rsidR="00C708F7" w:rsidRDefault="00C708F7">
      <w:pPr>
        <w:pStyle w:val="FootnoteText"/>
      </w:pPr>
      <w:r>
        <w:rPr>
          <w:rStyle w:val="FootnoteReference"/>
        </w:rPr>
        <w:footnoteRef/>
      </w:r>
      <w:r>
        <w:t xml:space="preserve"> Brown, K. (2019). The Pretty One: On Life, Pop Culture, Disability, and Other Reasons to Fall in Love with Me.</w:t>
      </w:r>
    </w:p>
  </w:footnote>
  <w:footnote w:id="113">
    <w:p w14:paraId="142D938D" w14:textId="11198AEB" w:rsidR="00D53DE0" w:rsidRDefault="00D53DE0">
      <w:pPr>
        <w:pStyle w:val="FootnoteText"/>
      </w:pPr>
      <w:r>
        <w:rPr>
          <w:rStyle w:val="FootnoteReference"/>
        </w:rPr>
        <w:footnoteRef/>
      </w:r>
      <w:r>
        <w:t xml:space="preserve"> </w:t>
      </w:r>
      <w:hyperlink r:id="rId108" w:history="1">
        <w:r w:rsidRPr="004C5078">
          <w:rPr>
            <w:rStyle w:val="Hyperlink"/>
          </w:rPr>
          <w:t>https://www.inclusionlondon.org.uk/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rPr>
        <w:sz w:val="20"/>
        <w:szCs w:val="16"/>
      </w:rPr>
    </w:sdtEndPr>
    <w:sdtContent>
      <w:p w14:paraId="334DC4B2" w14:textId="2A762405" w:rsidR="004444BC" w:rsidRPr="00A8197A" w:rsidRDefault="00396F48">
        <w:pPr>
          <w:pStyle w:val="Header"/>
          <w:jc w:val="center"/>
          <w:rPr>
            <w:sz w:val="20"/>
            <w:szCs w:val="16"/>
          </w:rPr>
        </w:pPr>
        <w:r>
          <w:rPr>
            <w:noProof/>
            <w:sz w:val="20"/>
            <w:szCs w:val="16"/>
          </w:rPr>
          <w:drawing>
            <wp:anchor distT="0" distB="0" distL="114300" distR="114300" simplePos="0" relativeHeight="251658240" behindDoc="0" locked="0" layoutInCell="1" allowOverlap="1" wp14:anchorId="777E3B90" wp14:editId="3E8FE064">
              <wp:simplePos x="0" y="0"/>
              <wp:positionH relativeFrom="page">
                <wp:align>right</wp:align>
              </wp:positionH>
              <wp:positionV relativeFrom="margin">
                <wp:posOffset>-663575</wp:posOffset>
              </wp:positionV>
              <wp:extent cx="2032000" cy="600075"/>
              <wp:effectExtent l="0" t="0" r="6350" b="9525"/>
              <wp:wrapSquare wrapText="bothSides"/>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2000" cy="600075"/>
                      </a:xfrm>
                      <a:prstGeom prst="rect">
                        <a:avLst/>
                      </a:prstGeom>
                    </pic:spPr>
                  </pic:pic>
                </a:graphicData>
              </a:graphic>
            </wp:anchor>
          </w:drawing>
        </w:r>
        <w:r w:rsidR="004444BC" w:rsidRPr="00456B5E">
          <w:rPr>
            <w:sz w:val="20"/>
            <w:szCs w:val="16"/>
          </w:rPr>
          <w:t xml:space="preserve">Page </w:t>
        </w:r>
        <w:r w:rsidR="004444BC" w:rsidRPr="00A8197A">
          <w:rPr>
            <w:b/>
            <w:bCs/>
            <w:sz w:val="18"/>
            <w:szCs w:val="18"/>
          </w:rPr>
          <w:fldChar w:fldCharType="begin"/>
        </w:r>
        <w:r w:rsidR="004444BC" w:rsidRPr="00A8197A">
          <w:rPr>
            <w:b/>
            <w:bCs/>
            <w:sz w:val="20"/>
            <w:szCs w:val="16"/>
          </w:rPr>
          <w:instrText xml:space="preserve"> PAGE </w:instrText>
        </w:r>
        <w:r w:rsidR="004444BC" w:rsidRPr="00A8197A">
          <w:rPr>
            <w:b/>
            <w:bCs/>
            <w:sz w:val="18"/>
            <w:szCs w:val="18"/>
          </w:rPr>
          <w:fldChar w:fldCharType="separate"/>
        </w:r>
        <w:r w:rsidR="004444BC" w:rsidRPr="00A8197A">
          <w:rPr>
            <w:b/>
            <w:bCs/>
            <w:noProof/>
            <w:sz w:val="20"/>
            <w:szCs w:val="16"/>
          </w:rPr>
          <w:t>2</w:t>
        </w:r>
        <w:r w:rsidR="004444BC" w:rsidRPr="00A8197A">
          <w:rPr>
            <w:b/>
            <w:bCs/>
            <w:sz w:val="18"/>
            <w:szCs w:val="18"/>
          </w:rPr>
          <w:fldChar w:fldCharType="end"/>
        </w:r>
        <w:r w:rsidR="004444BC" w:rsidRPr="00A8197A">
          <w:rPr>
            <w:sz w:val="20"/>
            <w:szCs w:val="16"/>
          </w:rPr>
          <w:t xml:space="preserve"> of </w:t>
        </w:r>
        <w:r w:rsidR="004444BC" w:rsidRPr="00A8197A">
          <w:rPr>
            <w:b/>
            <w:bCs/>
            <w:sz w:val="18"/>
            <w:szCs w:val="18"/>
          </w:rPr>
          <w:fldChar w:fldCharType="begin"/>
        </w:r>
        <w:r w:rsidR="004444BC" w:rsidRPr="00A8197A">
          <w:rPr>
            <w:b/>
            <w:bCs/>
            <w:sz w:val="20"/>
            <w:szCs w:val="16"/>
          </w:rPr>
          <w:instrText xml:space="preserve"> NUMPAGES  </w:instrText>
        </w:r>
        <w:r w:rsidR="004444BC" w:rsidRPr="00A8197A">
          <w:rPr>
            <w:b/>
            <w:bCs/>
            <w:sz w:val="18"/>
            <w:szCs w:val="18"/>
          </w:rPr>
          <w:fldChar w:fldCharType="separate"/>
        </w:r>
        <w:r w:rsidR="004444BC" w:rsidRPr="00A8197A">
          <w:rPr>
            <w:b/>
            <w:bCs/>
            <w:noProof/>
            <w:sz w:val="20"/>
            <w:szCs w:val="16"/>
          </w:rPr>
          <w:t>2</w:t>
        </w:r>
        <w:r w:rsidR="004444BC" w:rsidRPr="00A8197A">
          <w:rPr>
            <w:b/>
            <w:bCs/>
            <w:sz w:val="18"/>
            <w:szCs w:val="18"/>
          </w:rPr>
          <w:fldChar w:fldCharType="end"/>
        </w:r>
      </w:p>
    </w:sdtContent>
  </w:sdt>
  <w:p w14:paraId="47D87289" w14:textId="1EA62718" w:rsidR="004444BC" w:rsidRDefault="00444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441C"/>
    <w:multiLevelType w:val="hybridMultilevel"/>
    <w:tmpl w:val="6DE0A2C2"/>
    <w:lvl w:ilvl="0" w:tplc="459E4A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97A8A"/>
    <w:multiLevelType w:val="hybridMultilevel"/>
    <w:tmpl w:val="A3D6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04992"/>
    <w:multiLevelType w:val="hybridMultilevel"/>
    <w:tmpl w:val="33B2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EA148D"/>
    <w:multiLevelType w:val="hybridMultilevel"/>
    <w:tmpl w:val="29728604"/>
    <w:lvl w:ilvl="0" w:tplc="0212E8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62D47"/>
    <w:multiLevelType w:val="hybridMultilevel"/>
    <w:tmpl w:val="D902C69C"/>
    <w:lvl w:ilvl="0" w:tplc="C38E93D4">
      <w:numFmt w:val="bullet"/>
      <w:lvlText w:val=""/>
      <w:lvlJc w:val="left"/>
      <w:pPr>
        <w:ind w:left="720" w:hanging="360"/>
      </w:pPr>
      <w:rPr>
        <w:rFonts w:ascii="Symbol" w:eastAsiaTheme="minorEastAsia"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63FB5"/>
    <w:multiLevelType w:val="hybridMultilevel"/>
    <w:tmpl w:val="A81E0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D4A7A"/>
    <w:multiLevelType w:val="hybridMultilevel"/>
    <w:tmpl w:val="C2CCB1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1742ED"/>
    <w:multiLevelType w:val="hybridMultilevel"/>
    <w:tmpl w:val="66762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1010E6"/>
    <w:multiLevelType w:val="hybridMultilevel"/>
    <w:tmpl w:val="FA66C1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147BDA"/>
    <w:multiLevelType w:val="hybridMultilevel"/>
    <w:tmpl w:val="D41CE9A0"/>
    <w:lvl w:ilvl="0" w:tplc="A21ED708">
      <w:start w:val="1"/>
      <w:numFmt w:val="bullet"/>
      <w:lvlText w:val="-"/>
      <w:lvlJc w:val="left"/>
      <w:pPr>
        <w:ind w:left="720" w:hanging="360"/>
      </w:pPr>
      <w:rPr>
        <w:rFonts w:ascii="Open Sans" w:eastAsiaTheme="minorEastAs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8349FD"/>
    <w:multiLevelType w:val="hybridMultilevel"/>
    <w:tmpl w:val="DBD8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690254"/>
    <w:multiLevelType w:val="hybridMultilevel"/>
    <w:tmpl w:val="D99E39C2"/>
    <w:lvl w:ilvl="0" w:tplc="EF727E12">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3C2801"/>
    <w:multiLevelType w:val="hybridMultilevel"/>
    <w:tmpl w:val="E0BC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FB6C6E"/>
    <w:multiLevelType w:val="hybridMultilevel"/>
    <w:tmpl w:val="FB76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985288">
    <w:abstractNumId w:val="6"/>
  </w:num>
  <w:num w:numId="2" w16cid:durableId="1579707049">
    <w:abstractNumId w:val="13"/>
  </w:num>
  <w:num w:numId="3" w16cid:durableId="833302417">
    <w:abstractNumId w:val="3"/>
  </w:num>
  <w:num w:numId="4" w16cid:durableId="1073042776">
    <w:abstractNumId w:val="9"/>
  </w:num>
  <w:num w:numId="5" w16cid:durableId="2116899505">
    <w:abstractNumId w:val="1"/>
  </w:num>
  <w:num w:numId="6" w16cid:durableId="1098673763">
    <w:abstractNumId w:val="0"/>
  </w:num>
  <w:num w:numId="7" w16cid:durableId="494881754">
    <w:abstractNumId w:val="2"/>
  </w:num>
  <w:num w:numId="8" w16cid:durableId="1453864525">
    <w:abstractNumId w:val="8"/>
  </w:num>
  <w:num w:numId="9" w16cid:durableId="420953300">
    <w:abstractNumId w:val="7"/>
  </w:num>
  <w:num w:numId="10" w16cid:durableId="922101653">
    <w:abstractNumId w:val="5"/>
  </w:num>
  <w:num w:numId="11" w16cid:durableId="1384016301">
    <w:abstractNumId w:val="10"/>
  </w:num>
  <w:num w:numId="12" w16cid:durableId="232392933">
    <w:abstractNumId w:val="11"/>
  </w:num>
  <w:num w:numId="13" w16cid:durableId="1422874535">
    <w:abstractNumId w:val="4"/>
  </w:num>
  <w:num w:numId="14" w16cid:durableId="7495460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465FD"/>
    <w:rsid w:val="000003B5"/>
    <w:rsid w:val="000018EA"/>
    <w:rsid w:val="000019CB"/>
    <w:rsid w:val="00002337"/>
    <w:rsid w:val="0000409D"/>
    <w:rsid w:val="000041DC"/>
    <w:rsid w:val="00006675"/>
    <w:rsid w:val="0001013C"/>
    <w:rsid w:val="0001067E"/>
    <w:rsid w:val="000116F5"/>
    <w:rsid w:val="000152B9"/>
    <w:rsid w:val="00015E2C"/>
    <w:rsid w:val="00015EDF"/>
    <w:rsid w:val="00016367"/>
    <w:rsid w:val="00016EEC"/>
    <w:rsid w:val="0001777F"/>
    <w:rsid w:val="0002039C"/>
    <w:rsid w:val="0002287C"/>
    <w:rsid w:val="00022F87"/>
    <w:rsid w:val="000255BC"/>
    <w:rsid w:val="0002792F"/>
    <w:rsid w:val="00027E9C"/>
    <w:rsid w:val="000318A6"/>
    <w:rsid w:val="00032834"/>
    <w:rsid w:val="00033AEF"/>
    <w:rsid w:val="000360F0"/>
    <w:rsid w:val="000361A6"/>
    <w:rsid w:val="00036402"/>
    <w:rsid w:val="00036B06"/>
    <w:rsid w:val="0003732E"/>
    <w:rsid w:val="000374EA"/>
    <w:rsid w:val="00040322"/>
    <w:rsid w:val="0004182C"/>
    <w:rsid w:val="0004441C"/>
    <w:rsid w:val="00053286"/>
    <w:rsid w:val="000532AC"/>
    <w:rsid w:val="00053B93"/>
    <w:rsid w:val="0005500C"/>
    <w:rsid w:val="00057EF1"/>
    <w:rsid w:val="000608E9"/>
    <w:rsid w:val="0006152C"/>
    <w:rsid w:val="00062D60"/>
    <w:rsid w:val="00063505"/>
    <w:rsid w:val="00063819"/>
    <w:rsid w:val="00065098"/>
    <w:rsid w:val="0006716D"/>
    <w:rsid w:val="00067E63"/>
    <w:rsid w:val="0007141F"/>
    <w:rsid w:val="0007367D"/>
    <w:rsid w:val="00073C5A"/>
    <w:rsid w:val="00074687"/>
    <w:rsid w:val="00074697"/>
    <w:rsid w:val="00074FC5"/>
    <w:rsid w:val="00076F80"/>
    <w:rsid w:val="00081525"/>
    <w:rsid w:val="000841C9"/>
    <w:rsid w:val="00086DEE"/>
    <w:rsid w:val="0008709D"/>
    <w:rsid w:val="00087EB3"/>
    <w:rsid w:val="00090395"/>
    <w:rsid w:val="000930F2"/>
    <w:rsid w:val="00095067"/>
    <w:rsid w:val="00097173"/>
    <w:rsid w:val="000A0A15"/>
    <w:rsid w:val="000A0E83"/>
    <w:rsid w:val="000A2888"/>
    <w:rsid w:val="000A723A"/>
    <w:rsid w:val="000A7339"/>
    <w:rsid w:val="000B045C"/>
    <w:rsid w:val="000B09F8"/>
    <w:rsid w:val="000B0EFD"/>
    <w:rsid w:val="000B25A6"/>
    <w:rsid w:val="000B403B"/>
    <w:rsid w:val="000B462F"/>
    <w:rsid w:val="000B564E"/>
    <w:rsid w:val="000B616B"/>
    <w:rsid w:val="000B7225"/>
    <w:rsid w:val="000C04B9"/>
    <w:rsid w:val="000C332E"/>
    <w:rsid w:val="000C5795"/>
    <w:rsid w:val="000C5AF0"/>
    <w:rsid w:val="000D038F"/>
    <w:rsid w:val="000D059B"/>
    <w:rsid w:val="000D2C59"/>
    <w:rsid w:val="000D59FF"/>
    <w:rsid w:val="000D7767"/>
    <w:rsid w:val="000E1D5C"/>
    <w:rsid w:val="000E23AF"/>
    <w:rsid w:val="000E2FBB"/>
    <w:rsid w:val="000E34B7"/>
    <w:rsid w:val="000E4CE8"/>
    <w:rsid w:val="000E6425"/>
    <w:rsid w:val="000E6FD6"/>
    <w:rsid w:val="000E7712"/>
    <w:rsid w:val="000F0B9D"/>
    <w:rsid w:val="000F1CE5"/>
    <w:rsid w:val="000F31CB"/>
    <w:rsid w:val="000F723C"/>
    <w:rsid w:val="00101CB2"/>
    <w:rsid w:val="0010268B"/>
    <w:rsid w:val="00102DDF"/>
    <w:rsid w:val="00103E69"/>
    <w:rsid w:val="00104674"/>
    <w:rsid w:val="00106606"/>
    <w:rsid w:val="00106FD8"/>
    <w:rsid w:val="001102D3"/>
    <w:rsid w:val="00110487"/>
    <w:rsid w:val="00110C51"/>
    <w:rsid w:val="00110E95"/>
    <w:rsid w:val="00113619"/>
    <w:rsid w:val="00113F08"/>
    <w:rsid w:val="001148A4"/>
    <w:rsid w:val="00116023"/>
    <w:rsid w:val="00117F87"/>
    <w:rsid w:val="00124B9F"/>
    <w:rsid w:val="0012640F"/>
    <w:rsid w:val="00126D4B"/>
    <w:rsid w:val="00130D8B"/>
    <w:rsid w:val="00131417"/>
    <w:rsid w:val="00132FCB"/>
    <w:rsid w:val="0013350B"/>
    <w:rsid w:val="00137881"/>
    <w:rsid w:val="0014299B"/>
    <w:rsid w:val="001434A0"/>
    <w:rsid w:val="00143A49"/>
    <w:rsid w:val="00145368"/>
    <w:rsid w:val="001478D1"/>
    <w:rsid w:val="001509BB"/>
    <w:rsid w:val="00151C2D"/>
    <w:rsid w:val="00154179"/>
    <w:rsid w:val="001548D7"/>
    <w:rsid w:val="00155324"/>
    <w:rsid w:val="001617F2"/>
    <w:rsid w:val="0016182C"/>
    <w:rsid w:val="00162594"/>
    <w:rsid w:val="001673A3"/>
    <w:rsid w:val="0017110E"/>
    <w:rsid w:val="00171599"/>
    <w:rsid w:val="001719D0"/>
    <w:rsid w:val="00173D80"/>
    <w:rsid w:val="00174B63"/>
    <w:rsid w:val="001753F3"/>
    <w:rsid w:val="0017613E"/>
    <w:rsid w:val="00176B16"/>
    <w:rsid w:val="001776A6"/>
    <w:rsid w:val="0017791C"/>
    <w:rsid w:val="00181A88"/>
    <w:rsid w:val="00181FF1"/>
    <w:rsid w:val="00182535"/>
    <w:rsid w:val="00184B0F"/>
    <w:rsid w:val="001860E2"/>
    <w:rsid w:val="00190505"/>
    <w:rsid w:val="00191B92"/>
    <w:rsid w:val="00193DEA"/>
    <w:rsid w:val="00194253"/>
    <w:rsid w:val="00194B92"/>
    <w:rsid w:val="0019596E"/>
    <w:rsid w:val="00196A4F"/>
    <w:rsid w:val="00197BEC"/>
    <w:rsid w:val="001A0973"/>
    <w:rsid w:val="001A2DD9"/>
    <w:rsid w:val="001A4A81"/>
    <w:rsid w:val="001B2C54"/>
    <w:rsid w:val="001B4BFD"/>
    <w:rsid w:val="001B7BBF"/>
    <w:rsid w:val="001C06B0"/>
    <w:rsid w:val="001C245E"/>
    <w:rsid w:val="001C3039"/>
    <w:rsid w:val="001C4504"/>
    <w:rsid w:val="001C56FC"/>
    <w:rsid w:val="001C59F2"/>
    <w:rsid w:val="001D229C"/>
    <w:rsid w:val="001D5928"/>
    <w:rsid w:val="001D5F8B"/>
    <w:rsid w:val="001D6393"/>
    <w:rsid w:val="001D650E"/>
    <w:rsid w:val="001E12C0"/>
    <w:rsid w:val="001E374F"/>
    <w:rsid w:val="001E38E6"/>
    <w:rsid w:val="001E3BD1"/>
    <w:rsid w:val="001E5D84"/>
    <w:rsid w:val="001E6DDA"/>
    <w:rsid w:val="001F3B70"/>
    <w:rsid w:val="001F68E8"/>
    <w:rsid w:val="001F7115"/>
    <w:rsid w:val="0020088B"/>
    <w:rsid w:val="002039C4"/>
    <w:rsid w:val="00203C57"/>
    <w:rsid w:val="00203EA6"/>
    <w:rsid w:val="002056E0"/>
    <w:rsid w:val="00206768"/>
    <w:rsid w:val="00207746"/>
    <w:rsid w:val="0020779E"/>
    <w:rsid w:val="00214733"/>
    <w:rsid w:val="00214F3F"/>
    <w:rsid w:val="002155E2"/>
    <w:rsid w:val="002211DA"/>
    <w:rsid w:val="0022133B"/>
    <w:rsid w:val="00221AC5"/>
    <w:rsid w:val="0022399E"/>
    <w:rsid w:val="00226B5E"/>
    <w:rsid w:val="00226FD1"/>
    <w:rsid w:val="0022711D"/>
    <w:rsid w:val="0023291A"/>
    <w:rsid w:val="00233C70"/>
    <w:rsid w:val="00234D5F"/>
    <w:rsid w:val="00240F49"/>
    <w:rsid w:val="00241AA1"/>
    <w:rsid w:val="00241E5B"/>
    <w:rsid w:val="002426E2"/>
    <w:rsid w:val="00242B4C"/>
    <w:rsid w:val="00242F5F"/>
    <w:rsid w:val="00244106"/>
    <w:rsid w:val="00244B89"/>
    <w:rsid w:val="00247A8A"/>
    <w:rsid w:val="00251EEC"/>
    <w:rsid w:val="00253532"/>
    <w:rsid w:val="00253535"/>
    <w:rsid w:val="002543FB"/>
    <w:rsid w:val="00254D78"/>
    <w:rsid w:val="00254E20"/>
    <w:rsid w:val="00255923"/>
    <w:rsid w:val="0025745C"/>
    <w:rsid w:val="00261892"/>
    <w:rsid w:val="00261DBD"/>
    <w:rsid w:val="00263546"/>
    <w:rsid w:val="00263815"/>
    <w:rsid w:val="00263DE2"/>
    <w:rsid w:val="00265754"/>
    <w:rsid w:val="002661A0"/>
    <w:rsid w:val="00266331"/>
    <w:rsid w:val="00266636"/>
    <w:rsid w:val="00266835"/>
    <w:rsid w:val="0026765D"/>
    <w:rsid w:val="00270665"/>
    <w:rsid w:val="00275AB1"/>
    <w:rsid w:val="00276346"/>
    <w:rsid w:val="00276C64"/>
    <w:rsid w:val="00281FA7"/>
    <w:rsid w:val="00284B1D"/>
    <w:rsid w:val="00286449"/>
    <w:rsid w:val="002951D9"/>
    <w:rsid w:val="002953D6"/>
    <w:rsid w:val="002977E9"/>
    <w:rsid w:val="002A0958"/>
    <w:rsid w:val="002A2FC3"/>
    <w:rsid w:val="002A469D"/>
    <w:rsid w:val="002A4A3B"/>
    <w:rsid w:val="002A4ACA"/>
    <w:rsid w:val="002A5FDA"/>
    <w:rsid w:val="002A6950"/>
    <w:rsid w:val="002A6E1B"/>
    <w:rsid w:val="002B0690"/>
    <w:rsid w:val="002B190F"/>
    <w:rsid w:val="002B267E"/>
    <w:rsid w:val="002B2F39"/>
    <w:rsid w:val="002B30FB"/>
    <w:rsid w:val="002B3116"/>
    <w:rsid w:val="002B3329"/>
    <w:rsid w:val="002B4ABA"/>
    <w:rsid w:val="002B4BB2"/>
    <w:rsid w:val="002B561F"/>
    <w:rsid w:val="002B6278"/>
    <w:rsid w:val="002B65EE"/>
    <w:rsid w:val="002B722E"/>
    <w:rsid w:val="002C0F40"/>
    <w:rsid w:val="002C2453"/>
    <w:rsid w:val="002C4ACE"/>
    <w:rsid w:val="002D0D57"/>
    <w:rsid w:val="002D12B3"/>
    <w:rsid w:val="002D1959"/>
    <w:rsid w:val="002D4012"/>
    <w:rsid w:val="002D5049"/>
    <w:rsid w:val="002E126E"/>
    <w:rsid w:val="002E3604"/>
    <w:rsid w:val="002E4948"/>
    <w:rsid w:val="002E6CEB"/>
    <w:rsid w:val="002E74EC"/>
    <w:rsid w:val="002F0F74"/>
    <w:rsid w:val="002F10E8"/>
    <w:rsid w:val="002F1888"/>
    <w:rsid w:val="002F1E37"/>
    <w:rsid w:val="002F293A"/>
    <w:rsid w:val="002F2EE3"/>
    <w:rsid w:val="002F4424"/>
    <w:rsid w:val="002F55BE"/>
    <w:rsid w:val="002F57DA"/>
    <w:rsid w:val="002F5851"/>
    <w:rsid w:val="003000A0"/>
    <w:rsid w:val="00304066"/>
    <w:rsid w:val="00304EEA"/>
    <w:rsid w:val="00306418"/>
    <w:rsid w:val="00306EA4"/>
    <w:rsid w:val="003109E0"/>
    <w:rsid w:val="00312FE0"/>
    <w:rsid w:val="003130AC"/>
    <w:rsid w:val="00313137"/>
    <w:rsid w:val="00314E8B"/>
    <w:rsid w:val="00317FA2"/>
    <w:rsid w:val="00323F1C"/>
    <w:rsid w:val="0032786D"/>
    <w:rsid w:val="0033762B"/>
    <w:rsid w:val="0034150C"/>
    <w:rsid w:val="00343B0E"/>
    <w:rsid w:val="00344110"/>
    <w:rsid w:val="00344FD6"/>
    <w:rsid w:val="003453B2"/>
    <w:rsid w:val="00345453"/>
    <w:rsid w:val="0034582E"/>
    <w:rsid w:val="003465FD"/>
    <w:rsid w:val="0034738B"/>
    <w:rsid w:val="00347474"/>
    <w:rsid w:val="0034754E"/>
    <w:rsid w:val="00347558"/>
    <w:rsid w:val="00347AC9"/>
    <w:rsid w:val="00350402"/>
    <w:rsid w:val="00351987"/>
    <w:rsid w:val="00352043"/>
    <w:rsid w:val="00353A8E"/>
    <w:rsid w:val="00353A9D"/>
    <w:rsid w:val="00354490"/>
    <w:rsid w:val="003555E4"/>
    <w:rsid w:val="00357DCE"/>
    <w:rsid w:val="00362158"/>
    <w:rsid w:val="0036529F"/>
    <w:rsid w:val="0037132D"/>
    <w:rsid w:val="0037210D"/>
    <w:rsid w:val="003778B6"/>
    <w:rsid w:val="00381232"/>
    <w:rsid w:val="003839CB"/>
    <w:rsid w:val="00384D5E"/>
    <w:rsid w:val="00386A4E"/>
    <w:rsid w:val="00391805"/>
    <w:rsid w:val="00391EF5"/>
    <w:rsid w:val="00392C8F"/>
    <w:rsid w:val="00395413"/>
    <w:rsid w:val="00396065"/>
    <w:rsid w:val="00396F48"/>
    <w:rsid w:val="003A011B"/>
    <w:rsid w:val="003A0A4C"/>
    <w:rsid w:val="003A1220"/>
    <w:rsid w:val="003B230C"/>
    <w:rsid w:val="003B281A"/>
    <w:rsid w:val="003B3109"/>
    <w:rsid w:val="003B3ED3"/>
    <w:rsid w:val="003B4425"/>
    <w:rsid w:val="003B4539"/>
    <w:rsid w:val="003B5905"/>
    <w:rsid w:val="003C014D"/>
    <w:rsid w:val="003C1A83"/>
    <w:rsid w:val="003C3852"/>
    <w:rsid w:val="003C3F66"/>
    <w:rsid w:val="003C4A7C"/>
    <w:rsid w:val="003C4B3A"/>
    <w:rsid w:val="003D4725"/>
    <w:rsid w:val="003D5051"/>
    <w:rsid w:val="003D5167"/>
    <w:rsid w:val="003D59ED"/>
    <w:rsid w:val="003D5D7F"/>
    <w:rsid w:val="003D6EF3"/>
    <w:rsid w:val="003D7BD7"/>
    <w:rsid w:val="003E0700"/>
    <w:rsid w:val="003E2E4E"/>
    <w:rsid w:val="003E3399"/>
    <w:rsid w:val="003E68FF"/>
    <w:rsid w:val="003F0DA1"/>
    <w:rsid w:val="003F508D"/>
    <w:rsid w:val="003F6225"/>
    <w:rsid w:val="003F671F"/>
    <w:rsid w:val="00400EE4"/>
    <w:rsid w:val="0040166E"/>
    <w:rsid w:val="0040312A"/>
    <w:rsid w:val="00405CEF"/>
    <w:rsid w:val="00406A08"/>
    <w:rsid w:val="00406E35"/>
    <w:rsid w:val="00407367"/>
    <w:rsid w:val="00410857"/>
    <w:rsid w:val="00411006"/>
    <w:rsid w:val="00411FD0"/>
    <w:rsid w:val="00412321"/>
    <w:rsid w:val="00412330"/>
    <w:rsid w:val="00414811"/>
    <w:rsid w:val="00417500"/>
    <w:rsid w:val="004175CE"/>
    <w:rsid w:val="004236A0"/>
    <w:rsid w:val="00423872"/>
    <w:rsid w:val="004263E5"/>
    <w:rsid w:val="004321C3"/>
    <w:rsid w:val="00432606"/>
    <w:rsid w:val="00433946"/>
    <w:rsid w:val="0043430A"/>
    <w:rsid w:val="00434A96"/>
    <w:rsid w:val="00434DD2"/>
    <w:rsid w:val="00434FF4"/>
    <w:rsid w:val="0043554E"/>
    <w:rsid w:val="00435905"/>
    <w:rsid w:val="00436A13"/>
    <w:rsid w:val="004429D4"/>
    <w:rsid w:val="00443B03"/>
    <w:rsid w:val="00443C94"/>
    <w:rsid w:val="00443D3D"/>
    <w:rsid w:val="00443E36"/>
    <w:rsid w:val="004444BC"/>
    <w:rsid w:val="0044522B"/>
    <w:rsid w:val="00445B68"/>
    <w:rsid w:val="0045075E"/>
    <w:rsid w:val="00452769"/>
    <w:rsid w:val="0045444A"/>
    <w:rsid w:val="00456B5E"/>
    <w:rsid w:val="00464E4E"/>
    <w:rsid w:val="00465F6D"/>
    <w:rsid w:val="004675C3"/>
    <w:rsid w:val="00471835"/>
    <w:rsid w:val="004723DA"/>
    <w:rsid w:val="0047776D"/>
    <w:rsid w:val="004804E3"/>
    <w:rsid w:val="00481386"/>
    <w:rsid w:val="00484036"/>
    <w:rsid w:val="00484B5E"/>
    <w:rsid w:val="00485D93"/>
    <w:rsid w:val="0048612F"/>
    <w:rsid w:val="004906AC"/>
    <w:rsid w:val="004914BD"/>
    <w:rsid w:val="00491957"/>
    <w:rsid w:val="004931FB"/>
    <w:rsid w:val="00493F78"/>
    <w:rsid w:val="00496A45"/>
    <w:rsid w:val="004972A4"/>
    <w:rsid w:val="004B04C8"/>
    <w:rsid w:val="004B315C"/>
    <w:rsid w:val="004B5E26"/>
    <w:rsid w:val="004B62A1"/>
    <w:rsid w:val="004B6615"/>
    <w:rsid w:val="004C05A8"/>
    <w:rsid w:val="004C0C8C"/>
    <w:rsid w:val="004C27F0"/>
    <w:rsid w:val="004C3CF2"/>
    <w:rsid w:val="004C438E"/>
    <w:rsid w:val="004C47A7"/>
    <w:rsid w:val="004C5ECA"/>
    <w:rsid w:val="004C68BE"/>
    <w:rsid w:val="004C747F"/>
    <w:rsid w:val="004C7D2C"/>
    <w:rsid w:val="004D3F66"/>
    <w:rsid w:val="004D44EF"/>
    <w:rsid w:val="004D4D07"/>
    <w:rsid w:val="004D77AF"/>
    <w:rsid w:val="004E2113"/>
    <w:rsid w:val="004E2ECB"/>
    <w:rsid w:val="004E340D"/>
    <w:rsid w:val="004E3D85"/>
    <w:rsid w:val="004E4EE2"/>
    <w:rsid w:val="004E5162"/>
    <w:rsid w:val="004E682D"/>
    <w:rsid w:val="004E7671"/>
    <w:rsid w:val="004F0978"/>
    <w:rsid w:val="004F0EC7"/>
    <w:rsid w:val="004F10C9"/>
    <w:rsid w:val="004F3745"/>
    <w:rsid w:val="004F39B5"/>
    <w:rsid w:val="004F7668"/>
    <w:rsid w:val="004F7F94"/>
    <w:rsid w:val="00502628"/>
    <w:rsid w:val="00503B8B"/>
    <w:rsid w:val="00504176"/>
    <w:rsid w:val="00504A00"/>
    <w:rsid w:val="00505069"/>
    <w:rsid w:val="00507DF1"/>
    <w:rsid w:val="00510867"/>
    <w:rsid w:val="00510DF6"/>
    <w:rsid w:val="005112B4"/>
    <w:rsid w:val="005117F7"/>
    <w:rsid w:val="00512D5E"/>
    <w:rsid w:val="00513E19"/>
    <w:rsid w:val="00515026"/>
    <w:rsid w:val="0051569A"/>
    <w:rsid w:val="0051786B"/>
    <w:rsid w:val="00521712"/>
    <w:rsid w:val="005234C1"/>
    <w:rsid w:val="00523772"/>
    <w:rsid w:val="0052537C"/>
    <w:rsid w:val="0052587D"/>
    <w:rsid w:val="00525CDE"/>
    <w:rsid w:val="00526A11"/>
    <w:rsid w:val="00530538"/>
    <w:rsid w:val="00530862"/>
    <w:rsid w:val="005338CC"/>
    <w:rsid w:val="005348AC"/>
    <w:rsid w:val="005350F4"/>
    <w:rsid w:val="00535DDA"/>
    <w:rsid w:val="00536061"/>
    <w:rsid w:val="005367E0"/>
    <w:rsid w:val="00536A65"/>
    <w:rsid w:val="00540E00"/>
    <w:rsid w:val="0054418B"/>
    <w:rsid w:val="00544413"/>
    <w:rsid w:val="00544F61"/>
    <w:rsid w:val="00547446"/>
    <w:rsid w:val="00552CAA"/>
    <w:rsid w:val="00552E72"/>
    <w:rsid w:val="00555430"/>
    <w:rsid w:val="0056069F"/>
    <w:rsid w:val="005608D7"/>
    <w:rsid w:val="00562A1A"/>
    <w:rsid w:val="005632F5"/>
    <w:rsid w:val="00565323"/>
    <w:rsid w:val="0056600A"/>
    <w:rsid w:val="00566763"/>
    <w:rsid w:val="00567C1E"/>
    <w:rsid w:val="0057032C"/>
    <w:rsid w:val="005724A8"/>
    <w:rsid w:val="0057324D"/>
    <w:rsid w:val="005739DD"/>
    <w:rsid w:val="005813F7"/>
    <w:rsid w:val="005815E0"/>
    <w:rsid w:val="00581794"/>
    <w:rsid w:val="00583AE5"/>
    <w:rsid w:val="005847BE"/>
    <w:rsid w:val="0058556A"/>
    <w:rsid w:val="00587B60"/>
    <w:rsid w:val="005909B9"/>
    <w:rsid w:val="00591BA1"/>
    <w:rsid w:val="0059248A"/>
    <w:rsid w:val="0059393F"/>
    <w:rsid w:val="00596D27"/>
    <w:rsid w:val="005A02B4"/>
    <w:rsid w:val="005A1FCD"/>
    <w:rsid w:val="005A2D3F"/>
    <w:rsid w:val="005A3D4A"/>
    <w:rsid w:val="005A4990"/>
    <w:rsid w:val="005A6D22"/>
    <w:rsid w:val="005A6D61"/>
    <w:rsid w:val="005A6EA2"/>
    <w:rsid w:val="005A71D6"/>
    <w:rsid w:val="005A73E4"/>
    <w:rsid w:val="005B01F4"/>
    <w:rsid w:val="005B462B"/>
    <w:rsid w:val="005B76AC"/>
    <w:rsid w:val="005B7D4B"/>
    <w:rsid w:val="005C0AB0"/>
    <w:rsid w:val="005C0D74"/>
    <w:rsid w:val="005C555F"/>
    <w:rsid w:val="005C5B8A"/>
    <w:rsid w:val="005C6745"/>
    <w:rsid w:val="005D2863"/>
    <w:rsid w:val="005D31C4"/>
    <w:rsid w:val="005E0651"/>
    <w:rsid w:val="005E1F6A"/>
    <w:rsid w:val="005E3330"/>
    <w:rsid w:val="005E39EF"/>
    <w:rsid w:val="005E3A5F"/>
    <w:rsid w:val="005E3E8E"/>
    <w:rsid w:val="005E44F7"/>
    <w:rsid w:val="005E5133"/>
    <w:rsid w:val="005E64A5"/>
    <w:rsid w:val="005F1475"/>
    <w:rsid w:val="005F2E15"/>
    <w:rsid w:val="005F3B6F"/>
    <w:rsid w:val="005F4279"/>
    <w:rsid w:val="005F53B6"/>
    <w:rsid w:val="006009F7"/>
    <w:rsid w:val="00600D46"/>
    <w:rsid w:val="006045C0"/>
    <w:rsid w:val="0060541E"/>
    <w:rsid w:val="00605601"/>
    <w:rsid w:val="00612B2B"/>
    <w:rsid w:val="006148CD"/>
    <w:rsid w:val="006153C5"/>
    <w:rsid w:val="0061771A"/>
    <w:rsid w:val="00617E52"/>
    <w:rsid w:val="006211BB"/>
    <w:rsid w:val="0063014A"/>
    <w:rsid w:val="006315D5"/>
    <w:rsid w:val="00632196"/>
    <w:rsid w:val="00632D0E"/>
    <w:rsid w:val="00641099"/>
    <w:rsid w:val="006421D6"/>
    <w:rsid w:val="00642842"/>
    <w:rsid w:val="00644922"/>
    <w:rsid w:val="006449B1"/>
    <w:rsid w:val="00644C33"/>
    <w:rsid w:val="00646F3A"/>
    <w:rsid w:val="006470E5"/>
    <w:rsid w:val="00651701"/>
    <w:rsid w:val="006528F8"/>
    <w:rsid w:val="00654414"/>
    <w:rsid w:val="0065735B"/>
    <w:rsid w:val="00657920"/>
    <w:rsid w:val="00660074"/>
    <w:rsid w:val="00661851"/>
    <w:rsid w:val="00661A54"/>
    <w:rsid w:val="006633E6"/>
    <w:rsid w:val="00664438"/>
    <w:rsid w:val="00665A37"/>
    <w:rsid w:val="00670C52"/>
    <w:rsid w:val="006721D3"/>
    <w:rsid w:val="00672FA9"/>
    <w:rsid w:val="00674486"/>
    <w:rsid w:val="00674DB1"/>
    <w:rsid w:val="006760E5"/>
    <w:rsid w:val="00676D2B"/>
    <w:rsid w:val="00676E0E"/>
    <w:rsid w:val="0067704A"/>
    <w:rsid w:val="006812F3"/>
    <w:rsid w:val="00682BEC"/>
    <w:rsid w:val="00683718"/>
    <w:rsid w:val="006837B0"/>
    <w:rsid w:val="00684EE2"/>
    <w:rsid w:val="00691B9F"/>
    <w:rsid w:val="00694031"/>
    <w:rsid w:val="0069611A"/>
    <w:rsid w:val="00696F07"/>
    <w:rsid w:val="00697EBF"/>
    <w:rsid w:val="006A2638"/>
    <w:rsid w:val="006A2755"/>
    <w:rsid w:val="006A436C"/>
    <w:rsid w:val="006A579F"/>
    <w:rsid w:val="006B36FA"/>
    <w:rsid w:val="006B71A5"/>
    <w:rsid w:val="006B7853"/>
    <w:rsid w:val="006B7B62"/>
    <w:rsid w:val="006C03D3"/>
    <w:rsid w:val="006C0A85"/>
    <w:rsid w:val="006C2921"/>
    <w:rsid w:val="006C357B"/>
    <w:rsid w:val="006C539A"/>
    <w:rsid w:val="006C63C7"/>
    <w:rsid w:val="006C6EB9"/>
    <w:rsid w:val="006D1492"/>
    <w:rsid w:val="006D235A"/>
    <w:rsid w:val="006D3E3A"/>
    <w:rsid w:val="006D4A14"/>
    <w:rsid w:val="006D4AF0"/>
    <w:rsid w:val="006D4FF6"/>
    <w:rsid w:val="006D553B"/>
    <w:rsid w:val="006D7C03"/>
    <w:rsid w:val="006E054A"/>
    <w:rsid w:val="006E1146"/>
    <w:rsid w:val="006E1C62"/>
    <w:rsid w:val="006E246A"/>
    <w:rsid w:val="006E3192"/>
    <w:rsid w:val="006E3880"/>
    <w:rsid w:val="006E6436"/>
    <w:rsid w:val="006F3B4C"/>
    <w:rsid w:val="006F5EA9"/>
    <w:rsid w:val="006F6271"/>
    <w:rsid w:val="006F678F"/>
    <w:rsid w:val="006F6E42"/>
    <w:rsid w:val="007002E1"/>
    <w:rsid w:val="00701310"/>
    <w:rsid w:val="007020B7"/>
    <w:rsid w:val="00704A65"/>
    <w:rsid w:val="00704C63"/>
    <w:rsid w:val="00710DCA"/>
    <w:rsid w:val="00712A9C"/>
    <w:rsid w:val="00716CD3"/>
    <w:rsid w:val="00716F6E"/>
    <w:rsid w:val="007173AA"/>
    <w:rsid w:val="00720AA3"/>
    <w:rsid w:val="00721540"/>
    <w:rsid w:val="00723718"/>
    <w:rsid w:val="00723B85"/>
    <w:rsid w:val="00726961"/>
    <w:rsid w:val="00730562"/>
    <w:rsid w:val="0073139C"/>
    <w:rsid w:val="00732171"/>
    <w:rsid w:val="00733451"/>
    <w:rsid w:val="00733846"/>
    <w:rsid w:val="00733F5D"/>
    <w:rsid w:val="00736367"/>
    <w:rsid w:val="00737B8F"/>
    <w:rsid w:val="00737D69"/>
    <w:rsid w:val="00740365"/>
    <w:rsid w:val="007414FF"/>
    <w:rsid w:val="00742A6C"/>
    <w:rsid w:val="00743BAA"/>
    <w:rsid w:val="007452DA"/>
    <w:rsid w:val="0074718B"/>
    <w:rsid w:val="007473FB"/>
    <w:rsid w:val="007507EF"/>
    <w:rsid w:val="0075345C"/>
    <w:rsid w:val="007554CD"/>
    <w:rsid w:val="00757B39"/>
    <w:rsid w:val="00763FDC"/>
    <w:rsid w:val="00766848"/>
    <w:rsid w:val="0076738D"/>
    <w:rsid w:val="007702E7"/>
    <w:rsid w:val="00770D19"/>
    <w:rsid w:val="00770F07"/>
    <w:rsid w:val="007710C9"/>
    <w:rsid w:val="00773867"/>
    <w:rsid w:val="00776AD8"/>
    <w:rsid w:val="007805B9"/>
    <w:rsid w:val="007810C8"/>
    <w:rsid w:val="007814CF"/>
    <w:rsid w:val="00781823"/>
    <w:rsid w:val="007829E2"/>
    <w:rsid w:val="007829F9"/>
    <w:rsid w:val="007834C8"/>
    <w:rsid w:val="00783759"/>
    <w:rsid w:val="00784E78"/>
    <w:rsid w:val="00791173"/>
    <w:rsid w:val="00792097"/>
    <w:rsid w:val="007923E9"/>
    <w:rsid w:val="007927C7"/>
    <w:rsid w:val="00794D4F"/>
    <w:rsid w:val="00796C71"/>
    <w:rsid w:val="00797EBB"/>
    <w:rsid w:val="007A0979"/>
    <w:rsid w:val="007A16F7"/>
    <w:rsid w:val="007A2A06"/>
    <w:rsid w:val="007A4E74"/>
    <w:rsid w:val="007A5864"/>
    <w:rsid w:val="007A6A28"/>
    <w:rsid w:val="007A6B79"/>
    <w:rsid w:val="007A6D95"/>
    <w:rsid w:val="007A77DA"/>
    <w:rsid w:val="007B0167"/>
    <w:rsid w:val="007B1BEA"/>
    <w:rsid w:val="007B675C"/>
    <w:rsid w:val="007B6BA4"/>
    <w:rsid w:val="007C44D6"/>
    <w:rsid w:val="007C4845"/>
    <w:rsid w:val="007C4AEF"/>
    <w:rsid w:val="007C4CA1"/>
    <w:rsid w:val="007C61F0"/>
    <w:rsid w:val="007C630C"/>
    <w:rsid w:val="007C68A2"/>
    <w:rsid w:val="007C724E"/>
    <w:rsid w:val="007D07D5"/>
    <w:rsid w:val="007D398E"/>
    <w:rsid w:val="007D4D52"/>
    <w:rsid w:val="007D53FA"/>
    <w:rsid w:val="007D5639"/>
    <w:rsid w:val="007D68FB"/>
    <w:rsid w:val="007D7BF4"/>
    <w:rsid w:val="007E05DC"/>
    <w:rsid w:val="007E22BA"/>
    <w:rsid w:val="007E2B4C"/>
    <w:rsid w:val="007E2B98"/>
    <w:rsid w:val="007E2D02"/>
    <w:rsid w:val="007E42E6"/>
    <w:rsid w:val="007E52CF"/>
    <w:rsid w:val="007E69DF"/>
    <w:rsid w:val="007E7D85"/>
    <w:rsid w:val="007F2B6F"/>
    <w:rsid w:val="007F3A89"/>
    <w:rsid w:val="007F470F"/>
    <w:rsid w:val="007F5BB3"/>
    <w:rsid w:val="008029AC"/>
    <w:rsid w:val="00803EA0"/>
    <w:rsid w:val="008043D4"/>
    <w:rsid w:val="008056A8"/>
    <w:rsid w:val="00805A52"/>
    <w:rsid w:val="008071B1"/>
    <w:rsid w:val="00807F53"/>
    <w:rsid w:val="00811FBE"/>
    <w:rsid w:val="008130AE"/>
    <w:rsid w:val="0081385F"/>
    <w:rsid w:val="00816561"/>
    <w:rsid w:val="00816DBC"/>
    <w:rsid w:val="00817849"/>
    <w:rsid w:val="00817D8B"/>
    <w:rsid w:val="008204D7"/>
    <w:rsid w:val="00821156"/>
    <w:rsid w:val="00821704"/>
    <w:rsid w:val="00822C4D"/>
    <w:rsid w:val="00822E5E"/>
    <w:rsid w:val="00823216"/>
    <w:rsid w:val="00823D2D"/>
    <w:rsid w:val="00824770"/>
    <w:rsid w:val="008250E3"/>
    <w:rsid w:val="00825209"/>
    <w:rsid w:val="00826E25"/>
    <w:rsid w:val="00827513"/>
    <w:rsid w:val="008275F2"/>
    <w:rsid w:val="0083276D"/>
    <w:rsid w:val="0084208F"/>
    <w:rsid w:val="00842B48"/>
    <w:rsid w:val="008439B9"/>
    <w:rsid w:val="00844D41"/>
    <w:rsid w:val="0084524D"/>
    <w:rsid w:val="0084584C"/>
    <w:rsid w:val="00847E05"/>
    <w:rsid w:val="00850B00"/>
    <w:rsid w:val="00852AEF"/>
    <w:rsid w:val="00853383"/>
    <w:rsid w:val="00854445"/>
    <w:rsid w:val="008548A0"/>
    <w:rsid w:val="00854EBF"/>
    <w:rsid w:val="00863E50"/>
    <w:rsid w:val="00864147"/>
    <w:rsid w:val="00870D66"/>
    <w:rsid w:val="00870FA7"/>
    <w:rsid w:val="00870FC4"/>
    <w:rsid w:val="008718F7"/>
    <w:rsid w:val="00871D61"/>
    <w:rsid w:val="00872DFC"/>
    <w:rsid w:val="008736A0"/>
    <w:rsid w:val="008743E0"/>
    <w:rsid w:val="00874623"/>
    <w:rsid w:val="0087523A"/>
    <w:rsid w:val="008763AB"/>
    <w:rsid w:val="00880BCC"/>
    <w:rsid w:val="00880D0D"/>
    <w:rsid w:val="00881063"/>
    <w:rsid w:val="0088108E"/>
    <w:rsid w:val="00884542"/>
    <w:rsid w:val="00885848"/>
    <w:rsid w:val="00892AB7"/>
    <w:rsid w:val="00893315"/>
    <w:rsid w:val="00894EBF"/>
    <w:rsid w:val="008A0FEC"/>
    <w:rsid w:val="008A239D"/>
    <w:rsid w:val="008A333D"/>
    <w:rsid w:val="008A4F22"/>
    <w:rsid w:val="008A50DB"/>
    <w:rsid w:val="008A5A67"/>
    <w:rsid w:val="008A6232"/>
    <w:rsid w:val="008A6E67"/>
    <w:rsid w:val="008B0B5C"/>
    <w:rsid w:val="008B0E17"/>
    <w:rsid w:val="008B1FFC"/>
    <w:rsid w:val="008B22C6"/>
    <w:rsid w:val="008B2501"/>
    <w:rsid w:val="008B2A63"/>
    <w:rsid w:val="008B2DFA"/>
    <w:rsid w:val="008B3B6A"/>
    <w:rsid w:val="008B3C54"/>
    <w:rsid w:val="008B66C4"/>
    <w:rsid w:val="008B69B0"/>
    <w:rsid w:val="008C0896"/>
    <w:rsid w:val="008C1EFB"/>
    <w:rsid w:val="008C2F8D"/>
    <w:rsid w:val="008C3549"/>
    <w:rsid w:val="008C7AC4"/>
    <w:rsid w:val="008C7BDB"/>
    <w:rsid w:val="008C7DC7"/>
    <w:rsid w:val="008D07C6"/>
    <w:rsid w:val="008D07C7"/>
    <w:rsid w:val="008D21D8"/>
    <w:rsid w:val="008D32C9"/>
    <w:rsid w:val="008D5A8C"/>
    <w:rsid w:val="008D6380"/>
    <w:rsid w:val="008D65B7"/>
    <w:rsid w:val="008D7C73"/>
    <w:rsid w:val="008D7C8B"/>
    <w:rsid w:val="008E04A1"/>
    <w:rsid w:val="008E208A"/>
    <w:rsid w:val="008E360A"/>
    <w:rsid w:val="008E3E5B"/>
    <w:rsid w:val="008E491C"/>
    <w:rsid w:val="008E508D"/>
    <w:rsid w:val="008E63D0"/>
    <w:rsid w:val="008E6A70"/>
    <w:rsid w:val="008F1E88"/>
    <w:rsid w:val="008F2461"/>
    <w:rsid w:val="008F313E"/>
    <w:rsid w:val="008F36BF"/>
    <w:rsid w:val="008F5025"/>
    <w:rsid w:val="008F5F68"/>
    <w:rsid w:val="008F72B1"/>
    <w:rsid w:val="00901A80"/>
    <w:rsid w:val="00903F8E"/>
    <w:rsid w:val="0090453A"/>
    <w:rsid w:val="00904850"/>
    <w:rsid w:val="009054A1"/>
    <w:rsid w:val="009079D4"/>
    <w:rsid w:val="00911CEA"/>
    <w:rsid w:val="0091249D"/>
    <w:rsid w:val="009142D2"/>
    <w:rsid w:val="0091571F"/>
    <w:rsid w:val="00917B6E"/>
    <w:rsid w:val="00920BD8"/>
    <w:rsid w:val="00921C48"/>
    <w:rsid w:val="00921E59"/>
    <w:rsid w:val="00921F33"/>
    <w:rsid w:val="0092265F"/>
    <w:rsid w:val="00922F5F"/>
    <w:rsid w:val="00922FD0"/>
    <w:rsid w:val="00927F30"/>
    <w:rsid w:val="00930F01"/>
    <w:rsid w:val="0093134E"/>
    <w:rsid w:val="0093189D"/>
    <w:rsid w:val="00931CC4"/>
    <w:rsid w:val="00932CDF"/>
    <w:rsid w:val="00933561"/>
    <w:rsid w:val="009348D6"/>
    <w:rsid w:val="00935856"/>
    <w:rsid w:val="00935ED5"/>
    <w:rsid w:val="00936D7A"/>
    <w:rsid w:val="009424C9"/>
    <w:rsid w:val="009432A1"/>
    <w:rsid w:val="009437CC"/>
    <w:rsid w:val="00944919"/>
    <w:rsid w:val="009457CF"/>
    <w:rsid w:val="00945B3E"/>
    <w:rsid w:val="0094612C"/>
    <w:rsid w:val="00946810"/>
    <w:rsid w:val="00951431"/>
    <w:rsid w:val="0095372C"/>
    <w:rsid w:val="009539C1"/>
    <w:rsid w:val="00955915"/>
    <w:rsid w:val="00956503"/>
    <w:rsid w:val="00960E47"/>
    <w:rsid w:val="009611F3"/>
    <w:rsid w:val="0096181C"/>
    <w:rsid w:val="00962C9C"/>
    <w:rsid w:val="009646D2"/>
    <w:rsid w:val="00964BAE"/>
    <w:rsid w:val="00965555"/>
    <w:rsid w:val="009708AA"/>
    <w:rsid w:val="00971987"/>
    <w:rsid w:val="00971C87"/>
    <w:rsid w:val="00977EFB"/>
    <w:rsid w:val="009834E2"/>
    <w:rsid w:val="00985088"/>
    <w:rsid w:val="00990B09"/>
    <w:rsid w:val="00990BC1"/>
    <w:rsid w:val="00992D78"/>
    <w:rsid w:val="00992E31"/>
    <w:rsid w:val="009934F4"/>
    <w:rsid w:val="00994B63"/>
    <w:rsid w:val="00995156"/>
    <w:rsid w:val="0099566A"/>
    <w:rsid w:val="00996BC2"/>
    <w:rsid w:val="009A0752"/>
    <w:rsid w:val="009A0D8B"/>
    <w:rsid w:val="009A1F4F"/>
    <w:rsid w:val="009A2D2E"/>
    <w:rsid w:val="009A33AD"/>
    <w:rsid w:val="009A350D"/>
    <w:rsid w:val="009A5BCA"/>
    <w:rsid w:val="009A7AFC"/>
    <w:rsid w:val="009B0D5E"/>
    <w:rsid w:val="009B0F48"/>
    <w:rsid w:val="009B18E1"/>
    <w:rsid w:val="009B1BC0"/>
    <w:rsid w:val="009B2090"/>
    <w:rsid w:val="009B235E"/>
    <w:rsid w:val="009B353E"/>
    <w:rsid w:val="009B4C5A"/>
    <w:rsid w:val="009B50BF"/>
    <w:rsid w:val="009B61EF"/>
    <w:rsid w:val="009C0676"/>
    <w:rsid w:val="009C2550"/>
    <w:rsid w:val="009C2728"/>
    <w:rsid w:val="009C2DD4"/>
    <w:rsid w:val="009C2F9D"/>
    <w:rsid w:val="009C609C"/>
    <w:rsid w:val="009C65AD"/>
    <w:rsid w:val="009C7AC0"/>
    <w:rsid w:val="009C7D95"/>
    <w:rsid w:val="009D1056"/>
    <w:rsid w:val="009D2AE5"/>
    <w:rsid w:val="009D5BBD"/>
    <w:rsid w:val="009D633B"/>
    <w:rsid w:val="009E06B9"/>
    <w:rsid w:val="009E0986"/>
    <w:rsid w:val="009E24B6"/>
    <w:rsid w:val="009E25C4"/>
    <w:rsid w:val="009E2A95"/>
    <w:rsid w:val="009E2F5E"/>
    <w:rsid w:val="009E4326"/>
    <w:rsid w:val="009E4C05"/>
    <w:rsid w:val="009E7920"/>
    <w:rsid w:val="009E795D"/>
    <w:rsid w:val="009F0DEE"/>
    <w:rsid w:val="009F3B0E"/>
    <w:rsid w:val="009F543C"/>
    <w:rsid w:val="009F6982"/>
    <w:rsid w:val="009F7FDC"/>
    <w:rsid w:val="00A00CD3"/>
    <w:rsid w:val="00A01308"/>
    <w:rsid w:val="00A0272A"/>
    <w:rsid w:val="00A03169"/>
    <w:rsid w:val="00A05D64"/>
    <w:rsid w:val="00A07715"/>
    <w:rsid w:val="00A1056E"/>
    <w:rsid w:val="00A113A3"/>
    <w:rsid w:val="00A11783"/>
    <w:rsid w:val="00A11FE5"/>
    <w:rsid w:val="00A14F32"/>
    <w:rsid w:val="00A1524A"/>
    <w:rsid w:val="00A16DA7"/>
    <w:rsid w:val="00A16F24"/>
    <w:rsid w:val="00A17774"/>
    <w:rsid w:val="00A24316"/>
    <w:rsid w:val="00A2619F"/>
    <w:rsid w:val="00A26554"/>
    <w:rsid w:val="00A32DAD"/>
    <w:rsid w:val="00A345B9"/>
    <w:rsid w:val="00A36333"/>
    <w:rsid w:val="00A3789C"/>
    <w:rsid w:val="00A41AD7"/>
    <w:rsid w:val="00A425C7"/>
    <w:rsid w:val="00A4404C"/>
    <w:rsid w:val="00A44976"/>
    <w:rsid w:val="00A46655"/>
    <w:rsid w:val="00A47409"/>
    <w:rsid w:val="00A513BE"/>
    <w:rsid w:val="00A517A5"/>
    <w:rsid w:val="00A54321"/>
    <w:rsid w:val="00A56603"/>
    <w:rsid w:val="00A56680"/>
    <w:rsid w:val="00A61B78"/>
    <w:rsid w:val="00A61BC3"/>
    <w:rsid w:val="00A623A7"/>
    <w:rsid w:val="00A63064"/>
    <w:rsid w:val="00A6421D"/>
    <w:rsid w:val="00A64363"/>
    <w:rsid w:val="00A644AF"/>
    <w:rsid w:val="00A64899"/>
    <w:rsid w:val="00A64A43"/>
    <w:rsid w:val="00A6696E"/>
    <w:rsid w:val="00A67D7D"/>
    <w:rsid w:val="00A70F2C"/>
    <w:rsid w:val="00A722F1"/>
    <w:rsid w:val="00A7431D"/>
    <w:rsid w:val="00A7741C"/>
    <w:rsid w:val="00A77A1A"/>
    <w:rsid w:val="00A8197A"/>
    <w:rsid w:val="00A84D97"/>
    <w:rsid w:val="00A86B62"/>
    <w:rsid w:val="00A873F8"/>
    <w:rsid w:val="00A91629"/>
    <w:rsid w:val="00A91A91"/>
    <w:rsid w:val="00A91B12"/>
    <w:rsid w:val="00A93AD2"/>
    <w:rsid w:val="00A93E7F"/>
    <w:rsid w:val="00A94249"/>
    <w:rsid w:val="00A96D6F"/>
    <w:rsid w:val="00A97FBA"/>
    <w:rsid w:val="00AA1DB2"/>
    <w:rsid w:val="00AA2425"/>
    <w:rsid w:val="00AA4697"/>
    <w:rsid w:val="00AA4C51"/>
    <w:rsid w:val="00AA6F05"/>
    <w:rsid w:val="00AA74CB"/>
    <w:rsid w:val="00AB026E"/>
    <w:rsid w:val="00AB2FCE"/>
    <w:rsid w:val="00AB40EB"/>
    <w:rsid w:val="00AC4EBA"/>
    <w:rsid w:val="00AC5D71"/>
    <w:rsid w:val="00AC78F1"/>
    <w:rsid w:val="00AD4E9E"/>
    <w:rsid w:val="00AD53E7"/>
    <w:rsid w:val="00AD6BC5"/>
    <w:rsid w:val="00AE03BB"/>
    <w:rsid w:val="00AE10CC"/>
    <w:rsid w:val="00AE1300"/>
    <w:rsid w:val="00AE26F8"/>
    <w:rsid w:val="00AE37A4"/>
    <w:rsid w:val="00AE52CC"/>
    <w:rsid w:val="00AE5300"/>
    <w:rsid w:val="00AE5878"/>
    <w:rsid w:val="00AE69FE"/>
    <w:rsid w:val="00AE6C7E"/>
    <w:rsid w:val="00AE779E"/>
    <w:rsid w:val="00AE7F07"/>
    <w:rsid w:val="00AF0378"/>
    <w:rsid w:val="00AF1214"/>
    <w:rsid w:val="00AF1ADD"/>
    <w:rsid w:val="00AF2264"/>
    <w:rsid w:val="00AF2ADD"/>
    <w:rsid w:val="00AF3B58"/>
    <w:rsid w:val="00AF4919"/>
    <w:rsid w:val="00AF7AE9"/>
    <w:rsid w:val="00AF7D8E"/>
    <w:rsid w:val="00B0196D"/>
    <w:rsid w:val="00B02FAC"/>
    <w:rsid w:val="00B03ACA"/>
    <w:rsid w:val="00B05E5F"/>
    <w:rsid w:val="00B05FE7"/>
    <w:rsid w:val="00B11288"/>
    <w:rsid w:val="00B13C11"/>
    <w:rsid w:val="00B14170"/>
    <w:rsid w:val="00B14F0C"/>
    <w:rsid w:val="00B15C61"/>
    <w:rsid w:val="00B15C81"/>
    <w:rsid w:val="00B1629B"/>
    <w:rsid w:val="00B16E08"/>
    <w:rsid w:val="00B21B87"/>
    <w:rsid w:val="00B235B3"/>
    <w:rsid w:val="00B24230"/>
    <w:rsid w:val="00B24D32"/>
    <w:rsid w:val="00B25B15"/>
    <w:rsid w:val="00B2783F"/>
    <w:rsid w:val="00B30AD1"/>
    <w:rsid w:val="00B316F6"/>
    <w:rsid w:val="00B325FA"/>
    <w:rsid w:val="00B333D4"/>
    <w:rsid w:val="00B34386"/>
    <w:rsid w:val="00B345A3"/>
    <w:rsid w:val="00B357F1"/>
    <w:rsid w:val="00B3726C"/>
    <w:rsid w:val="00B410FF"/>
    <w:rsid w:val="00B41E34"/>
    <w:rsid w:val="00B4315A"/>
    <w:rsid w:val="00B43241"/>
    <w:rsid w:val="00B432AE"/>
    <w:rsid w:val="00B456F0"/>
    <w:rsid w:val="00B52407"/>
    <w:rsid w:val="00B551A6"/>
    <w:rsid w:val="00B57BFB"/>
    <w:rsid w:val="00B57DD4"/>
    <w:rsid w:val="00B63FD7"/>
    <w:rsid w:val="00B66D9E"/>
    <w:rsid w:val="00B67672"/>
    <w:rsid w:val="00B72CD9"/>
    <w:rsid w:val="00B7304A"/>
    <w:rsid w:val="00B7337A"/>
    <w:rsid w:val="00B736A3"/>
    <w:rsid w:val="00B76DD7"/>
    <w:rsid w:val="00B77E1E"/>
    <w:rsid w:val="00B831C5"/>
    <w:rsid w:val="00B864C1"/>
    <w:rsid w:val="00B87173"/>
    <w:rsid w:val="00B87552"/>
    <w:rsid w:val="00B931B1"/>
    <w:rsid w:val="00B93D3C"/>
    <w:rsid w:val="00B93DBC"/>
    <w:rsid w:val="00B94E84"/>
    <w:rsid w:val="00B95B69"/>
    <w:rsid w:val="00B964D3"/>
    <w:rsid w:val="00B96B4A"/>
    <w:rsid w:val="00BA0920"/>
    <w:rsid w:val="00BA137D"/>
    <w:rsid w:val="00BA2F97"/>
    <w:rsid w:val="00BA35FC"/>
    <w:rsid w:val="00BB2760"/>
    <w:rsid w:val="00BB502E"/>
    <w:rsid w:val="00BB6B16"/>
    <w:rsid w:val="00BC2A6D"/>
    <w:rsid w:val="00BC4281"/>
    <w:rsid w:val="00BC61DD"/>
    <w:rsid w:val="00BC65FA"/>
    <w:rsid w:val="00BC753C"/>
    <w:rsid w:val="00BC7CD3"/>
    <w:rsid w:val="00BD24D3"/>
    <w:rsid w:val="00BD36BD"/>
    <w:rsid w:val="00BD58B4"/>
    <w:rsid w:val="00BD635B"/>
    <w:rsid w:val="00BD6BAF"/>
    <w:rsid w:val="00BD6EAE"/>
    <w:rsid w:val="00BE28B8"/>
    <w:rsid w:val="00BE2C96"/>
    <w:rsid w:val="00BE555D"/>
    <w:rsid w:val="00BE7992"/>
    <w:rsid w:val="00BE7E61"/>
    <w:rsid w:val="00BF2622"/>
    <w:rsid w:val="00BF2D4F"/>
    <w:rsid w:val="00BF3B1B"/>
    <w:rsid w:val="00BF47A7"/>
    <w:rsid w:val="00BF4C2E"/>
    <w:rsid w:val="00C010AC"/>
    <w:rsid w:val="00C0276F"/>
    <w:rsid w:val="00C029E1"/>
    <w:rsid w:val="00C05920"/>
    <w:rsid w:val="00C05E34"/>
    <w:rsid w:val="00C06481"/>
    <w:rsid w:val="00C07ADC"/>
    <w:rsid w:val="00C1080C"/>
    <w:rsid w:val="00C117DE"/>
    <w:rsid w:val="00C1332F"/>
    <w:rsid w:val="00C1336B"/>
    <w:rsid w:val="00C13B60"/>
    <w:rsid w:val="00C13B77"/>
    <w:rsid w:val="00C15D7E"/>
    <w:rsid w:val="00C17794"/>
    <w:rsid w:val="00C210DD"/>
    <w:rsid w:val="00C22564"/>
    <w:rsid w:val="00C23645"/>
    <w:rsid w:val="00C26B60"/>
    <w:rsid w:val="00C27C6B"/>
    <w:rsid w:val="00C3005A"/>
    <w:rsid w:val="00C30245"/>
    <w:rsid w:val="00C30DF2"/>
    <w:rsid w:val="00C31D0A"/>
    <w:rsid w:val="00C351E0"/>
    <w:rsid w:val="00C36BAF"/>
    <w:rsid w:val="00C36F50"/>
    <w:rsid w:val="00C401BC"/>
    <w:rsid w:val="00C42F48"/>
    <w:rsid w:val="00C43F09"/>
    <w:rsid w:val="00C43FF5"/>
    <w:rsid w:val="00C4432B"/>
    <w:rsid w:val="00C459DE"/>
    <w:rsid w:val="00C4600D"/>
    <w:rsid w:val="00C47003"/>
    <w:rsid w:val="00C51BB9"/>
    <w:rsid w:val="00C5329E"/>
    <w:rsid w:val="00C53BE6"/>
    <w:rsid w:val="00C60BF1"/>
    <w:rsid w:val="00C61866"/>
    <w:rsid w:val="00C6237F"/>
    <w:rsid w:val="00C640DA"/>
    <w:rsid w:val="00C64CB3"/>
    <w:rsid w:val="00C67C84"/>
    <w:rsid w:val="00C708F7"/>
    <w:rsid w:val="00C71AED"/>
    <w:rsid w:val="00C71CD3"/>
    <w:rsid w:val="00C7293F"/>
    <w:rsid w:val="00C74425"/>
    <w:rsid w:val="00C74BCD"/>
    <w:rsid w:val="00C75DF1"/>
    <w:rsid w:val="00C77BE5"/>
    <w:rsid w:val="00C832EF"/>
    <w:rsid w:val="00C841DD"/>
    <w:rsid w:val="00C85F36"/>
    <w:rsid w:val="00C907B1"/>
    <w:rsid w:val="00C90BC7"/>
    <w:rsid w:val="00C90C59"/>
    <w:rsid w:val="00C9145E"/>
    <w:rsid w:val="00C91A90"/>
    <w:rsid w:val="00C96C59"/>
    <w:rsid w:val="00C97061"/>
    <w:rsid w:val="00CA67CE"/>
    <w:rsid w:val="00CA6884"/>
    <w:rsid w:val="00CB239F"/>
    <w:rsid w:val="00CB491C"/>
    <w:rsid w:val="00CB4F46"/>
    <w:rsid w:val="00CB5938"/>
    <w:rsid w:val="00CC13D1"/>
    <w:rsid w:val="00CC1834"/>
    <w:rsid w:val="00CC2622"/>
    <w:rsid w:val="00CC262A"/>
    <w:rsid w:val="00CC5028"/>
    <w:rsid w:val="00CC5E94"/>
    <w:rsid w:val="00CC66F6"/>
    <w:rsid w:val="00CC6AE3"/>
    <w:rsid w:val="00CD0EBB"/>
    <w:rsid w:val="00CD137B"/>
    <w:rsid w:val="00CD1990"/>
    <w:rsid w:val="00CD1BDA"/>
    <w:rsid w:val="00CD2682"/>
    <w:rsid w:val="00CD30A6"/>
    <w:rsid w:val="00CD4E5D"/>
    <w:rsid w:val="00CD4FEC"/>
    <w:rsid w:val="00CD58F2"/>
    <w:rsid w:val="00CE1A95"/>
    <w:rsid w:val="00CE1F38"/>
    <w:rsid w:val="00CE3443"/>
    <w:rsid w:val="00CE450F"/>
    <w:rsid w:val="00CE4914"/>
    <w:rsid w:val="00CE6610"/>
    <w:rsid w:val="00CE7662"/>
    <w:rsid w:val="00CF0C56"/>
    <w:rsid w:val="00CF0D78"/>
    <w:rsid w:val="00CF1404"/>
    <w:rsid w:val="00CF1710"/>
    <w:rsid w:val="00CF1776"/>
    <w:rsid w:val="00CF37A7"/>
    <w:rsid w:val="00CF600B"/>
    <w:rsid w:val="00CF6533"/>
    <w:rsid w:val="00D01188"/>
    <w:rsid w:val="00D013DA"/>
    <w:rsid w:val="00D01CF3"/>
    <w:rsid w:val="00D04165"/>
    <w:rsid w:val="00D07B9B"/>
    <w:rsid w:val="00D07F09"/>
    <w:rsid w:val="00D1266C"/>
    <w:rsid w:val="00D13ADE"/>
    <w:rsid w:val="00D13BDC"/>
    <w:rsid w:val="00D14B4F"/>
    <w:rsid w:val="00D15202"/>
    <w:rsid w:val="00D170D4"/>
    <w:rsid w:val="00D1786A"/>
    <w:rsid w:val="00D24FAC"/>
    <w:rsid w:val="00D25784"/>
    <w:rsid w:val="00D27FD9"/>
    <w:rsid w:val="00D31D17"/>
    <w:rsid w:val="00D33099"/>
    <w:rsid w:val="00D33B5A"/>
    <w:rsid w:val="00D35E8C"/>
    <w:rsid w:val="00D36628"/>
    <w:rsid w:val="00D43280"/>
    <w:rsid w:val="00D44099"/>
    <w:rsid w:val="00D44C80"/>
    <w:rsid w:val="00D453EA"/>
    <w:rsid w:val="00D45AEF"/>
    <w:rsid w:val="00D462A9"/>
    <w:rsid w:val="00D47F50"/>
    <w:rsid w:val="00D5121D"/>
    <w:rsid w:val="00D53DE0"/>
    <w:rsid w:val="00D53EA2"/>
    <w:rsid w:val="00D54413"/>
    <w:rsid w:val="00D56968"/>
    <w:rsid w:val="00D572C0"/>
    <w:rsid w:val="00D57549"/>
    <w:rsid w:val="00D6035C"/>
    <w:rsid w:val="00D62965"/>
    <w:rsid w:val="00D6450B"/>
    <w:rsid w:val="00D67869"/>
    <w:rsid w:val="00D70456"/>
    <w:rsid w:val="00D70BF3"/>
    <w:rsid w:val="00D70C72"/>
    <w:rsid w:val="00D711F0"/>
    <w:rsid w:val="00D7292C"/>
    <w:rsid w:val="00D7302E"/>
    <w:rsid w:val="00D7318E"/>
    <w:rsid w:val="00D825A6"/>
    <w:rsid w:val="00D8296B"/>
    <w:rsid w:val="00D832EC"/>
    <w:rsid w:val="00D8461B"/>
    <w:rsid w:val="00D90077"/>
    <w:rsid w:val="00D91302"/>
    <w:rsid w:val="00D95437"/>
    <w:rsid w:val="00D9684D"/>
    <w:rsid w:val="00DA00E1"/>
    <w:rsid w:val="00DA03F0"/>
    <w:rsid w:val="00DA5057"/>
    <w:rsid w:val="00DA5D3E"/>
    <w:rsid w:val="00DA6101"/>
    <w:rsid w:val="00DA7EAE"/>
    <w:rsid w:val="00DB03FA"/>
    <w:rsid w:val="00DB1832"/>
    <w:rsid w:val="00DB2EE9"/>
    <w:rsid w:val="00DB41F9"/>
    <w:rsid w:val="00DB5BC1"/>
    <w:rsid w:val="00DB7715"/>
    <w:rsid w:val="00DC0A99"/>
    <w:rsid w:val="00DC1CB4"/>
    <w:rsid w:val="00DC1CE9"/>
    <w:rsid w:val="00DC3000"/>
    <w:rsid w:val="00DC6964"/>
    <w:rsid w:val="00DC77B6"/>
    <w:rsid w:val="00DD13E0"/>
    <w:rsid w:val="00DD1794"/>
    <w:rsid w:val="00DD25A5"/>
    <w:rsid w:val="00DD28EA"/>
    <w:rsid w:val="00DD313C"/>
    <w:rsid w:val="00DD3A80"/>
    <w:rsid w:val="00DD45CA"/>
    <w:rsid w:val="00DD5D2B"/>
    <w:rsid w:val="00DD5D46"/>
    <w:rsid w:val="00DE005E"/>
    <w:rsid w:val="00DE1291"/>
    <w:rsid w:val="00DE2781"/>
    <w:rsid w:val="00DE3A22"/>
    <w:rsid w:val="00DE4382"/>
    <w:rsid w:val="00DE4C84"/>
    <w:rsid w:val="00DE5BD3"/>
    <w:rsid w:val="00DE6EEA"/>
    <w:rsid w:val="00DE76E4"/>
    <w:rsid w:val="00DF0A6C"/>
    <w:rsid w:val="00DF1EE2"/>
    <w:rsid w:val="00DF4F35"/>
    <w:rsid w:val="00DF5665"/>
    <w:rsid w:val="00DF60B4"/>
    <w:rsid w:val="00DF7792"/>
    <w:rsid w:val="00E0064F"/>
    <w:rsid w:val="00E04903"/>
    <w:rsid w:val="00E06066"/>
    <w:rsid w:val="00E11495"/>
    <w:rsid w:val="00E11FD8"/>
    <w:rsid w:val="00E15F3C"/>
    <w:rsid w:val="00E16150"/>
    <w:rsid w:val="00E1662F"/>
    <w:rsid w:val="00E215A5"/>
    <w:rsid w:val="00E22326"/>
    <w:rsid w:val="00E22359"/>
    <w:rsid w:val="00E22FA0"/>
    <w:rsid w:val="00E23157"/>
    <w:rsid w:val="00E26683"/>
    <w:rsid w:val="00E26EDC"/>
    <w:rsid w:val="00E31BC4"/>
    <w:rsid w:val="00E40B73"/>
    <w:rsid w:val="00E41CA4"/>
    <w:rsid w:val="00E41DDA"/>
    <w:rsid w:val="00E42552"/>
    <w:rsid w:val="00E42887"/>
    <w:rsid w:val="00E506E3"/>
    <w:rsid w:val="00E5341B"/>
    <w:rsid w:val="00E53A1C"/>
    <w:rsid w:val="00E53B7D"/>
    <w:rsid w:val="00E54633"/>
    <w:rsid w:val="00E54970"/>
    <w:rsid w:val="00E55859"/>
    <w:rsid w:val="00E6225B"/>
    <w:rsid w:val="00E65759"/>
    <w:rsid w:val="00E65CDD"/>
    <w:rsid w:val="00E66C83"/>
    <w:rsid w:val="00E674E8"/>
    <w:rsid w:val="00E704FF"/>
    <w:rsid w:val="00E7174A"/>
    <w:rsid w:val="00E71862"/>
    <w:rsid w:val="00E71FC9"/>
    <w:rsid w:val="00E7210B"/>
    <w:rsid w:val="00E75799"/>
    <w:rsid w:val="00E77C27"/>
    <w:rsid w:val="00E8099F"/>
    <w:rsid w:val="00E82743"/>
    <w:rsid w:val="00E860DC"/>
    <w:rsid w:val="00E86CA9"/>
    <w:rsid w:val="00E873BF"/>
    <w:rsid w:val="00E87874"/>
    <w:rsid w:val="00E90145"/>
    <w:rsid w:val="00E92916"/>
    <w:rsid w:val="00E947F2"/>
    <w:rsid w:val="00E94BA8"/>
    <w:rsid w:val="00E950FD"/>
    <w:rsid w:val="00E9635B"/>
    <w:rsid w:val="00EA05C9"/>
    <w:rsid w:val="00EA3869"/>
    <w:rsid w:val="00EA6800"/>
    <w:rsid w:val="00EA6B16"/>
    <w:rsid w:val="00EA6C6F"/>
    <w:rsid w:val="00EA7B25"/>
    <w:rsid w:val="00EB40EE"/>
    <w:rsid w:val="00EB45A4"/>
    <w:rsid w:val="00EB5F0E"/>
    <w:rsid w:val="00EB66D7"/>
    <w:rsid w:val="00EB68E4"/>
    <w:rsid w:val="00EC0A8C"/>
    <w:rsid w:val="00EC1326"/>
    <w:rsid w:val="00EC3248"/>
    <w:rsid w:val="00EC33A6"/>
    <w:rsid w:val="00EC41CB"/>
    <w:rsid w:val="00EC4FA9"/>
    <w:rsid w:val="00EC5DF5"/>
    <w:rsid w:val="00ED01BA"/>
    <w:rsid w:val="00ED0F15"/>
    <w:rsid w:val="00ED3285"/>
    <w:rsid w:val="00ED50A7"/>
    <w:rsid w:val="00ED5940"/>
    <w:rsid w:val="00ED70ED"/>
    <w:rsid w:val="00ED7CCD"/>
    <w:rsid w:val="00ED7DFD"/>
    <w:rsid w:val="00EE112F"/>
    <w:rsid w:val="00EE181F"/>
    <w:rsid w:val="00EE4AB7"/>
    <w:rsid w:val="00EE55C0"/>
    <w:rsid w:val="00EE6AC9"/>
    <w:rsid w:val="00EE7DD5"/>
    <w:rsid w:val="00EF2B18"/>
    <w:rsid w:val="00EF3428"/>
    <w:rsid w:val="00EF582A"/>
    <w:rsid w:val="00EF5C43"/>
    <w:rsid w:val="00EF6747"/>
    <w:rsid w:val="00EF7254"/>
    <w:rsid w:val="00F00780"/>
    <w:rsid w:val="00F010BB"/>
    <w:rsid w:val="00F02E0E"/>
    <w:rsid w:val="00F06E37"/>
    <w:rsid w:val="00F10CC0"/>
    <w:rsid w:val="00F10D3E"/>
    <w:rsid w:val="00F1120A"/>
    <w:rsid w:val="00F113C5"/>
    <w:rsid w:val="00F12F5C"/>
    <w:rsid w:val="00F1426B"/>
    <w:rsid w:val="00F15914"/>
    <w:rsid w:val="00F161A5"/>
    <w:rsid w:val="00F17F6E"/>
    <w:rsid w:val="00F205FE"/>
    <w:rsid w:val="00F2228B"/>
    <w:rsid w:val="00F223B1"/>
    <w:rsid w:val="00F2296F"/>
    <w:rsid w:val="00F23114"/>
    <w:rsid w:val="00F23274"/>
    <w:rsid w:val="00F26B80"/>
    <w:rsid w:val="00F31D9C"/>
    <w:rsid w:val="00F3271D"/>
    <w:rsid w:val="00F34D48"/>
    <w:rsid w:val="00F3553C"/>
    <w:rsid w:val="00F35CC1"/>
    <w:rsid w:val="00F36079"/>
    <w:rsid w:val="00F37C16"/>
    <w:rsid w:val="00F407BF"/>
    <w:rsid w:val="00F41B4D"/>
    <w:rsid w:val="00F42910"/>
    <w:rsid w:val="00F4692E"/>
    <w:rsid w:val="00F50413"/>
    <w:rsid w:val="00F51D5C"/>
    <w:rsid w:val="00F56885"/>
    <w:rsid w:val="00F569F9"/>
    <w:rsid w:val="00F56FA8"/>
    <w:rsid w:val="00F612B5"/>
    <w:rsid w:val="00F612F2"/>
    <w:rsid w:val="00F62E4B"/>
    <w:rsid w:val="00F63475"/>
    <w:rsid w:val="00F65A8D"/>
    <w:rsid w:val="00F65E9F"/>
    <w:rsid w:val="00F676D3"/>
    <w:rsid w:val="00F7292D"/>
    <w:rsid w:val="00F737B8"/>
    <w:rsid w:val="00F7389E"/>
    <w:rsid w:val="00F75BA6"/>
    <w:rsid w:val="00F7675C"/>
    <w:rsid w:val="00F8193A"/>
    <w:rsid w:val="00F8293E"/>
    <w:rsid w:val="00F90A2E"/>
    <w:rsid w:val="00F918AB"/>
    <w:rsid w:val="00F939A4"/>
    <w:rsid w:val="00F94A77"/>
    <w:rsid w:val="00F96341"/>
    <w:rsid w:val="00F9786C"/>
    <w:rsid w:val="00FA14D4"/>
    <w:rsid w:val="00FA1EC1"/>
    <w:rsid w:val="00FA31E5"/>
    <w:rsid w:val="00FA4C96"/>
    <w:rsid w:val="00FA5143"/>
    <w:rsid w:val="00FA5632"/>
    <w:rsid w:val="00FA72F5"/>
    <w:rsid w:val="00FA7E18"/>
    <w:rsid w:val="00FB09C7"/>
    <w:rsid w:val="00FB0A54"/>
    <w:rsid w:val="00FB246F"/>
    <w:rsid w:val="00FB2D8B"/>
    <w:rsid w:val="00FB3084"/>
    <w:rsid w:val="00FB43CE"/>
    <w:rsid w:val="00FB453C"/>
    <w:rsid w:val="00FB5401"/>
    <w:rsid w:val="00FB78A1"/>
    <w:rsid w:val="00FC0CA3"/>
    <w:rsid w:val="00FC2E6F"/>
    <w:rsid w:val="00FC3209"/>
    <w:rsid w:val="00FC34F3"/>
    <w:rsid w:val="00FC3978"/>
    <w:rsid w:val="00FC40F8"/>
    <w:rsid w:val="00FC5C29"/>
    <w:rsid w:val="00FC7571"/>
    <w:rsid w:val="00FD0B3C"/>
    <w:rsid w:val="00FD0EEA"/>
    <w:rsid w:val="00FD162C"/>
    <w:rsid w:val="00FD175B"/>
    <w:rsid w:val="00FD18C5"/>
    <w:rsid w:val="00FD2F05"/>
    <w:rsid w:val="00FD3812"/>
    <w:rsid w:val="00FD53C7"/>
    <w:rsid w:val="00FD6AF9"/>
    <w:rsid w:val="00FE02C7"/>
    <w:rsid w:val="00FE2898"/>
    <w:rsid w:val="00FE35C1"/>
    <w:rsid w:val="00FE40EB"/>
    <w:rsid w:val="00FE4434"/>
    <w:rsid w:val="00FF1049"/>
    <w:rsid w:val="00FF49C9"/>
    <w:rsid w:val="00FF53B6"/>
    <w:rsid w:val="00FF5646"/>
    <w:rsid w:val="00FF5886"/>
    <w:rsid w:val="00FF6148"/>
    <w:rsid w:val="00FF6D01"/>
    <w:rsid w:val="00FF7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25863A4"/>
  <w15:docId w15:val="{8EFB0593-0D96-48F9-AE08-0A0952E1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5FD"/>
    <w:rPr>
      <w:rFonts w:ascii="Open Sans" w:hAnsi="Open Sans"/>
      <w:sz w:val="28"/>
    </w:rPr>
  </w:style>
  <w:style w:type="paragraph" w:styleId="Heading1">
    <w:name w:val="heading 1"/>
    <w:basedOn w:val="Normal"/>
    <w:link w:val="Heading1Char"/>
    <w:uiPriority w:val="4"/>
    <w:qFormat/>
    <w:rsid w:val="000F0B9D"/>
    <w:pPr>
      <w:keepNext/>
      <w:spacing w:before="240" w:after="60" w:line="276" w:lineRule="auto"/>
      <w:outlineLvl w:val="0"/>
    </w:pPr>
    <w:rPr>
      <w:rFonts w:eastAsiaTheme="majorEastAsia" w:cstheme="majorBidi"/>
      <w:b/>
      <w:color w:val="323E4F" w:themeColor="text2" w:themeShade="BF"/>
      <w:kern w:val="28"/>
      <w:sz w:val="44"/>
      <w:szCs w:val="32"/>
      <w:lang w:val="en-US"/>
    </w:rPr>
  </w:style>
  <w:style w:type="paragraph" w:styleId="Heading2">
    <w:name w:val="heading 2"/>
    <w:basedOn w:val="Normal"/>
    <w:next w:val="Normal"/>
    <w:link w:val="Heading2Char"/>
    <w:uiPriority w:val="9"/>
    <w:unhideWhenUsed/>
    <w:qFormat/>
    <w:rsid w:val="003465FD"/>
    <w:pPr>
      <w:keepNext/>
      <w:keepLines/>
      <w:spacing w:before="40" w:after="0"/>
      <w:outlineLvl w:val="1"/>
    </w:pPr>
    <w:rPr>
      <w:rFonts w:eastAsiaTheme="majorEastAsia"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251EEC"/>
    <w:pPr>
      <w:keepNext/>
      <w:keepLines/>
      <w:spacing w:before="40" w:after="0"/>
      <w:outlineLvl w:val="2"/>
    </w:pPr>
    <w:rPr>
      <w:rFonts w:eastAsiaTheme="majorEastAsia" w:cstheme="majorBidi"/>
      <w:i/>
      <w:color w:val="1F3763" w:themeColor="accent1" w:themeShade="7F"/>
      <w:sz w:val="32"/>
      <w:szCs w:val="24"/>
    </w:rPr>
  </w:style>
  <w:style w:type="paragraph" w:styleId="Heading4">
    <w:name w:val="heading 4"/>
    <w:basedOn w:val="Normal"/>
    <w:next w:val="Normal"/>
    <w:link w:val="Heading4Char"/>
    <w:uiPriority w:val="9"/>
    <w:unhideWhenUsed/>
    <w:qFormat/>
    <w:rsid w:val="00651701"/>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F0B9D"/>
    <w:pPr>
      <w:spacing w:after="200" w:line="240" w:lineRule="auto"/>
    </w:pPr>
    <w:rPr>
      <w:rFonts w:eastAsiaTheme="majorEastAsia" w:cstheme="majorBidi"/>
      <w:b/>
      <w:bCs/>
      <w:color w:val="44546A" w:themeColor="text2"/>
      <w:sz w:val="72"/>
      <w:szCs w:val="52"/>
      <w:lang w:val="en-US"/>
    </w:rPr>
  </w:style>
  <w:style w:type="character" w:customStyle="1" w:styleId="TitleChar">
    <w:name w:val="Title Char"/>
    <w:basedOn w:val="DefaultParagraphFont"/>
    <w:link w:val="Title"/>
    <w:uiPriority w:val="1"/>
    <w:rsid w:val="000F0B9D"/>
    <w:rPr>
      <w:rFonts w:ascii="Open Sans" w:eastAsiaTheme="majorEastAsia" w:hAnsi="Open Sans" w:cstheme="majorBidi"/>
      <w:b/>
      <w:bCs/>
      <w:color w:val="44546A" w:themeColor="text2"/>
      <w:sz w:val="72"/>
      <w:szCs w:val="52"/>
      <w:lang w:val="en-US"/>
    </w:rPr>
  </w:style>
  <w:style w:type="character" w:customStyle="1" w:styleId="Heading1Char">
    <w:name w:val="Heading 1 Char"/>
    <w:basedOn w:val="DefaultParagraphFont"/>
    <w:link w:val="Heading1"/>
    <w:uiPriority w:val="4"/>
    <w:rsid w:val="000F0B9D"/>
    <w:rPr>
      <w:rFonts w:ascii="Open Sans" w:eastAsiaTheme="majorEastAsia" w:hAnsi="Open Sans" w:cstheme="majorBidi"/>
      <w:b/>
      <w:color w:val="323E4F" w:themeColor="text2" w:themeShade="BF"/>
      <w:kern w:val="28"/>
      <w:sz w:val="44"/>
      <w:szCs w:val="32"/>
      <w:lang w:val="en-US"/>
    </w:rPr>
  </w:style>
  <w:style w:type="paragraph" w:styleId="Subtitle">
    <w:name w:val="Subtitle"/>
    <w:basedOn w:val="Normal"/>
    <w:link w:val="SubtitleChar"/>
    <w:uiPriority w:val="2"/>
    <w:qFormat/>
    <w:rsid w:val="003465FD"/>
    <w:pPr>
      <w:framePr w:hSpace="180" w:wrap="around" w:vAnchor="text" w:hAnchor="margin" w:y="1167"/>
      <w:spacing w:after="0" w:line="276" w:lineRule="auto"/>
    </w:pPr>
    <w:rPr>
      <w:rFonts w:eastAsiaTheme="minorEastAsia"/>
      <w:caps/>
      <w:color w:val="44546A" w:themeColor="text2"/>
      <w:spacing w:val="20"/>
      <w:sz w:val="32"/>
      <w:lang w:val="en-US"/>
    </w:rPr>
  </w:style>
  <w:style w:type="character" w:customStyle="1" w:styleId="SubtitleChar">
    <w:name w:val="Subtitle Char"/>
    <w:basedOn w:val="DefaultParagraphFont"/>
    <w:link w:val="Subtitle"/>
    <w:uiPriority w:val="2"/>
    <w:rsid w:val="003465FD"/>
    <w:rPr>
      <w:rFonts w:ascii="Open Sans" w:eastAsiaTheme="minorEastAsia" w:hAnsi="Open Sans"/>
      <w:caps/>
      <w:color w:val="44546A" w:themeColor="text2"/>
      <w:spacing w:val="20"/>
      <w:sz w:val="32"/>
      <w:lang w:val="en-US"/>
    </w:rPr>
  </w:style>
  <w:style w:type="paragraph" w:customStyle="1" w:styleId="Content">
    <w:name w:val="Content"/>
    <w:basedOn w:val="Normal"/>
    <w:link w:val="ContentChar"/>
    <w:qFormat/>
    <w:rsid w:val="00730562"/>
    <w:pPr>
      <w:spacing w:before="240" w:after="240" w:line="360" w:lineRule="auto"/>
    </w:pPr>
    <w:rPr>
      <w:rFonts w:eastAsiaTheme="minorEastAsia"/>
      <w:color w:val="000000" w:themeColor="text1"/>
      <w:lang w:val="en-US"/>
    </w:rPr>
  </w:style>
  <w:style w:type="character" w:customStyle="1" w:styleId="ContentChar">
    <w:name w:val="Content Char"/>
    <w:basedOn w:val="DefaultParagraphFont"/>
    <w:link w:val="Content"/>
    <w:rsid w:val="00730562"/>
    <w:rPr>
      <w:rFonts w:ascii="Open Sans" w:eastAsiaTheme="minorEastAsia" w:hAnsi="Open Sans"/>
      <w:color w:val="000000" w:themeColor="text1"/>
      <w:sz w:val="28"/>
      <w:lang w:val="en-US"/>
    </w:rPr>
  </w:style>
  <w:style w:type="character" w:customStyle="1" w:styleId="Heading2Char">
    <w:name w:val="Heading 2 Char"/>
    <w:basedOn w:val="DefaultParagraphFont"/>
    <w:link w:val="Heading2"/>
    <w:uiPriority w:val="9"/>
    <w:rsid w:val="003465FD"/>
    <w:rPr>
      <w:rFonts w:ascii="Open Sans" w:eastAsiaTheme="majorEastAsia" w:hAnsi="Open Sans" w:cstheme="majorBidi"/>
      <w:b/>
      <w:color w:val="2F5496" w:themeColor="accent1" w:themeShade="BF"/>
      <w:sz w:val="32"/>
      <w:szCs w:val="26"/>
    </w:rPr>
  </w:style>
  <w:style w:type="paragraph" w:styleId="IntenseQuote">
    <w:name w:val="Intense Quote"/>
    <w:basedOn w:val="Normal"/>
    <w:next w:val="Normal"/>
    <w:link w:val="IntenseQuoteChar"/>
    <w:uiPriority w:val="30"/>
    <w:qFormat/>
    <w:rsid w:val="00F7675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7675C"/>
    <w:rPr>
      <w:rFonts w:ascii="Open Sans" w:hAnsi="Open Sans"/>
      <w:i/>
      <w:iCs/>
      <w:color w:val="4472C4" w:themeColor="accent1"/>
      <w:sz w:val="28"/>
    </w:rPr>
  </w:style>
  <w:style w:type="paragraph" w:styleId="Quote">
    <w:name w:val="Quote"/>
    <w:basedOn w:val="Normal"/>
    <w:next w:val="Normal"/>
    <w:link w:val="QuoteChar"/>
    <w:uiPriority w:val="29"/>
    <w:qFormat/>
    <w:rsid w:val="00F7675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7675C"/>
    <w:rPr>
      <w:rFonts w:ascii="Open Sans" w:hAnsi="Open Sans"/>
      <w:i/>
      <w:iCs/>
      <w:color w:val="404040" w:themeColor="text1" w:themeTint="BF"/>
      <w:sz w:val="28"/>
    </w:rPr>
  </w:style>
  <w:style w:type="paragraph" w:styleId="TOCHeading">
    <w:name w:val="TOC Heading"/>
    <w:basedOn w:val="Heading1"/>
    <w:next w:val="Normal"/>
    <w:uiPriority w:val="39"/>
    <w:unhideWhenUsed/>
    <w:qFormat/>
    <w:rsid w:val="006F3B4C"/>
    <w:pPr>
      <w:keepLines/>
      <w:spacing w:after="0" w:line="259" w:lineRule="auto"/>
      <w:outlineLvl w:val="9"/>
    </w:pPr>
    <w:rPr>
      <w:b w:val="0"/>
      <w:color w:val="2F5496" w:themeColor="accent1" w:themeShade="BF"/>
      <w:kern w:val="0"/>
      <w:sz w:val="32"/>
    </w:rPr>
  </w:style>
  <w:style w:type="paragraph" w:styleId="TOC1">
    <w:name w:val="toc 1"/>
    <w:basedOn w:val="Normal"/>
    <w:next w:val="Normal"/>
    <w:autoRedefine/>
    <w:uiPriority w:val="39"/>
    <w:unhideWhenUsed/>
    <w:rsid w:val="006F3B4C"/>
    <w:pPr>
      <w:spacing w:after="100" w:line="276" w:lineRule="auto"/>
    </w:pPr>
    <w:rPr>
      <w:rFonts w:eastAsiaTheme="minorEastAsia"/>
      <w:b/>
      <w:color w:val="44546A" w:themeColor="text2"/>
      <w:lang w:val="en-US"/>
    </w:rPr>
  </w:style>
  <w:style w:type="paragraph" w:styleId="TOC2">
    <w:name w:val="toc 2"/>
    <w:basedOn w:val="Normal"/>
    <w:next w:val="Normal"/>
    <w:autoRedefine/>
    <w:uiPriority w:val="39"/>
    <w:unhideWhenUsed/>
    <w:rsid w:val="006F3B4C"/>
    <w:pPr>
      <w:spacing w:after="100" w:line="276" w:lineRule="auto"/>
      <w:ind w:left="280"/>
    </w:pPr>
    <w:rPr>
      <w:rFonts w:eastAsiaTheme="minorEastAsia"/>
      <w:b/>
      <w:color w:val="44546A" w:themeColor="text2"/>
      <w:lang w:val="en-US"/>
    </w:rPr>
  </w:style>
  <w:style w:type="character" w:styleId="Hyperlink">
    <w:name w:val="Hyperlink"/>
    <w:basedOn w:val="DefaultParagraphFont"/>
    <w:uiPriority w:val="99"/>
    <w:unhideWhenUsed/>
    <w:rsid w:val="006F3B4C"/>
    <w:rPr>
      <w:color w:val="0563C1" w:themeColor="hyperlink"/>
      <w:u w:val="single"/>
    </w:rPr>
  </w:style>
  <w:style w:type="paragraph" w:styleId="TOC3">
    <w:name w:val="toc 3"/>
    <w:basedOn w:val="Normal"/>
    <w:next w:val="Normal"/>
    <w:autoRedefine/>
    <w:uiPriority w:val="39"/>
    <w:unhideWhenUsed/>
    <w:rsid w:val="006F3B4C"/>
    <w:pPr>
      <w:spacing w:after="100" w:line="276" w:lineRule="auto"/>
      <w:ind w:left="560"/>
    </w:pPr>
    <w:rPr>
      <w:rFonts w:eastAsiaTheme="minorEastAsia"/>
      <w:b/>
      <w:color w:val="44546A" w:themeColor="text2"/>
      <w:lang w:val="en-US"/>
    </w:rPr>
  </w:style>
  <w:style w:type="character" w:customStyle="1" w:styleId="Heading3Char">
    <w:name w:val="Heading 3 Char"/>
    <w:basedOn w:val="DefaultParagraphFont"/>
    <w:link w:val="Heading3"/>
    <w:uiPriority w:val="9"/>
    <w:rsid w:val="00251EEC"/>
    <w:rPr>
      <w:rFonts w:ascii="Open Sans" w:eastAsiaTheme="majorEastAsia" w:hAnsi="Open Sans" w:cstheme="majorBidi"/>
      <w:i/>
      <w:color w:val="1F3763" w:themeColor="accent1" w:themeShade="7F"/>
      <w:sz w:val="32"/>
      <w:szCs w:val="24"/>
    </w:rPr>
  </w:style>
  <w:style w:type="paragraph" w:styleId="FootnoteText">
    <w:name w:val="footnote text"/>
    <w:basedOn w:val="Normal"/>
    <w:link w:val="FootnoteTextChar"/>
    <w:uiPriority w:val="99"/>
    <w:semiHidden/>
    <w:unhideWhenUsed/>
    <w:rsid w:val="009B1B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BC0"/>
    <w:rPr>
      <w:rFonts w:ascii="Open Sans" w:hAnsi="Open Sans"/>
      <w:sz w:val="20"/>
      <w:szCs w:val="20"/>
    </w:rPr>
  </w:style>
  <w:style w:type="character" w:styleId="FootnoteReference">
    <w:name w:val="footnote reference"/>
    <w:basedOn w:val="DefaultParagraphFont"/>
    <w:uiPriority w:val="99"/>
    <w:semiHidden/>
    <w:unhideWhenUsed/>
    <w:rsid w:val="009B1BC0"/>
    <w:rPr>
      <w:vertAlign w:val="superscript"/>
    </w:rPr>
  </w:style>
  <w:style w:type="character" w:styleId="UnresolvedMention">
    <w:name w:val="Unresolved Mention"/>
    <w:basedOn w:val="DefaultParagraphFont"/>
    <w:uiPriority w:val="99"/>
    <w:semiHidden/>
    <w:unhideWhenUsed/>
    <w:rsid w:val="00016367"/>
    <w:rPr>
      <w:color w:val="605E5C"/>
      <w:shd w:val="clear" w:color="auto" w:fill="E1DFDD"/>
    </w:rPr>
  </w:style>
  <w:style w:type="character" w:styleId="CommentReference">
    <w:name w:val="annotation reference"/>
    <w:basedOn w:val="DefaultParagraphFont"/>
    <w:uiPriority w:val="99"/>
    <w:semiHidden/>
    <w:unhideWhenUsed/>
    <w:rsid w:val="00D33099"/>
    <w:rPr>
      <w:sz w:val="16"/>
      <w:szCs w:val="16"/>
    </w:rPr>
  </w:style>
  <w:style w:type="paragraph" w:styleId="CommentText">
    <w:name w:val="annotation text"/>
    <w:basedOn w:val="Normal"/>
    <w:link w:val="CommentTextChar"/>
    <w:uiPriority w:val="99"/>
    <w:unhideWhenUsed/>
    <w:rsid w:val="00D33099"/>
    <w:pPr>
      <w:spacing w:line="240" w:lineRule="auto"/>
    </w:pPr>
    <w:rPr>
      <w:sz w:val="20"/>
      <w:szCs w:val="20"/>
    </w:rPr>
  </w:style>
  <w:style w:type="character" w:customStyle="1" w:styleId="CommentTextChar">
    <w:name w:val="Comment Text Char"/>
    <w:basedOn w:val="DefaultParagraphFont"/>
    <w:link w:val="CommentText"/>
    <w:uiPriority w:val="99"/>
    <w:rsid w:val="00D33099"/>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D33099"/>
    <w:rPr>
      <w:b/>
      <w:bCs/>
    </w:rPr>
  </w:style>
  <w:style w:type="character" w:customStyle="1" w:styleId="CommentSubjectChar">
    <w:name w:val="Comment Subject Char"/>
    <w:basedOn w:val="CommentTextChar"/>
    <w:link w:val="CommentSubject"/>
    <w:uiPriority w:val="99"/>
    <w:semiHidden/>
    <w:rsid w:val="00D33099"/>
    <w:rPr>
      <w:rFonts w:ascii="Open Sans" w:hAnsi="Open Sans"/>
      <w:b/>
      <w:bCs/>
      <w:sz w:val="20"/>
      <w:szCs w:val="20"/>
    </w:rPr>
  </w:style>
  <w:style w:type="character" w:customStyle="1" w:styleId="Heading4Char">
    <w:name w:val="Heading 4 Char"/>
    <w:basedOn w:val="DefaultParagraphFont"/>
    <w:link w:val="Heading4"/>
    <w:uiPriority w:val="9"/>
    <w:rsid w:val="00651701"/>
    <w:rPr>
      <w:rFonts w:ascii="Open Sans" w:eastAsiaTheme="majorEastAsia" w:hAnsi="Open Sans" w:cstheme="majorBidi"/>
      <w:i/>
      <w:iCs/>
      <w:color w:val="2F5496" w:themeColor="accent1" w:themeShade="BF"/>
      <w:sz w:val="28"/>
    </w:rPr>
  </w:style>
  <w:style w:type="paragraph" w:styleId="ListParagraph">
    <w:name w:val="List Paragraph"/>
    <w:basedOn w:val="Normal"/>
    <w:uiPriority w:val="34"/>
    <w:qFormat/>
    <w:rsid w:val="004D77AF"/>
    <w:pPr>
      <w:ind w:left="720"/>
      <w:contextualSpacing/>
    </w:pPr>
  </w:style>
  <w:style w:type="table" w:styleId="TableGrid">
    <w:name w:val="Table Grid"/>
    <w:basedOn w:val="TableNormal"/>
    <w:uiPriority w:val="39"/>
    <w:rsid w:val="007B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rcss-1q0x1qg-paragraph">
    <w:name w:val="ssrcss-1q0x1qg-paragraph"/>
    <w:basedOn w:val="Normal"/>
    <w:rsid w:val="003504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dcontent">
    <w:name w:val="markedcontent"/>
    <w:basedOn w:val="DefaultParagraphFont"/>
    <w:rsid w:val="00151C2D"/>
  </w:style>
  <w:style w:type="character" w:styleId="FollowedHyperlink">
    <w:name w:val="FollowedHyperlink"/>
    <w:basedOn w:val="DefaultParagraphFont"/>
    <w:uiPriority w:val="99"/>
    <w:semiHidden/>
    <w:unhideWhenUsed/>
    <w:rsid w:val="00864147"/>
    <w:rPr>
      <w:color w:val="954F72" w:themeColor="followedHyperlink"/>
      <w:u w:val="single"/>
    </w:rPr>
  </w:style>
  <w:style w:type="paragraph" w:styleId="EndnoteText">
    <w:name w:val="endnote text"/>
    <w:basedOn w:val="Normal"/>
    <w:link w:val="EndnoteTextChar"/>
    <w:uiPriority w:val="99"/>
    <w:semiHidden/>
    <w:unhideWhenUsed/>
    <w:rsid w:val="009F54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543C"/>
    <w:rPr>
      <w:rFonts w:ascii="Open Sans" w:hAnsi="Open Sans"/>
      <w:sz w:val="20"/>
      <w:szCs w:val="20"/>
    </w:rPr>
  </w:style>
  <w:style w:type="character" w:styleId="EndnoteReference">
    <w:name w:val="endnote reference"/>
    <w:basedOn w:val="DefaultParagraphFont"/>
    <w:uiPriority w:val="99"/>
    <w:semiHidden/>
    <w:unhideWhenUsed/>
    <w:rsid w:val="009F543C"/>
    <w:rPr>
      <w:vertAlign w:val="superscript"/>
    </w:rPr>
  </w:style>
  <w:style w:type="paragraph" w:styleId="Revision">
    <w:name w:val="Revision"/>
    <w:hidden/>
    <w:uiPriority w:val="99"/>
    <w:semiHidden/>
    <w:rsid w:val="002039C4"/>
    <w:pPr>
      <w:spacing w:after="0" w:line="240" w:lineRule="auto"/>
    </w:pPr>
    <w:rPr>
      <w:rFonts w:ascii="Open Sans" w:hAnsi="Open Sans"/>
      <w:sz w:val="28"/>
    </w:rPr>
  </w:style>
  <w:style w:type="paragraph" w:styleId="Header">
    <w:name w:val="header"/>
    <w:basedOn w:val="Normal"/>
    <w:link w:val="HeaderChar"/>
    <w:uiPriority w:val="99"/>
    <w:unhideWhenUsed/>
    <w:rsid w:val="0044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4BC"/>
    <w:rPr>
      <w:rFonts w:ascii="Open Sans" w:hAnsi="Open Sans"/>
      <w:sz w:val="28"/>
    </w:rPr>
  </w:style>
  <w:style w:type="paragraph" w:styleId="Footer">
    <w:name w:val="footer"/>
    <w:basedOn w:val="Normal"/>
    <w:link w:val="FooterChar"/>
    <w:uiPriority w:val="99"/>
    <w:unhideWhenUsed/>
    <w:rsid w:val="0044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4BC"/>
    <w:rPr>
      <w:rFonts w:ascii="Open Sans" w:hAnsi="Open Sans"/>
      <w:sz w:val="28"/>
    </w:rPr>
  </w:style>
  <w:style w:type="paragraph" w:styleId="NormalWeb">
    <w:name w:val="Normal (Web)"/>
    <w:basedOn w:val="Normal"/>
    <w:uiPriority w:val="99"/>
    <w:semiHidden/>
    <w:unhideWhenUsed/>
    <w:rsid w:val="00F612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B453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23346">
      <w:bodyDiv w:val="1"/>
      <w:marLeft w:val="0"/>
      <w:marRight w:val="0"/>
      <w:marTop w:val="0"/>
      <w:marBottom w:val="0"/>
      <w:divBdr>
        <w:top w:val="none" w:sz="0" w:space="0" w:color="auto"/>
        <w:left w:val="none" w:sz="0" w:space="0" w:color="auto"/>
        <w:bottom w:val="none" w:sz="0" w:space="0" w:color="auto"/>
        <w:right w:val="none" w:sz="0" w:space="0" w:color="auto"/>
      </w:divBdr>
    </w:div>
    <w:div w:id="967781077">
      <w:bodyDiv w:val="1"/>
      <w:marLeft w:val="0"/>
      <w:marRight w:val="0"/>
      <w:marTop w:val="0"/>
      <w:marBottom w:val="0"/>
      <w:divBdr>
        <w:top w:val="none" w:sz="0" w:space="0" w:color="auto"/>
        <w:left w:val="none" w:sz="0" w:space="0" w:color="auto"/>
        <w:bottom w:val="none" w:sz="0" w:space="0" w:color="auto"/>
        <w:right w:val="none" w:sz="0" w:space="0" w:color="auto"/>
      </w:divBdr>
      <w:divsChild>
        <w:div w:id="1213274015">
          <w:marLeft w:val="0"/>
          <w:marRight w:val="0"/>
          <w:marTop w:val="0"/>
          <w:marBottom w:val="0"/>
          <w:divBdr>
            <w:top w:val="none" w:sz="0" w:space="0" w:color="auto"/>
            <w:left w:val="none" w:sz="0" w:space="0" w:color="auto"/>
            <w:bottom w:val="none" w:sz="0" w:space="0" w:color="auto"/>
            <w:right w:val="none" w:sz="0" w:space="0" w:color="auto"/>
          </w:divBdr>
        </w:div>
        <w:div w:id="1936555695">
          <w:marLeft w:val="0"/>
          <w:marRight w:val="0"/>
          <w:marTop w:val="0"/>
          <w:marBottom w:val="0"/>
          <w:divBdr>
            <w:top w:val="none" w:sz="0" w:space="0" w:color="auto"/>
            <w:left w:val="none" w:sz="0" w:space="0" w:color="auto"/>
            <w:bottom w:val="none" w:sz="0" w:space="0" w:color="auto"/>
            <w:right w:val="none" w:sz="0" w:space="0" w:color="auto"/>
          </w:divBdr>
          <w:divsChild>
            <w:div w:id="898248170">
              <w:marLeft w:val="0"/>
              <w:marRight w:val="0"/>
              <w:marTop w:val="0"/>
              <w:marBottom w:val="0"/>
              <w:divBdr>
                <w:top w:val="none" w:sz="0" w:space="0" w:color="auto"/>
                <w:left w:val="none" w:sz="0" w:space="0" w:color="auto"/>
                <w:bottom w:val="none" w:sz="0" w:space="0" w:color="auto"/>
                <w:right w:val="none" w:sz="0" w:space="0" w:color="auto"/>
              </w:divBdr>
              <w:divsChild>
                <w:div w:id="49619888">
                  <w:marLeft w:val="0"/>
                  <w:marRight w:val="0"/>
                  <w:marTop w:val="0"/>
                  <w:marBottom w:val="0"/>
                  <w:divBdr>
                    <w:top w:val="none" w:sz="0" w:space="0" w:color="auto"/>
                    <w:left w:val="none" w:sz="0" w:space="0" w:color="auto"/>
                    <w:bottom w:val="none" w:sz="0" w:space="0" w:color="auto"/>
                    <w:right w:val="none" w:sz="0" w:space="0" w:color="auto"/>
                  </w:divBdr>
                </w:div>
                <w:div w:id="9850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7601">
      <w:bodyDiv w:val="1"/>
      <w:marLeft w:val="0"/>
      <w:marRight w:val="0"/>
      <w:marTop w:val="0"/>
      <w:marBottom w:val="0"/>
      <w:divBdr>
        <w:top w:val="none" w:sz="0" w:space="0" w:color="auto"/>
        <w:left w:val="none" w:sz="0" w:space="0" w:color="auto"/>
        <w:bottom w:val="none" w:sz="0" w:space="0" w:color="auto"/>
        <w:right w:val="none" w:sz="0" w:space="0" w:color="auto"/>
      </w:divBdr>
    </w:div>
    <w:div w:id="1496065563">
      <w:bodyDiv w:val="1"/>
      <w:marLeft w:val="0"/>
      <w:marRight w:val="0"/>
      <w:marTop w:val="0"/>
      <w:marBottom w:val="0"/>
      <w:divBdr>
        <w:top w:val="none" w:sz="0" w:space="0" w:color="auto"/>
        <w:left w:val="none" w:sz="0" w:space="0" w:color="auto"/>
        <w:bottom w:val="none" w:sz="0" w:space="0" w:color="auto"/>
        <w:right w:val="none" w:sz="0" w:space="0" w:color="auto"/>
      </w:divBdr>
    </w:div>
    <w:div w:id="1810048769">
      <w:bodyDiv w:val="1"/>
      <w:marLeft w:val="0"/>
      <w:marRight w:val="0"/>
      <w:marTop w:val="0"/>
      <w:marBottom w:val="0"/>
      <w:divBdr>
        <w:top w:val="none" w:sz="0" w:space="0" w:color="auto"/>
        <w:left w:val="none" w:sz="0" w:space="0" w:color="auto"/>
        <w:bottom w:val="none" w:sz="0" w:space="0" w:color="auto"/>
        <w:right w:val="none" w:sz="0" w:space="0" w:color="auto"/>
      </w:divBdr>
    </w:div>
    <w:div w:id="1927104314">
      <w:bodyDiv w:val="1"/>
      <w:marLeft w:val="0"/>
      <w:marRight w:val="0"/>
      <w:marTop w:val="0"/>
      <w:marBottom w:val="0"/>
      <w:divBdr>
        <w:top w:val="none" w:sz="0" w:space="0" w:color="auto"/>
        <w:left w:val="none" w:sz="0" w:space="0" w:color="auto"/>
        <w:bottom w:val="none" w:sz="0" w:space="0" w:color="auto"/>
        <w:right w:val="none" w:sz="0" w:space="0" w:color="auto"/>
      </w:divBdr>
    </w:div>
    <w:div w:id="2086485095">
      <w:bodyDiv w:val="1"/>
      <w:marLeft w:val="0"/>
      <w:marRight w:val="0"/>
      <w:marTop w:val="0"/>
      <w:marBottom w:val="0"/>
      <w:divBdr>
        <w:top w:val="none" w:sz="0" w:space="0" w:color="auto"/>
        <w:left w:val="none" w:sz="0" w:space="0" w:color="auto"/>
        <w:bottom w:val="none" w:sz="0" w:space="0" w:color="auto"/>
        <w:right w:val="none" w:sz="0" w:space="0" w:color="auto"/>
      </w:divBdr>
      <w:divsChild>
        <w:div w:id="947009006">
          <w:marLeft w:val="0"/>
          <w:marRight w:val="0"/>
          <w:marTop w:val="0"/>
          <w:marBottom w:val="0"/>
          <w:divBdr>
            <w:top w:val="none" w:sz="0" w:space="0" w:color="auto"/>
            <w:left w:val="none" w:sz="0" w:space="0" w:color="auto"/>
            <w:bottom w:val="none" w:sz="0" w:space="0" w:color="auto"/>
            <w:right w:val="none" w:sz="0" w:space="0" w:color="auto"/>
          </w:divBdr>
          <w:divsChild>
            <w:div w:id="116023364">
              <w:marLeft w:val="0"/>
              <w:marRight w:val="0"/>
              <w:marTop w:val="0"/>
              <w:marBottom w:val="0"/>
              <w:divBdr>
                <w:top w:val="none" w:sz="0" w:space="0" w:color="auto"/>
                <w:left w:val="none" w:sz="0" w:space="0" w:color="auto"/>
                <w:bottom w:val="none" w:sz="0" w:space="0" w:color="auto"/>
                <w:right w:val="none" w:sz="0" w:space="0" w:color="auto"/>
              </w:divBdr>
            </w:div>
          </w:divsChild>
        </w:div>
        <w:div w:id="1983923408">
          <w:marLeft w:val="0"/>
          <w:marRight w:val="0"/>
          <w:marTop w:val="0"/>
          <w:marBottom w:val="0"/>
          <w:divBdr>
            <w:top w:val="none" w:sz="0" w:space="0" w:color="auto"/>
            <w:left w:val="none" w:sz="0" w:space="0" w:color="auto"/>
            <w:bottom w:val="none" w:sz="0" w:space="0" w:color="auto"/>
            <w:right w:val="none" w:sz="0" w:space="0" w:color="auto"/>
          </w:divBdr>
          <w:divsChild>
            <w:div w:id="2273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memorialannex.wordpress.co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utismmemorial.wordpress.com/" TargetMode="External"/><Relationship Id="rId2" Type="http://schemas.openxmlformats.org/officeDocument/2006/relationships/customXml" Target="../customXml/item2.xml"/><Relationship Id="rId16" Type="http://schemas.openxmlformats.org/officeDocument/2006/relationships/hyperlink" Target="https://disability-memori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eachother.org.uk/why-is-disability-hate-crime-so-hard-to-prove/" TargetMode="External"/><Relationship Id="rId21" Type="http://schemas.openxmlformats.org/officeDocument/2006/relationships/hyperlink" Target="https://www.themarshallproject.org/2020/10/28/when-does-murder-make-the-news-it-depends-on-the-victim-s-race" TargetMode="External"/><Relationship Id="rId42" Type="http://schemas.openxmlformats.org/officeDocument/2006/relationships/hyperlink" Target="https://www.manchestereveningnews.co.uk/news/greater-manchester-news/kick-boxing-coward-who-murdered-19173395" TargetMode="External"/><Relationship Id="rId47" Type="http://schemas.openxmlformats.org/officeDocument/2006/relationships/hyperlink" Target="https://hellomichelleswan.com/my-needs-are-not-special/" TargetMode="External"/><Relationship Id="rId63" Type="http://schemas.openxmlformats.org/officeDocument/2006/relationships/hyperlink" Target="https://autisticadvocacy.org/projects/community/mourning/anti-filicide/" TargetMode="External"/><Relationship Id="rId68" Type="http://schemas.openxmlformats.org/officeDocument/2006/relationships/hyperlink" Target="https://www.mentalhealth.org.uk/explore-mental-health/blogs/why-language-we-use-describe-mental-health-matters" TargetMode="External"/><Relationship Id="rId84" Type="http://schemas.openxmlformats.org/officeDocument/2006/relationships/hyperlink" Target="https://disabilityhorizons.com/2015/09/10-things-to-avoid-when-meeting-someone-with-a-disability/" TargetMode="External"/><Relationship Id="rId89" Type="http://schemas.openxmlformats.org/officeDocument/2006/relationships/hyperlink" Target="https://www.england.nhs.uk/learning-disabilities/about/get-involved/involving-people/making-meetings-accessible/" TargetMode="External"/><Relationship Id="rId16" Type="http://schemas.openxmlformats.org/officeDocument/2006/relationships/hyperlink" Target="https://news.sky.com/story/julie-burdett-woman-left-to-die-surrounded-by-filth-after-her-father-and-brother-failed-to-care-for-her-court-told-12578859" TargetMode="External"/><Relationship Id="rId107" Type="http://schemas.openxmlformats.org/officeDocument/2006/relationships/hyperlink" Target="https://www.ibt.org.uk/blog/why-language-matters-when-covering-disability/" TargetMode="External"/><Relationship Id="rId11" Type="http://schemas.openxmlformats.org/officeDocument/2006/relationships/hyperlink" Target="https://theconversation.com/how-engagement-makes-you-vulnerable-to-manipulation-and-misinformation-on-social-media-145375" TargetMode="External"/><Relationship Id="rId32" Type="http://schemas.openxmlformats.org/officeDocument/2006/relationships/hyperlink" Target="https://www.forbes.com/sites/andrewpulrang/2021/02/20/its-time-to-stop-even-casually-misusing-disability-words/?sh=5ed851fa7d4e" TargetMode="External"/><Relationship Id="rId37" Type="http://schemas.openxmlformats.org/officeDocument/2006/relationships/hyperlink" Target="https://www.echo-news.co.uk/news/16444909.ilie-ciubotaru-jailed-attacking-vulnerable-man-southend-care-home/" TargetMode="External"/><Relationship Id="rId53" Type="http://schemas.openxmlformats.org/officeDocument/2006/relationships/hyperlink" Target="https://www.wsws.org/en/articles/2010/12/mcin-d22.html" TargetMode="External"/><Relationship Id="rId58" Type="http://schemas.openxmlformats.org/officeDocument/2006/relationships/hyperlink" Target="https://metro.co.uk/2018/09/25/man-killed-wife-then-himself-fearing-he-would-get-dementia-like-her-7978395/" TargetMode="External"/><Relationship Id="rId74" Type="http://schemas.openxmlformats.org/officeDocument/2006/relationships/hyperlink" Target="https://news.sky.com/story/gang-of-four-jailed-for-sadistic-murder-10489798" TargetMode="External"/><Relationship Id="rId79" Type="http://schemas.openxmlformats.org/officeDocument/2006/relationships/hyperlink" Target="https://www.walesonline.co.uk/news/wales-news/former-soldier-mother-jailed-life-14261774" TargetMode="External"/><Relationship Id="rId102" Type="http://schemas.openxmlformats.org/officeDocument/2006/relationships/hyperlink" Target="https://www.scholarsandstorytellers.com/air" TargetMode="External"/><Relationship Id="rId5" Type="http://schemas.openxmlformats.org/officeDocument/2006/relationships/hyperlink" Target="https://www.huffingtonpost.co.uk/entry/metropolitan-police_uk_603fa18ec5b617a7e411ffc5" TargetMode="External"/><Relationship Id="rId90" Type="http://schemas.openxmlformats.org/officeDocument/2006/relationships/hyperlink" Target="https://www.birminghammail.co.uk/news/midlands-news/woman-killed-herself-after-neighbour-12399545" TargetMode="External"/><Relationship Id="rId95" Type="http://schemas.openxmlformats.org/officeDocument/2006/relationships/hyperlink" Target="https://www.theguardian.com/uk/2011/may/24/fiona-pilkington-police-misconduct-proceedings" TargetMode="External"/><Relationship Id="rId22" Type="http://schemas.openxmlformats.org/officeDocument/2006/relationships/hyperlink" Target="https://www.un.org/development/desa/disabilities/resources/disability-and-the-media.html" TargetMode="External"/><Relationship Id="rId27" Type="http://schemas.openxmlformats.org/officeDocument/2006/relationships/hyperlink" Target="https://www.judiciary.uk/wp-content/uploads/2022/02/R-v-Boulton-sentencing-020222.pdf" TargetMode="External"/><Relationship Id="rId43" Type="http://schemas.openxmlformats.org/officeDocument/2006/relationships/hyperlink" Target="https://www.manchestereveningnews.co.uk/news/greater-manchester-news/boozed-up-nutcase-beat-vulnerable-19104180" TargetMode="External"/><Relationship Id="rId48" Type="http://schemas.openxmlformats.org/officeDocument/2006/relationships/hyperlink" Target="https://www.mentalhealth.org.uk/explore-mental-health/blogs/why-language-we-use-describe-mental-health-matters" TargetMode="External"/><Relationship Id="rId64" Type="http://schemas.openxmlformats.org/officeDocument/2006/relationships/hyperlink" Target="https://www.hulldailymail.co.uk/news/hull-east-yorkshire-news/disturbed-thug-attacked-disabled-man-4875820" TargetMode="External"/><Relationship Id="rId69" Type="http://schemas.openxmlformats.org/officeDocument/2006/relationships/hyperlink" Target="https://theswaddle.com/appropriate-language-can-reduce-mental-health-stigma-improve-access-to-treatment-experts/" TargetMode="External"/><Relationship Id="rId80" Type="http://schemas.openxmlformats.org/officeDocument/2006/relationships/hyperlink" Target="https://www.theoldhamtimes.co.uk/news/16689245.amp/" TargetMode="External"/><Relationship Id="rId85" Type="http://schemas.openxmlformats.org/officeDocument/2006/relationships/hyperlink" Target="https://talk-kit.org/reporting-course/module-2/" TargetMode="External"/><Relationship Id="rId12" Type="http://schemas.openxmlformats.org/officeDocument/2006/relationships/hyperlink" Target="https://journals.sagepub.com/doi/full/10.1177/14614448211027174" TargetMode="External"/><Relationship Id="rId17" Type="http://schemas.openxmlformats.org/officeDocument/2006/relationships/hyperlink" Target="https://www.bbc.co.uk/news/uk-wales-south-west-wales-42985957" TargetMode="External"/><Relationship Id="rId33" Type="http://schemas.openxmlformats.org/officeDocument/2006/relationships/hyperlink" Target="https://www.stokesentinel.co.uk/news/stoke-on-trent-news/stoke-city-worker-25-pushed-5223555" TargetMode="External"/><Relationship Id="rId38" Type="http://schemas.openxmlformats.org/officeDocument/2006/relationships/hyperlink" Target="https://www.bbc.co.uk/news/uk-wales-13549363" TargetMode="External"/><Relationship Id="rId59" Type="http://schemas.openxmlformats.org/officeDocument/2006/relationships/hyperlink" Target="https://www.kentlive.news/news/kent-news/father-strangled-daughter-death-herne-1159450" TargetMode="External"/><Relationship Id="rId103" Type="http://schemas.openxmlformats.org/officeDocument/2006/relationships/hyperlink" Target="https://www.inclusionlondon.org.uk/wp-content/uploads/2020/09/FINAL-Still-Getting-Away-with-Murder-Sept-2020-FINAL.pdf" TargetMode="External"/><Relationship Id="rId108" Type="http://schemas.openxmlformats.org/officeDocument/2006/relationships/hyperlink" Target="https://www.inclusionlondon.org.uk/" TargetMode="External"/><Relationship Id="rId20" Type="http://schemas.openxmlformats.org/officeDocument/2006/relationships/hyperlink" Target="https://www.bbc.co.uk/news/uk-england-south-yorkshire-21887535" TargetMode="External"/><Relationship Id="rId41" Type="http://schemas.openxmlformats.org/officeDocument/2006/relationships/hyperlink" Target="https://en.wikipedia.org/wiki/List_of_disability-related_terms_with_negative_connotations" TargetMode="External"/><Relationship Id="rId54" Type="http://schemas.openxmlformats.org/officeDocument/2006/relationships/hyperlink" Target="https://encompass.eku.edu/cgi/viewcontent.cgi?article=1008&amp;context=kjus" TargetMode="External"/><Relationship Id="rId62" Type="http://schemas.openxmlformats.org/officeDocument/2006/relationships/hyperlink" Target="https://www.theguardian.com/uk/2005/sep/24/patrickbarkham.uknews2" TargetMode="External"/><Relationship Id="rId70" Type="http://schemas.openxmlformats.org/officeDocument/2006/relationships/hyperlink" Target="https://www.dailymail.co.uk/news/article-3585008/Four-year-old-girl-beaten-death-sadistic-father-courts-social-workers-repeatedly-missed-chances-save-awarded-custody.html" TargetMode="External"/><Relationship Id="rId75" Type="http://schemas.openxmlformats.org/officeDocument/2006/relationships/hyperlink" Target="https://www.mirror.co.uk/news/uk-news/man-who-murdered-mother-in-law-sexual-3657623" TargetMode="External"/><Relationship Id="rId83" Type="http://schemas.openxmlformats.org/officeDocument/2006/relationships/hyperlink" Target="https://www.echo-news.co.uk/news/16151477.clayton-bailey-cuckooed-vulnerable-adult-sell-drugs-jailed/" TargetMode="External"/><Relationship Id="rId88" Type="http://schemas.openxmlformats.org/officeDocument/2006/relationships/hyperlink" Target="https://www.gov.uk/government/publications/inclusive-communication/accessible-communication-formats" TargetMode="External"/><Relationship Id="rId91" Type="http://schemas.openxmlformats.org/officeDocument/2006/relationships/hyperlink" Target="https://metro.co.uk/2017/12/08/abused-boy-killed-himself-at-childrens-home-after-cries-for-help-were-ignored-7144244/" TargetMode="External"/><Relationship Id="rId96" Type="http://schemas.openxmlformats.org/officeDocument/2006/relationships/hyperlink" Target="https://www.mirror.co.uk/news/uk-news/autistic-boy-says-teachers-ignored-24917971" TargetMode="External"/><Relationship Id="rId1" Type="http://schemas.openxmlformats.org/officeDocument/2006/relationships/hyperlink" Target="https://www.inclusionlondon.org.uk/wp-content/uploads/2020/09/FINAL-Still-Getting-Away-with-Murder-Sept-2020-FINAL.pdf" TargetMode="External"/><Relationship Id="rId6" Type="http://schemas.openxmlformats.org/officeDocument/2006/relationships/hyperlink" Target="https://www.huffingtonpost.co.uk/entry/racism-in-police-media_uk_6049f3d6c5b6cf72d0945115" TargetMode="External"/><Relationship Id="rId15" Type="http://schemas.openxmlformats.org/officeDocument/2006/relationships/hyperlink" Target="https://www.port.ac.uk/news-events-and-blogs/blogs/democratic-citizenship/why-racial-bias-dominates-coverage-of-missing-person-cases" TargetMode="External"/><Relationship Id="rId23" Type="http://schemas.openxmlformats.org/officeDocument/2006/relationships/hyperlink" Target="https://www.glaad.org/sites/default/files/MTAN/More%20Than%20A%20Number%20-%20GLAAD.pdf" TargetMode="External"/><Relationship Id="rId28" Type="http://schemas.openxmlformats.org/officeDocument/2006/relationships/hyperlink" Target="https://www.sussex.ac.uk/webteam/gateway/file.php?name=final-report---hate-crime-and-the-legal-process.pdf&amp;site=539" TargetMode="External"/><Relationship Id="rId36" Type="http://schemas.openxmlformats.org/officeDocument/2006/relationships/hyperlink" Target="https://www.inclusionlondon.org.uk/campaigns-and-policy/act-now/austerity-kills-policy-briefing/" TargetMode="External"/><Relationship Id="rId49" Type="http://schemas.openxmlformats.org/officeDocument/2006/relationships/hyperlink" Target="https://theswaddle.com/appropriate-language-can-reduce-mental-health-stigma-improve-access-to-treatment-experts/" TargetMode="External"/><Relationship Id="rId57" Type="http://schemas.openxmlformats.org/officeDocument/2006/relationships/hyperlink" Target="https://disability-memorial.org/" TargetMode="External"/><Relationship Id="rId106" Type="http://schemas.openxmlformats.org/officeDocument/2006/relationships/hyperlink" Target="https://mediatrust.org/communications-support/resource-hub/" TargetMode="External"/><Relationship Id="rId10" Type="http://schemas.openxmlformats.org/officeDocument/2006/relationships/hyperlink" Target="https://www.theguardian.com/technology/2016/dec/16/google-autocomplete-rightwing-bias-algorithm-political-propaganda" TargetMode="External"/><Relationship Id="rId31" Type="http://schemas.openxmlformats.org/officeDocument/2006/relationships/hyperlink" Target="https://www.sussex.ac.uk/webteam/gateway/file.php?name=final-report---hate-crime-and-the-legal-process.pdf&amp;site=539" TargetMode="External"/><Relationship Id="rId44" Type="http://schemas.openxmlformats.org/officeDocument/2006/relationships/hyperlink" Target="https://www.dailymail.co.uk/news/article-3586908/Boyfriend-42-murdered-special-needs-girlfriend-beating-walking-stick-dousing-white-spirit-setting-fire-jailed-life.html" TargetMode="External"/><Relationship Id="rId52" Type="http://schemas.openxmlformats.org/officeDocument/2006/relationships/hyperlink" Target="https://www.theguardian.com/politics/2011/aug/24/ipcc-upholds-protester-complaint-police" TargetMode="External"/><Relationship Id="rId60" Type="http://schemas.openxmlformats.org/officeDocument/2006/relationships/hyperlink" Target="https://www.mirror.co.uk/news/uk-news/father-strangled-daughter-couldnt-suffer-11961396" TargetMode="External"/><Relationship Id="rId65" Type="http://schemas.openxmlformats.org/officeDocument/2006/relationships/hyperlink" Target="https://www.londonworld.com/news/crime/psychotic-man-who-beat-his-grandmother-76-to-death-before-raping-her-corpse-given-hospital-order-3634022" TargetMode="External"/><Relationship Id="rId73" Type="http://schemas.openxmlformats.org/officeDocument/2006/relationships/hyperlink" Target="https://disabledparenting.com/library/disabled-parents-in-the-news/" TargetMode="External"/><Relationship Id="rId78" Type="http://schemas.openxmlformats.org/officeDocument/2006/relationships/hyperlink" Target="https://www.theguardian.com/society/2007/dec/06/policy" TargetMode="External"/><Relationship Id="rId81" Type="http://schemas.openxmlformats.org/officeDocument/2006/relationships/hyperlink" Target="https://www.eppingforestguardian.co.uk/news/19113905.harlow-drug-dealing-brothers-jailed-cuckooing-woman/" TargetMode="External"/><Relationship Id="rId86" Type="http://schemas.openxmlformats.org/officeDocument/2006/relationships/hyperlink" Target="https://epicassist.org/the-biggest-barrier-for-people-with-disability/" TargetMode="External"/><Relationship Id="rId94" Type="http://schemas.openxmlformats.org/officeDocument/2006/relationships/hyperlink" Target="https://www.samaritans.org/about-samaritans/media-guidelines/media-guidelines-reporting-suicide/" TargetMode="External"/><Relationship Id="rId99" Type="http://schemas.openxmlformats.org/officeDocument/2006/relationships/hyperlink" Target="https://eprints.gla.ac.uk/57499/1/57499.pdf" TargetMode="External"/><Relationship Id="rId101" Type="http://schemas.openxmlformats.org/officeDocument/2006/relationships/hyperlink" Target="https://psyarxiv.com/bv2pq/" TargetMode="External"/><Relationship Id="rId4" Type="http://schemas.openxmlformats.org/officeDocument/2006/relationships/hyperlink" Target="https://www.theguardian.com/media/2011/aug/07/police-journalists-crime-research" TargetMode="External"/><Relationship Id="rId9" Type="http://schemas.openxmlformats.org/officeDocument/2006/relationships/hyperlink" Target="https://www.wsj.com/articles/how-google-interferes-with-its-search-algorithms-and-changes-your-results-11573823753" TargetMode="External"/><Relationship Id="rId13" Type="http://schemas.openxmlformats.org/officeDocument/2006/relationships/hyperlink" Target="https://newsliteracymatters.com/2019/11/11/q-what-does-if-it-bleeds-it-leads-mean/" TargetMode="External"/><Relationship Id="rId18" Type="http://schemas.openxmlformats.org/officeDocument/2006/relationships/hyperlink" Target="https://www.nuj.org.uk/about-us/rules-and-guidance/code-of-conduct.html" TargetMode="External"/><Relationship Id="rId39" Type="http://schemas.openxmlformats.org/officeDocument/2006/relationships/hyperlink" Target="https://www.tandfonline.com/doi/full/10.1080/1461670X.2019.1632735" TargetMode="External"/><Relationship Id="rId34" Type="http://schemas.openxmlformats.org/officeDocument/2006/relationships/hyperlink" Target="https://www.disabilitynewsservice.com/head-of-judiciary-said-brexit-delays-will-rule-out-vital-hate-crime-law-change/" TargetMode="External"/><Relationship Id="rId50" Type="http://schemas.openxmlformats.org/officeDocument/2006/relationships/hyperlink" Target="https://canbc.org/blog/proper-terminology-dont-use-confined-to-or-wheelchair-bound/" TargetMode="External"/><Relationship Id="rId55" Type="http://schemas.openxmlformats.org/officeDocument/2006/relationships/hyperlink" Target="https://spssi.onlinelibrary.wiley.com/doi/10.1111/josi.12248" TargetMode="External"/><Relationship Id="rId76" Type="http://schemas.openxmlformats.org/officeDocument/2006/relationships/hyperlink" Target="https://www.southwalesargus.co.uk/news/1378274.life-for-killer-cousins/" TargetMode="External"/><Relationship Id="rId97" Type="http://schemas.openxmlformats.org/officeDocument/2006/relationships/hyperlink" Target="https://www.inclusionlondon.org.uk/wp-content/uploads/2020/09/FINAL-Still-Getting-Away-with-Murder-Sept-2020-FINAL.pdf" TargetMode="External"/><Relationship Id="rId104" Type="http://schemas.openxmlformats.org/officeDocument/2006/relationships/hyperlink" Target="https://www.sussex.ac.uk/webteam/gateway/file.php?name=final-report---hate-crime-and-the-legal-process.pdf&amp;site=539" TargetMode="External"/><Relationship Id="rId7" Type="http://schemas.openxmlformats.org/officeDocument/2006/relationships/hyperlink" Target="https://www.thenewsmanual.net/Manuals%20Volume%203/volume3_58.htm" TargetMode="External"/><Relationship Id="rId71" Type="http://schemas.openxmlformats.org/officeDocument/2006/relationships/hyperlink" Target="https://www.heart.co.uk/fourcounties/news/local/hatfield-dad-jailed-for-life/" TargetMode="External"/><Relationship Id="rId92" Type="http://schemas.openxmlformats.org/officeDocument/2006/relationships/hyperlink" Target="https://www.ons.gov.uk/peoplepopulationandcommunity/birthsdeathsandmarriages/deaths/datasets/suicidesintheunitedkingdomreferencetables" TargetMode="External"/><Relationship Id="rId2" Type="http://schemas.openxmlformats.org/officeDocument/2006/relationships/hyperlink" Target="https://www.holdthefrontpage.co.uk/2021/news/journalists-slam-police-policy-of-refusing-details-on-lower-level-crimes/" TargetMode="External"/><Relationship Id="rId29" Type="http://schemas.openxmlformats.org/officeDocument/2006/relationships/hyperlink" Target="https://www.bbc.co.uk/news/uk-england-london-57396725" TargetMode="External"/><Relationship Id="rId24" Type="http://schemas.openxmlformats.org/officeDocument/2006/relationships/hyperlink" Target="https://www.bbc.co.uk/news/uk-england-beds-bucks-herts-35987385" TargetMode="External"/><Relationship Id="rId40" Type="http://schemas.openxmlformats.org/officeDocument/2006/relationships/hyperlink" Target="https://www.echo-news.co.uk/news/16444909.ilie-ciubotaru-jailed-attacking-vulnerable-man-southend-care-home/" TargetMode="External"/><Relationship Id="rId45" Type="http://schemas.openxmlformats.org/officeDocument/2006/relationships/hyperlink" Target="https://www.meriahnichols.com/3-reasons-say-disability-instead-special-needs/" TargetMode="External"/><Relationship Id="rId66" Type="http://schemas.openxmlformats.org/officeDocument/2006/relationships/hyperlink" Target="https://www.thesun.co.uk/news/1369396/mentally-ill-woman-killed-her-elderly-mother-because-she-thought-she-looked-like-a-witch/" TargetMode="External"/><Relationship Id="rId87" Type="http://schemas.openxmlformats.org/officeDocument/2006/relationships/hyperlink" Target="https://www.sisofrida.org/wp-content/uploads/2021/05/Sisters-of-Fridas-Guide-to-Accessible-Online-communication-a-Toolkit-final.pdf" TargetMode="External"/><Relationship Id="rId61" Type="http://schemas.openxmlformats.org/officeDocument/2006/relationships/hyperlink" Target="https://www.dailymail.co.uk/news/article-367460/Mother-killed-Downs-son-allowed-free.html" TargetMode="External"/><Relationship Id="rId82" Type="http://schemas.openxmlformats.org/officeDocument/2006/relationships/hyperlink" Target="https://www.elystandard.co.uk/news/crime/22740353.drug-dealer-set-base-vulnerable-mans-home-cambridgeshire/" TargetMode="External"/><Relationship Id="rId19" Type="http://schemas.openxmlformats.org/officeDocument/2006/relationships/hyperlink" Target="https://www.itv.com/news/calendar/update/2015-10-16/pensioner-sentenced-to-life-for-murder-of-disabled-partner/" TargetMode="External"/><Relationship Id="rId14" Type="http://schemas.openxmlformats.org/officeDocument/2006/relationships/hyperlink" Target="https://www.independent.co.uk/news/uk/home-news/black-people-missing-b1827530.html" TargetMode="External"/><Relationship Id="rId30" Type="http://schemas.openxmlformats.org/officeDocument/2006/relationships/hyperlink" Target="https://eachother.org.uk/why-is-disability-hate-crime-so-hard-to-prove/" TargetMode="External"/><Relationship Id="rId35" Type="http://schemas.openxmlformats.org/officeDocument/2006/relationships/hyperlink" Target="https://www.researchgate.net/publication/44652354_To_empower_or_to_protect_Constructing_the_'vulnerable_adult'_in_English_law_and_public_policy" TargetMode="External"/><Relationship Id="rId56" Type="http://schemas.openxmlformats.org/officeDocument/2006/relationships/hyperlink" Target="https://doi.org/10.5204/ijcjsd.1851" TargetMode="External"/><Relationship Id="rId77" Type="http://schemas.openxmlformats.org/officeDocument/2006/relationships/hyperlink" Target="https://www.disabilitynewsservice.com/agencies-should-have-been-aware-of-risks-faced-by-lee-irving-before-his-murder/" TargetMode="External"/><Relationship Id="rId100" Type="http://schemas.openxmlformats.org/officeDocument/2006/relationships/hyperlink" Target="https://www.scholarsandstorytellers.com/blog-main/diversity-in-hollywood-the-case-for-authentic-disability-representation-in-film-and-tv" TargetMode="External"/><Relationship Id="rId105" Type="http://schemas.openxmlformats.org/officeDocument/2006/relationships/hyperlink" Target="https://www.disabilitycornwall.org.uk/about-us/research" TargetMode="External"/><Relationship Id="rId8" Type="http://schemas.openxmlformats.org/officeDocument/2006/relationships/hyperlink" Target="http://www.mediacrimevictimguide.com/breaking.html" TargetMode="External"/><Relationship Id="rId51" Type="http://schemas.openxmlformats.org/officeDocument/2006/relationships/hyperlink" Target="https://www.theguardian.com/society/2022/jul/05/they-saw-me-as-calculating-not-a-child-how-adultification-leads-to-black-children-being-treated-as-criminals" TargetMode="External"/><Relationship Id="rId72" Type="http://schemas.openxmlformats.org/officeDocument/2006/relationships/hyperlink" Target="https://www.theguardian.com/society/reality-check/2013/oct/07/sun-people-killed-mental-health-true" TargetMode="External"/><Relationship Id="rId93" Type="http://schemas.openxmlformats.org/officeDocument/2006/relationships/hyperlink" Target="https://www.ipso.co.uk/resources-and-guidance/reporting-suicide-guidance/" TargetMode="External"/><Relationship Id="rId98" Type="http://schemas.openxmlformats.org/officeDocument/2006/relationships/hyperlink" Target="https://www.researchgate.net/publication/343392876_The_Role_of_Mass_Media_in_Shaping_Public_Opinion" TargetMode="External"/><Relationship Id="rId3" Type="http://schemas.openxmlformats.org/officeDocument/2006/relationships/hyperlink" Target="https://www.holdthefrontpage.co.uk/2022/news/journalist-wins-plaudits-after-crime-scene-stand-off-with-police/" TargetMode="External"/><Relationship Id="rId25" Type="http://schemas.openxmlformats.org/officeDocument/2006/relationships/hyperlink" Target="https://www.guardian-series.co.uk/news/17994148.walthamstow-teacher-kicked-pupil-avoids-ban-profession/" TargetMode="External"/><Relationship Id="rId46" Type="http://schemas.openxmlformats.org/officeDocument/2006/relationships/hyperlink" Target="https://johndabell.com/2020/11/16/why-special-needs-needs-to-go/" TargetMode="External"/><Relationship Id="rId67" Type="http://schemas.openxmlformats.org/officeDocument/2006/relationships/hyperlink" Target="https://www.dailymail.co.uk/news/article-2570570/Savage-past-one-punch-killer-calls-Capone-gang-robbed-teenager-bu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B131E504843B99AA773A115709408"/>
        <w:category>
          <w:name w:val="General"/>
          <w:gallery w:val="placeholder"/>
        </w:category>
        <w:types>
          <w:type w:val="bbPlcHdr"/>
        </w:types>
        <w:behaviors>
          <w:behavior w:val="content"/>
        </w:behaviors>
        <w:guid w:val="{0790B64A-83B0-4E6C-A767-2D49900FD1FE}"/>
      </w:docPartPr>
      <w:docPartBody>
        <w:p w:rsidR="0023604A" w:rsidRDefault="000C1FC6" w:rsidP="000C1FC6">
          <w:pPr>
            <w:pStyle w:val="432B131E504843B99AA773A115709408"/>
          </w:pPr>
          <w:r>
            <w:t>COMPANY NAME</w:t>
          </w:r>
        </w:p>
      </w:docPartBody>
    </w:docPart>
    <w:docPart>
      <w:docPartPr>
        <w:name w:val="FA75B4D0B1BB4AC8BA131B604E4EF7E5"/>
        <w:category>
          <w:name w:val="General"/>
          <w:gallery w:val="placeholder"/>
        </w:category>
        <w:types>
          <w:type w:val="bbPlcHdr"/>
        </w:types>
        <w:behaviors>
          <w:behavior w:val="content"/>
        </w:behaviors>
        <w:guid w:val="{28ED7EAE-9A51-4B7F-8DB2-3461182FC56F}"/>
      </w:docPartPr>
      <w:docPartBody>
        <w:p w:rsidR="0023604A" w:rsidRDefault="000C1FC6" w:rsidP="000C1FC6">
          <w:pPr>
            <w:pStyle w:val="FA75B4D0B1BB4AC8BA131B604E4EF7E5"/>
          </w:pPr>
          <w:r>
            <w:t>Your Name</w:t>
          </w:r>
        </w:p>
      </w:docPartBody>
    </w:docPart>
    <w:docPart>
      <w:docPartPr>
        <w:name w:val="4BF3CAC099444AA4A74D579E9F1521E0"/>
        <w:category>
          <w:name w:val="General"/>
          <w:gallery w:val="placeholder"/>
        </w:category>
        <w:types>
          <w:type w:val="bbPlcHdr"/>
        </w:types>
        <w:behaviors>
          <w:behavior w:val="content"/>
        </w:behaviors>
        <w:guid w:val="{031892BE-48D4-4D85-88C7-5038B854F151}"/>
      </w:docPartPr>
      <w:docPartBody>
        <w:p w:rsidR="009040F7" w:rsidRDefault="00FE5F2A" w:rsidP="00FE5F2A">
          <w:pPr>
            <w:pStyle w:val="4BF3CAC099444AA4A74D579E9F1521E0"/>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noProof/>
            </w:rPr>
            <w:t>September 1</w:t>
          </w:r>
          <w:r w:rsidRPr="00D86945">
            <w:rPr>
              <w:rStyle w:val="SubtitleChar"/>
              <w:b/>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C6"/>
    <w:rsid w:val="000C1FC6"/>
    <w:rsid w:val="000D35B2"/>
    <w:rsid w:val="0012211C"/>
    <w:rsid w:val="0023604A"/>
    <w:rsid w:val="00251C10"/>
    <w:rsid w:val="00301F5B"/>
    <w:rsid w:val="003462C4"/>
    <w:rsid w:val="003522D0"/>
    <w:rsid w:val="003E35D0"/>
    <w:rsid w:val="00423FF2"/>
    <w:rsid w:val="00461358"/>
    <w:rsid w:val="004915E9"/>
    <w:rsid w:val="0063346C"/>
    <w:rsid w:val="006521F9"/>
    <w:rsid w:val="006529C2"/>
    <w:rsid w:val="006C1C79"/>
    <w:rsid w:val="00703038"/>
    <w:rsid w:val="00795258"/>
    <w:rsid w:val="008C31A3"/>
    <w:rsid w:val="009040F7"/>
    <w:rsid w:val="009B163E"/>
    <w:rsid w:val="009B46FA"/>
    <w:rsid w:val="00B47B5B"/>
    <w:rsid w:val="00B77943"/>
    <w:rsid w:val="00C13C97"/>
    <w:rsid w:val="00C91EBE"/>
    <w:rsid w:val="00C92BF9"/>
    <w:rsid w:val="00E02E75"/>
    <w:rsid w:val="00EE3593"/>
    <w:rsid w:val="00F716A9"/>
    <w:rsid w:val="00FE5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FE5F2A"/>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sid w:val="00FE5F2A"/>
    <w:rPr>
      <w:caps/>
      <w:color w:val="44546A" w:themeColor="text2"/>
      <w:spacing w:val="20"/>
      <w:sz w:val="32"/>
      <w:lang w:val="en-US" w:eastAsia="en-US"/>
    </w:rPr>
  </w:style>
  <w:style w:type="paragraph" w:customStyle="1" w:styleId="432B131E504843B99AA773A115709408">
    <w:name w:val="432B131E504843B99AA773A115709408"/>
    <w:rsid w:val="000C1FC6"/>
  </w:style>
  <w:style w:type="paragraph" w:customStyle="1" w:styleId="FA75B4D0B1BB4AC8BA131B604E4EF7E5">
    <w:name w:val="FA75B4D0B1BB4AC8BA131B604E4EF7E5"/>
    <w:rsid w:val="000C1FC6"/>
  </w:style>
  <w:style w:type="paragraph" w:customStyle="1" w:styleId="4BF3CAC099444AA4A74D579E9F1521E0">
    <w:name w:val="4BF3CAC099444AA4A74D579E9F1521E0"/>
    <w:rsid w:val="00FE5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Disability Hate Crime Team, Lara Conner and Louise Holden</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5ba2880c-aa49-4c08-ab41-124be6e9124e">FJQZQ7PKH67T-580059046-128201</_dlc_DocId>
    <TaxCatchAll xmlns="5ba2880c-aa49-4c08-ab41-124be6e9124e" xsi:nil="true"/>
    <lcf76f155ced4ddcb4097134ff3c332f xmlns="e5ddbce6-0623-4d63-839b-c92159aae971">
      <Terms xmlns="http://schemas.microsoft.com/office/infopath/2007/PartnerControls"/>
    </lcf76f155ced4ddcb4097134ff3c332f>
    <_dlc_DocIdUrl xmlns="5ba2880c-aa49-4c08-ab41-124be6e9124e">
      <Url>https://inclusionlondon.sharepoint.com/sites/PUBLIC/_layouts/15/DocIdRedir.aspx?ID=FJQZQ7PKH67T-580059046-128201</Url>
      <Description>FJQZQ7PKH67T-580059046-128201</Description>
    </_dlc_DocIdUrl>
    <SharedWithUsers xmlns="5ba2880c-aa49-4c08-ab41-124be6e9124e">
      <UserInfo>
        <DisplayName>Lara Conner</DisplayName>
        <AccountId>116</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6" ma:contentTypeDescription="Create a new document." ma:contentTypeScope="" ma:versionID="1ac19700235d0de2253e4bdef6268f70">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39343ec5af5c29e8fcbf552bcf44cf20"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221b05c-f873-41e0-a756-f9ef2afade3b}" ma:internalName="TaxCatchAll" ma:showField="CatchAllData" ma:web="5ba2880c-aa49-4c08-ab41-124be6e912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bf7d99a-ea36-4619-98e6-5b59cc31b9f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7F260D-F95B-47BE-8832-D817B889EEB1}">
  <ds:schemaRefs>
    <ds:schemaRef ds:uri="http://schemas.microsoft.com/sharepoint/v3/contenttype/forms"/>
  </ds:schemaRefs>
</ds:datastoreItem>
</file>

<file path=customXml/itemProps3.xml><?xml version="1.0" encoding="utf-8"?>
<ds:datastoreItem xmlns:ds="http://schemas.openxmlformats.org/officeDocument/2006/customXml" ds:itemID="{A3D7E505-81A8-4E3E-9877-0B9DD0273F58}">
  <ds:schemaRefs>
    <ds:schemaRef ds:uri="http://schemas.openxmlformats.org/officeDocument/2006/bibliography"/>
  </ds:schemaRefs>
</ds:datastoreItem>
</file>

<file path=customXml/itemProps4.xml><?xml version="1.0" encoding="utf-8"?>
<ds:datastoreItem xmlns:ds="http://schemas.openxmlformats.org/officeDocument/2006/customXml" ds:itemID="{7CD9F999-D431-4926-989B-24D2BD66DB20}">
  <ds:schemaRefs>
    <ds:schemaRef ds:uri="http://schemas.microsoft.com/office/2006/metadata/properties"/>
    <ds:schemaRef ds:uri="http://schemas.microsoft.com/office/infopath/2007/PartnerControls"/>
    <ds:schemaRef ds:uri="5ba2880c-aa49-4c08-ab41-124be6e9124e"/>
    <ds:schemaRef ds:uri="e5ddbce6-0623-4d63-839b-c92159aae971"/>
  </ds:schemaRefs>
</ds:datastoreItem>
</file>

<file path=customXml/itemProps5.xml><?xml version="1.0" encoding="utf-8"?>
<ds:datastoreItem xmlns:ds="http://schemas.openxmlformats.org/officeDocument/2006/customXml" ds:itemID="{9366FC4D-6098-4947-A405-2072E1333A17}">
  <ds:schemaRefs>
    <ds:schemaRef ds:uri="http://schemas.microsoft.com/sharepoint/events"/>
  </ds:schemaRefs>
</ds:datastoreItem>
</file>

<file path=customXml/itemProps6.xml><?xml version="1.0" encoding="utf-8"?>
<ds:datastoreItem xmlns:ds="http://schemas.openxmlformats.org/officeDocument/2006/customXml" ds:itemID="{A76EF23F-3485-4CF4-A8A0-40B9DE42A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2880c-aa49-4c08-ab41-124be6e9124e"/>
    <ds:schemaRef ds:uri="e5ddbce6-0623-4d63-839b-c92159aae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6750</TotalTime>
  <Pages>88</Pages>
  <Words>14298</Words>
  <Characters>81505</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95612</CharactersWithSpaces>
  <SharedDoc>false</SharedDoc>
  <HLinks>
    <vt:vector size="696" baseType="variant">
      <vt:variant>
        <vt:i4>6225993</vt:i4>
      </vt:variant>
      <vt:variant>
        <vt:i4>237</vt:i4>
      </vt:variant>
      <vt:variant>
        <vt:i4>0</vt:i4>
      </vt:variant>
      <vt:variant>
        <vt:i4>5</vt:i4>
      </vt:variant>
      <vt:variant>
        <vt:lpwstr>https://memorialannex.wordpress.com/</vt:lpwstr>
      </vt:variant>
      <vt:variant>
        <vt:lpwstr/>
      </vt:variant>
      <vt:variant>
        <vt:i4>131152</vt:i4>
      </vt:variant>
      <vt:variant>
        <vt:i4>234</vt:i4>
      </vt:variant>
      <vt:variant>
        <vt:i4>0</vt:i4>
      </vt:variant>
      <vt:variant>
        <vt:i4>5</vt:i4>
      </vt:variant>
      <vt:variant>
        <vt:lpwstr>https://autismmemorial.wordpress.com/</vt:lpwstr>
      </vt:variant>
      <vt:variant>
        <vt:lpwstr/>
      </vt:variant>
      <vt:variant>
        <vt:i4>7</vt:i4>
      </vt:variant>
      <vt:variant>
        <vt:i4>231</vt:i4>
      </vt:variant>
      <vt:variant>
        <vt:i4>0</vt:i4>
      </vt:variant>
      <vt:variant>
        <vt:i4>5</vt:i4>
      </vt:variant>
      <vt:variant>
        <vt:lpwstr>https://disability-memorial.org/</vt:lpwstr>
      </vt:variant>
      <vt:variant>
        <vt:lpwstr/>
      </vt:variant>
      <vt:variant>
        <vt:i4>2031665</vt:i4>
      </vt:variant>
      <vt:variant>
        <vt:i4>224</vt:i4>
      </vt:variant>
      <vt:variant>
        <vt:i4>0</vt:i4>
      </vt:variant>
      <vt:variant>
        <vt:i4>5</vt:i4>
      </vt:variant>
      <vt:variant>
        <vt:lpwstr/>
      </vt:variant>
      <vt:variant>
        <vt:lpwstr>_Toc114139711</vt:lpwstr>
      </vt:variant>
      <vt:variant>
        <vt:i4>2031665</vt:i4>
      </vt:variant>
      <vt:variant>
        <vt:i4>218</vt:i4>
      </vt:variant>
      <vt:variant>
        <vt:i4>0</vt:i4>
      </vt:variant>
      <vt:variant>
        <vt:i4>5</vt:i4>
      </vt:variant>
      <vt:variant>
        <vt:lpwstr/>
      </vt:variant>
      <vt:variant>
        <vt:lpwstr>_Toc114139710</vt:lpwstr>
      </vt:variant>
      <vt:variant>
        <vt:i4>1966129</vt:i4>
      </vt:variant>
      <vt:variant>
        <vt:i4>212</vt:i4>
      </vt:variant>
      <vt:variant>
        <vt:i4>0</vt:i4>
      </vt:variant>
      <vt:variant>
        <vt:i4>5</vt:i4>
      </vt:variant>
      <vt:variant>
        <vt:lpwstr/>
      </vt:variant>
      <vt:variant>
        <vt:lpwstr>_Toc114139709</vt:lpwstr>
      </vt:variant>
      <vt:variant>
        <vt:i4>1966129</vt:i4>
      </vt:variant>
      <vt:variant>
        <vt:i4>206</vt:i4>
      </vt:variant>
      <vt:variant>
        <vt:i4>0</vt:i4>
      </vt:variant>
      <vt:variant>
        <vt:i4>5</vt:i4>
      </vt:variant>
      <vt:variant>
        <vt:lpwstr/>
      </vt:variant>
      <vt:variant>
        <vt:lpwstr>_Toc114139708</vt:lpwstr>
      </vt:variant>
      <vt:variant>
        <vt:i4>1966129</vt:i4>
      </vt:variant>
      <vt:variant>
        <vt:i4>200</vt:i4>
      </vt:variant>
      <vt:variant>
        <vt:i4>0</vt:i4>
      </vt:variant>
      <vt:variant>
        <vt:i4>5</vt:i4>
      </vt:variant>
      <vt:variant>
        <vt:lpwstr/>
      </vt:variant>
      <vt:variant>
        <vt:lpwstr>_Toc114139707</vt:lpwstr>
      </vt:variant>
      <vt:variant>
        <vt:i4>1966129</vt:i4>
      </vt:variant>
      <vt:variant>
        <vt:i4>194</vt:i4>
      </vt:variant>
      <vt:variant>
        <vt:i4>0</vt:i4>
      </vt:variant>
      <vt:variant>
        <vt:i4>5</vt:i4>
      </vt:variant>
      <vt:variant>
        <vt:lpwstr/>
      </vt:variant>
      <vt:variant>
        <vt:lpwstr>_Toc114139706</vt:lpwstr>
      </vt:variant>
      <vt:variant>
        <vt:i4>1966129</vt:i4>
      </vt:variant>
      <vt:variant>
        <vt:i4>188</vt:i4>
      </vt:variant>
      <vt:variant>
        <vt:i4>0</vt:i4>
      </vt:variant>
      <vt:variant>
        <vt:i4>5</vt:i4>
      </vt:variant>
      <vt:variant>
        <vt:lpwstr/>
      </vt:variant>
      <vt:variant>
        <vt:lpwstr>_Toc114139705</vt:lpwstr>
      </vt:variant>
      <vt:variant>
        <vt:i4>1966129</vt:i4>
      </vt:variant>
      <vt:variant>
        <vt:i4>182</vt:i4>
      </vt:variant>
      <vt:variant>
        <vt:i4>0</vt:i4>
      </vt:variant>
      <vt:variant>
        <vt:i4>5</vt:i4>
      </vt:variant>
      <vt:variant>
        <vt:lpwstr/>
      </vt:variant>
      <vt:variant>
        <vt:lpwstr>_Toc114139704</vt:lpwstr>
      </vt:variant>
      <vt:variant>
        <vt:i4>1966129</vt:i4>
      </vt:variant>
      <vt:variant>
        <vt:i4>176</vt:i4>
      </vt:variant>
      <vt:variant>
        <vt:i4>0</vt:i4>
      </vt:variant>
      <vt:variant>
        <vt:i4>5</vt:i4>
      </vt:variant>
      <vt:variant>
        <vt:lpwstr/>
      </vt:variant>
      <vt:variant>
        <vt:lpwstr>_Toc114139703</vt:lpwstr>
      </vt:variant>
      <vt:variant>
        <vt:i4>1966129</vt:i4>
      </vt:variant>
      <vt:variant>
        <vt:i4>170</vt:i4>
      </vt:variant>
      <vt:variant>
        <vt:i4>0</vt:i4>
      </vt:variant>
      <vt:variant>
        <vt:i4>5</vt:i4>
      </vt:variant>
      <vt:variant>
        <vt:lpwstr/>
      </vt:variant>
      <vt:variant>
        <vt:lpwstr>_Toc114139702</vt:lpwstr>
      </vt:variant>
      <vt:variant>
        <vt:i4>1966129</vt:i4>
      </vt:variant>
      <vt:variant>
        <vt:i4>164</vt:i4>
      </vt:variant>
      <vt:variant>
        <vt:i4>0</vt:i4>
      </vt:variant>
      <vt:variant>
        <vt:i4>5</vt:i4>
      </vt:variant>
      <vt:variant>
        <vt:lpwstr/>
      </vt:variant>
      <vt:variant>
        <vt:lpwstr>_Toc114139701</vt:lpwstr>
      </vt:variant>
      <vt:variant>
        <vt:i4>1966129</vt:i4>
      </vt:variant>
      <vt:variant>
        <vt:i4>158</vt:i4>
      </vt:variant>
      <vt:variant>
        <vt:i4>0</vt:i4>
      </vt:variant>
      <vt:variant>
        <vt:i4>5</vt:i4>
      </vt:variant>
      <vt:variant>
        <vt:lpwstr/>
      </vt:variant>
      <vt:variant>
        <vt:lpwstr>_Toc114139700</vt:lpwstr>
      </vt:variant>
      <vt:variant>
        <vt:i4>1507376</vt:i4>
      </vt:variant>
      <vt:variant>
        <vt:i4>152</vt:i4>
      </vt:variant>
      <vt:variant>
        <vt:i4>0</vt:i4>
      </vt:variant>
      <vt:variant>
        <vt:i4>5</vt:i4>
      </vt:variant>
      <vt:variant>
        <vt:lpwstr/>
      </vt:variant>
      <vt:variant>
        <vt:lpwstr>_Toc114139699</vt:lpwstr>
      </vt:variant>
      <vt:variant>
        <vt:i4>1507376</vt:i4>
      </vt:variant>
      <vt:variant>
        <vt:i4>146</vt:i4>
      </vt:variant>
      <vt:variant>
        <vt:i4>0</vt:i4>
      </vt:variant>
      <vt:variant>
        <vt:i4>5</vt:i4>
      </vt:variant>
      <vt:variant>
        <vt:lpwstr/>
      </vt:variant>
      <vt:variant>
        <vt:lpwstr>_Toc114139698</vt:lpwstr>
      </vt:variant>
      <vt:variant>
        <vt:i4>1507376</vt:i4>
      </vt:variant>
      <vt:variant>
        <vt:i4>140</vt:i4>
      </vt:variant>
      <vt:variant>
        <vt:i4>0</vt:i4>
      </vt:variant>
      <vt:variant>
        <vt:i4>5</vt:i4>
      </vt:variant>
      <vt:variant>
        <vt:lpwstr/>
      </vt:variant>
      <vt:variant>
        <vt:lpwstr>_Toc114139697</vt:lpwstr>
      </vt:variant>
      <vt:variant>
        <vt:i4>1507376</vt:i4>
      </vt:variant>
      <vt:variant>
        <vt:i4>134</vt:i4>
      </vt:variant>
      <vt:variant>
        <vt:i4>0</vt:i4>
      </vt:variant>
      <vt:variant>
        <vt:i4>5</vt:i4>
      </vt:variant>
      <vt:variant>
        <vt:lpwstr/>
      </vt:variant>
      <vt:variant>
        <vt:lpwstr>_Toc114139696</vt:lpwstr>
      </vt:variant>
      <vt:variant>
        <vt:i4>1507376</vt:i4>
      </vt:variant>
      <vt:variant>
        <vt:i4>128</vt:i4>
      </vt:variant>
      <vt:variant>
        <vt:i4>0</vt:i4>
      </vt:variant>
      <vt:variant>
        <vt:i4>5</vt:i4>
      </vt:variant>
      <vt:variant>
        <vt:lpwstr/>
      </vt:variant>
      <vt:variant>
        <vt:lpwstr>_Toc114139695</vt:lpwstr>
      </vt:variant>
      <vt:variant>
        <vt:i4>1507376</vt:i4>
      </vt:variant>
      <vt:variant>
        <vt:i4>122</vt:i4>
      </vt:variant>
      <vt:variant>
        <vt:i4>0</vt:i4>
      </vt:variant>
      <vt:variant>
        <vt:i4>5</vt:i4>
      </vt:variant>
      <vt:variant>
        <vt:lpwstr/>
      </vt:variant>
      <vt:variant>
        <vt:lpwstr>_Toc114139694</vt:lpwstr>
      </vt:variant>
      <vt:variant>
        <vt:i4>1507376</vt:i4>
      </vt:variant>
      <vt:variant>
        <vt:i4>116</vt:i4>
      </vt:variant>
      <vt:variant>
        <vt:i4>0</vt:i4>
      </vt:variant>
      <vt:variant>
        <vt:i4>5</vt:i4>
      </vt:variant>
      <vt:variant>
        <vt:lpwstr/>
      </vt:variant>
      <vt:variant>
        <vt:lpwstr>_Toc114139693</vt:lpwstr>
      </vt:variant>
      <vt:variant>
        <vt:i4>1507376</vt:i4>
      </vt:variant>
      <vt:variant>
        <vt:i4>110</vt:i4>
      </vt:variant>
      <vt:variant>
        <vt:i4>0</vt:i4>
      </vt:variant>
      <vt:variant>
        <vt:i4>5</vt:i4>
      </vt:variant>
      <vt:variant>
        <vt:lpwstr/>
      </vt:variant>
      <vt:variant>
        <vt:lpwstr>_Toc114139692</vt:lpwstr>
      </vt:variant>
      <vt:variant>
        <vt:i4>1507376</vt:i4>
      </vt:variant>
      <vt:variant>
        <vt:i4>104</vt:i4>
      </vt:variant>
      <vt:variant>
        <vt:i4>0</vt:i4>
      </vt:variant>
      <vt:variant>
        <vt:i4>5</vt:i4>
      </vt:variant>
      <vt:variant>
        <vt:lpwstr/>
      </vt:variant>
      <vt:variant>
        <vt:lpwstr>_Toc114139691</vt:lpwstr>
      </vt:variant>
      <vt:variant>
        <vt:i4>1507376</vt:i4>
      </vt:variant>
      <vt:variant>
        <vt:i4>98</vt:i4>
      </vt:variant>
      <vt:variant>
        <vt:i4>0</vt:i4>
      </vt:variant>
      <vt:variant>
        <vt:i4>5</vt:i4>
      </vt:variant>
      <vt:variant>
        <vt:lpwstr/>
      </vt:variant>
      <vt:variant>
        <vt:lpwstr>_Toc114139690</vt:lpwstr>
      </vt:variant>
      <vt:variant>
        <vt:i4>1441840</vt:i4>
      </vt:variant>
      <vt:variant>
        <vt:i4>92</vt:i4>
      </vt:variant>
      <vt:variant>
        <vt:i4>0</vt:i4>
      </vt:variant>
      <vt:variant>
        <vt:i4>5</vt:i4>
      </vt:variant>
      <vt:variant>
        <vt:lpwstr/>
      </vt:variant>
      <vt:variant>
        <vt:lpwstr>_Toc114139689</vt:lpwstr>
      </vt:variant>
      <vt:variant>
        <vt:i4>1441840</vt:i4>
      </vt:variant>
      <vt:variant>
        <vt:i4>86</vt:i4>
      </vt:variant>
      <vt:variant>
        <vt:i4>0</vt:i4>
      </vt:variant>
      <vt:variant>
        <vt:i4>5</vt:i4>
      </vt:variant>
      <vt:variant>
        <vt:lpwstr/>
      </vt:variant>
      <vt:variant>
        <vt:lpwstr>_Toc114139688</vt:lpwstr>
      </vt:variant>
      <vt:variant>
        <vt:i4>1441840</vt:i4>
      </vt:variant>
      <vt:variant>
        <vt:i4>80</vt:i4>
      </vt:variant>
      <vt:variant>
        <vt:i4>0</vt:i4>
      </vt:variant>
      <vt:variant>
        <vt:i4>5</vt:i4>
      </vt:variant>
      <vt:variant>
        <vt:lpwstr/>
      </vt:variant>
      <vt:variant>
        <vt:lpwstr>_Toc114139687</vt:lpwstr>
      </vt:variant>
      <vt:variant>
        <vt:i4>1441840</vt:i4>
      </vt:variant>
      <vt:variant>
        <vt:i4>74</vt:i4>
      </vt:variant>
      <vt:variant>
        <vt:i4>0</vt:i4>
      </vt:variant>
      <vt:variant>
        <vt:i4>5</vt:i4>
      </vt:variant>
      <vt:variant>
        <vt:lpwstr/>
      </vt:variant>
      <vt:variant>
        <vt:lpwstr>_Toc114139686</vt:lpwstr>
      </vt:variant>
      <vt:variant>
        <vt:i4>1441840</vt:i4>
      </vt:variant>
      <vt:variant>
        <vt:i4>68</vt:i4>
      </vt:variant>
      <vt:variant>
        <vt:i4>0</vt:i4>
      </vt:variant>
      <vt:variant>
        <vt:i4>5</vt:i4>
      </vt:variant>
      <vt:variant>
        <vt:lpwstr/>
      </vt:variant>
      <vt:variant>
        <vt:lpwstr>_Toc114139685</vt:lpwstr>
      </vt:variant>
      <vt:variant>
        <vt:i4>1441840</vt:i4>
      </vt:variant>
      <vt:variant>
        <vt:i4>62</vt:i4>
      </vt:variant>
      <vt:variant>
        <vt:i4>0</vt:i4>
      </vt:variant>
      <vt:variant>
        <vt:i4>5</vt:i4>
      </vt:variant>
      <vt:variant>
        <vt:lpwstr/>
      </vt:variant>
      <vt:variant>
        <vt:lpwstr>_Toc114139684</vt:lpwstr>
      </vt:variant>
      <vt:variant>
        <vt:i4>1441840</vt:i4>
      </vt:variant>
      <vt:variant>
        <vt:i4>56</vt:i4>
      </vt:variant>
      <vt:variant>
        <vt:i4>0</vt:i4>
      </vt:variant>
      <vt:variant>
        <vt:i4>5</vt:i4>
      </vt:variant>
      <vt:variant>
        <vt:lpwstr/>
      </vt:variant>
      <vt:variant>
        <vt:lpwstr>_Toc114139683</vt:lpwstr>
      </vt:variant>
      <vt:variant>
        <vt:i4>1441840</vt:i4>
      </vt:variant>
      <vt:variant>
        <vt:i4>50</vt:i4>
      </vt:variant>
      <vt:variant>
        <vt:i4>0</vt:i4>
      </vt:variant>
      <vt:variant>
        <vt:i4>5</vt:i4>
      </vt:variant>
      <vt:variant>
        <vt:lpwstr/>
      </vt:variant>
      <vt:variant>
        <vt:lpwstr>_Toc114139682</vt:lpwstr>
      </vt:variant>
      <vt:variant>
        <vt:i4>1441840</vt:i4>
      </vt:variant>
      <vt:variant>
        <vt:i4>44</vt:i4>
      </vt:variant>
      <vt:variant>
        <vt:i4>0</vt:i4>
      </vt:variant>
      <vt:variant>
        <vt:i4>5</vt:i4>
      </vt:variant>
      <vt:variant>
        <vt:lpwstr/>
      </vt:variant>
      <vt:variant>
        <vt:lpwstr>_Toc114139681</vt:lpwstr>
      </vt:variant>
      <vt:variant>
        <vt:i4>1441840</vt:i4>
      </vt:variant>
      <vt:variant>
        <vt:i4>38</vt:i4>
      </vt:variant>
      <vt:variant>
        <vt:i4>0</vt:i4>
      </vt:variant>
      <vt:variant>
        <vt:i4>5</vt:i4>
      </vt:variant>
      <vt:variant>
        <vt:lpwstr/>
      </vt:variant>
      <vt:variant>
        <vt:lpwstr>_Toc114139680</vt:lpwstr>
      </vt:variant>
      <vt:variant>
        <vt:i4>1638448</vt:i4>
      </vt:variant>
      <vt:variant>
        <vt:i4>32</vt:i4>
      </vt:variant>
      <vt:variant>
        <vt:i4>0</vt:i4>
      </vt:variant>
      <vt:variant>
        <vt:i4>5</vt:i4>
      </vt:variant>
      <vt:variant>
        <vt:lpwstr/>
      </vt:variant>
      <vt:variant>
        <vt:lpwstr>_Toc114139679</vt:lpwstr>
      </vt:variant>
      <vt:variant>
        <vt:i4>1638448</vt:i4>
      </vt:variant>
      <vt:variant>
        <vt:i4>26</vt:i4>
      </vt:variant>
      <vt:variant>
        <vt:i4>0</vt:i4>
      </vt:variant>
      <vt:variant>
        <vt:i4>5</vt:i4>
      </vt:variant>
      <vt:variant>
        <vt:lpwstr/>
      </vt:variant>
      <vt:variant>
        <vt:lpwstr>_Toc114139678</vt:lpwstr>
      </vt:variant>
      <vt:variant>
        <vt:i4>1638448</vt:i4>
      </vt:variant>
      <vt:variant>
        <vt:i4>20</vt:i4>
      </vt:variant>
      <vt:variant>
        <vt:i4>0</vt:i4>
      </vt:variant>
      <vt:variant>
        <vt:i4>5</vt:i4>
      </vt:variant>
      <vt:variant>
        <vt:lpwstr/>
      </vt:variant>
      <vt:variant>
        <vt:lpwstr>_Toc114139677</vt:lpwstr>
      </vt:variant>
      <vt:variant>
        <vt:i4>1638448</vt:i4>
      </vt:variant>
      <vt:variant>
        <vt:i4>14</vt:i4>
      </vt:variant>
      <vt:variant>
        <vt:i4>0</vt:i4>
      </vt:variant>
      <vt:variant>
        <vt:i4>5</vt:i4>
      </vt:variant>
      <vt:variant>
        <vt:lpwstr/>
      </vt:variant>
      <vt:variant>
        <vt:lpwstr>_Toc114139676</vt:lpwstr>
      </vt:variant>
      <vt:variant>
        <vt:i4>1638448</vt:i4>
      </vt:variant>
      <vt:variant>
        <vt:i4>8</vt:i4>
      </vt:variant>
      <vt:variant>
        <vt:i4>0</vt:i4>
      </vt:variant>
      <vt:variant>
        <vt:i4>5</vt:i4>
      </vt:variant>
      <vt:variant>
        <vt:lpwstr/>
      </vt:variant>
      <vt:variant>
        <vt:lpwstr>_Toc114139675</vt:lpwstr>
      </vt:variant>
      <vt:variant>
        <vt:i4>1638448</vt:i4>
      </vt:variant>
      <vt:variant>
        <vt:i4>2</vt:i4>
      </vt:variant>
      <vt:variant>
        <vt:i4>0</vt:i4>
      </vt:variant>
      <vt:variant>
        <vt:i4>5</vt:i4>
      </vt:variant>
      <vt:variant>
        <vt:lpwstr/>
      </vt:variant>
      <vt:variant>
        <vt:lpwstr>_Toc114139674</vt:lpwstr>
      </vt:variant>
      <vt:variant>
        <vt:i4>2162727</vt:i4>
      </vt:variant>
      <vt:variant>
        <vt:i4>189</vt:i4>
      </vt:variant>
      <vt:variant>
        <vt:i4>0</vt:i4>
      </vt:variant>
      <vt:variant>
        <vt:i4>5</vt:i4>
      </vt:variant>
      <vt:variant>
        <vt:lpwstr>https://www.scholarsandstorytellers.com/air</vt:lpwstr>
      </vt:variant>
      <vt:variant>
        <vt:lpwstr/>
      </vt:variant>
      <vt:variant>
        <vt:i4>2228282</vt:i4>
      </vt:variant>
      <vt:variant>
        <vt:i4>186</vt:i4>
      </vt:variant>
      <vt:variant>
        <vt:i4>0</vt:i4>
      </vt:variant>
      <vt:variant>
        <vt:i4>5</vt:i4>
      </vt:variant>
      <vt:variant>
        <vt:lpwstr>https://psyarxiv.com/bv2pq/</vt:lpwstr>
      </vt:variant>
      <vt:variant>
        <vt:lpwstr/>
      </vt:variant>
      <vt:variant>
        <vt:i4>4325444</vt:i4>
      </vt:variant>
      <vt:variant>
        <vt:i4>183</vt:i4>
      </vt:variant>
      <vt:variant>
        <vt:i4>0</vt:i4>
      </vt:variant>
      <vt:variant>
        <vt:i4>5</vt:i4>
      </vt:variant>
      <vt:variant>
        <vt:lpwstr>https://www.scholarsandstorytellers.com/blog-main/diversity-in-hollywood-the-case-for-authentic-disability-representation-in-film-and-tv</vt:lpwstr>
      </vt:variant>
      <vt:variant>
        <vt:lpwstr/>
      </vt:variant>
      <vt:variant>
        <vt:i4>5308511</vt:i4>
      </vt:variant>
      <vt:variant>
        <vt:i4>180</vt:i4>
      </vt:variant>
      <vt:variant>
        <vt:i4>0</vt:i4>
      </vt:variant>
      <vt:variant>
        <vt:i4>5</vt:i4>
      </vt:variant>
      <vt:variant>
        <vt:lpwstr>https://www.mirror.co.uk/news/uk-news/autistic-boy-says-teachers-ignored-24917971</vt:lpwstr>
      </vt:variant>
      <vt:variant>
        <vt:lpwstr/>
      </vt:variant>
      <vt:variant>
        <vt:i4>2228331</vt:i4>
      </vt:variant>
      <vt:variant>
        <vt:i4>177</vt:i4>
      </vt:variant>
      <vt:variant>
        <vt:i4>0</vt:i4>
      </vt:variant>
      <vt:variant>
        <vt:i4>5</vt:i4>
      </vt:variant>
      <vt:variant>
        <vt:lpwstr>https://www.ons.gov.uk/peoplepopulationandcommunity/birthsdeathsandmarriages/deaths/datasets/suicidesintheunitedkingdomreferencetables</vt:lpwstr>
      </vt:variant>
      <vt:variant>
        <vt:lpwstr/>
      </vt:variant>
      <vt:variant>
        <vt:i4>65621</vt:i4>
      </vt:variant>
      <vt:variant>
        <vt:i4>174</vt:i4>
      </vt:variant>
      <vt:variant>
        <vt:i4>0</vt:i4>
      </vt:variant>
      <vt:variant>
        <vt:i4>5</vt:i4>
      </vt:variant>
      <vt:variant>
        <vt:lpwstr>https://metro.co.uk/2017/12/08/abused-boy-killed-himself-at-childrens-home-after-cries-for-help-were-ignored-7144244/</vt:lpwstr>
      </vt:variant>
      <vt:variant>
        <vt:lpwstr/>
      </vt:variant>
      <vt:variant>
        <vt:i4>5570629</vt:i4>
      </vt:variant>
      <vt:variant>
        <vt:i4>171</vt:i4>
      </vt:variant>
      <vt:variant>
        <vt:i4>0</vt:i4>
      </vt:variant>
      <vt:variant>
        <vt:i4>5</vt:i4>
      </vt:variant>
      <vt:variant>
        <vt:lpwstr>https://www.birminghammail.co.uk/news/midlands-news/woman-killed-herself-after-neighbour-12399545</vt:lpwstr>
      </vt:variant>
      <vt:variant>
        <vt:lpwstr/>
      </vt:variant>
      <vt:variant>
        <vt:i4>7012408</vt:i4>
      </vt:variant>
      <vt:variant>
        <vt:i4>168</vt:i4>
      </vt:variant>
      <vt:variant>
        <vt:i4>0</vt:i4>
      </vt:variant>
      <vt:variant>
        <vt:i4>5</vt:i4>
      </vt:variant>
      <vt:variant>
        <vt:lpwstr>https://www.yorkshireeveningpost.co.uk/news/crime/leeds-mums-cry-help-after-daughter-downs-syndrome-targeted-yobs-swarcliffe-478861</vt:lpwstr>
      </vt:variant>
      <vt:variant>
        <vt:lpwstr/>
      </vt:variant>
      <vt:variant>
        <vt:i4>1572941</vt:i4>
      </vt:variant>
      <vt:variant>
        <vt:i4>165</vt:i4>
      </vt:variant>
      <vt:variant>
        <vt:i4>0</vt:i4>
      </vt:variant>
      <vt:variant>
        <vt:i4>5</vt:i4>
      </vt:variant>
      <vt:variant>
        <vt:lpwstr>https://www.walesonline.co.uk/news/wales-news/former-soldier-mother-jailed-life-14261774</vt:lpwstr>
      </vt:variant>
      <vt:variant>
        <vt:lpwstr/>
      </vt:variant>
      <vt:variant>
        <vt:i4>5636186</vt:i4>
      </vt:variant>
      <vt:variant>
        <vt:i4>162</vt:i4>
      </vt:variant>
      <vt:variant>
        <vt:i4>0</vt:i4>
      </vt:variant>
      <vt:variant>
        <vt:i4>5</vt:i4>
      </vt:variant>
      <vt:variant>
        <vt:lpwstr>https://www.heart.co.uk/fourcounties/news/local/hatfield-dad-jailed-for-life/</vt:lpwstr>
      </vt:variant>
      <vt:variant>
        <vt:lpwstr/>
      </vt:variant>
      <vt:variant>
        <vt:i4>2359341</vt:i4>
      </vt:variant>
      <vt:variant>
        <vt:i4>159</vt:i4>
      </vt:variant>
      <vt:variant>
        <vt:i4>0</vt:i4>
      </vt:variant>
      <vt:variant>
        <vt:i4>5</vt:i4>
      </vt:variant>
      <vt:variant>
        <vt:lpwstr>https://www.dailymail.co.uk/news/article-3585008/Four-year-old-girl-beaten-death-sadistic-father-courts-social-workers-repeatedly-missed-chances-save-awarded-custody.html</vt:lpwstr>
      </vt:variant>
      <vt:variant>
        <vt:lpwstr/>
      </vt:variant>
      <vt:variant>
        <vt:i4>3145845</vt:i4>
      </vt:variant>
      <vt:variant>
        <vt:i4>156</vt:i4>
      </vt:variant>
      <vt:variant>
        <vt:i4>0</vt:i4>
      </vt:variant>
      <vt:variant>
        <vt:i4>5</vt:i4>
      </vt:variant>
      <vt:variant>
        <vt:lpwstr>https://autisticadvocacy.org/projects/community/mourning/anti-filicide/</vt:lpwstr>
      </vt:variant>
      <vt:variant>
        <vt:lpwstr/>
      </vt:variant>
      <vt:variant>
        <vt:i4>4915223</vt:i4>
      </vt:variant>
      <vt:variant>
        <vt:i4>153</vt:i4>
      </vt:variant>
      <vt:variant>
        <vt:i4>0</vt:i4>
      </vt:variant>
      <vt:variant>
        <vt:i4>5</vt:i4>
      </vt:variant>
      <vt:variant>
        <vt:lpwstr>https://www.theguardian.com/uk/2005/sep/24/patrickbarkham.uknews2</vt:lpwstr>
      </vt:variant>
      <vt:variant>
        <vt:lpwstr/>
      </vt:variant>
      <vt:variant>
        <vt:i4>5177419</vt:i4>
      </vt:variant>
      <vt:variant>
        <vt:i4>150</vt:i4>
      </vt:variant>
      <vt:variant>
        <vt:i4>0</vt:i4>
      </vt:variant>
      <vt:variant>
        <vt:i4>5</vt:i4>
      </vt:variant>
      <vt:variant>
        <vt:lpwstr>https://www.dailymail.co.uk/news/article-367460/Mother-killed-Downs-son-allowed-free.html</vt:lpwstr>
      </vt:variant>
      <vt:variant>
        <vt:lpwstr/>
      </vt:variant>
      <vt:variant>
        <vt:i4>6291580</vt:i4>
      </vt:variant>
      <vt:variant>
        <vt:i4>147</vt:i4>
      </vt:variant>
      <vt:variant>
        <vt:i4>0</vt:i4>
      </vt:variant>
      <vt:variant>
        <vt:i4>5</vt:i4>
      </vt:variant>
      <vt:variant>
        <vt:lpwstr>https://www.mirror.co.uk/news/uk-news/father-strangled-daughter-couldnt-suffer-11961396</vt:lpwstr>
      </vt:variant>
      <vt:variant>
        <vt:lpwstr/>
      </vt:variant>
      <vt:variant>
        <vt:i4>3735676</vt:i4>
      </vt:variant>
      <vt:variant>
        <vt:i4>144</vt:i4>
      </vt:variant>
      <vt:variant>
        <vt:i4>0</vt:i4>
      </vt:variant>
      <vt:variant>
        <vt:i4>5</vt:i4>
      </vt:variant>
      <vt:variant>
        <vt:lpwstr>https://www.kentlive.news/news/kent-news/father-strangled-daughter-death-herne-1159450</vt:lpwstr>
      </vt:variant>
      <vt:variant>
        <vt:lpwstr/>
      </vt:variant>
      <vt:variant>
        <vt:i4>7274604</vt:i4>
      </vt:variant>
      <vt:variant>
        <vt:i4>141</vt:i4>
      </vt:variant>
      <vt:variant>
        <vt:i4>0</vt:i4>
      </vt:variant>
      <vt:variant>
        <vt:i4>5</vt:i4>
      </vt:variant>
      <vt:variant>
        <vt:lpwstr>https://metro.co.uk/2018/09/25/man-killed-wife-then-himself-fearing-he-would-get-dementia-like-her-7978395/</vt:lpwstr>
      </vt:variant>
      <vt:variant>
        <vt:lpwstr/>
      </vt:variant>
      <vt:variant>
        <vt:i4>7</vt:i4>
      </vt:variant>
      <vt:variant>
        <vt:i4>138</vt:i4>
      </vt:variant>
      <vt:variant>
        <vt:i4>0</vt:i4>
      </vt:variant>
      <vt:variant>
        <vt:i4>5</vt:i4>
      </vt:variant>
      <vt:variant>
        <vt:lpwstr>https://disability-memorial.org/</vt:lpwstr>
      </vt:variant>
      <vt:variant>
        <vt:lpwstr/>
      </vt:variant>
      <vt:variant>
        <vt:i4>7798835</vt:i4>
      </vt:variant>
      <vt:variant>
        <vt:i4>135</vt:i4>
      </vt:variant>
      <vt:variant>
        <vt:i4>0</vt:i4>
      </vt:variant>
      <vt:variant>
        <vt:i4>5</vt:i4>
      </vt:variant>
      <vt:variant>
        <vt:lpwstr>https://doi.org/10.5204/ijcjsd.1851</vt:lpwstr>
      </vt:variant>
      <vt:variant>
        <vt:lpwstr/>
      </vt:variant>
      <vt:variant>
        <vt:i4>1638429</vt:i4>
      </vt:variant>
      <vt:variant>
        <vt:i4>132</vt:i4>
      </vt:variant>
      <vt:variant>
        <vt:i4>0</vt:i4>
      </vt:variant>
      <vt:variant>
        <vt:i4>5</vt:i4>
      </vt:variant>
      <vt:variant>
        <vt:lpwstr>https://spssi.onlinelibrary.wiley.com/doi/10.1111/josi.12248</vt:lpwstr>
      </vt:variant>
      <vt:variant>
        <vt:lpwstr/>
      </vt:variant>
      <vt:variant>
        <vt:i4>2490422</vt:i4>
      </vt:variant>
      <vt:variant>
        <vt:i4>129</vt:i4>
      </vt:variant>
      <vt:variant>
        <vt:i4>0</vt:i4>
      </vt:variant>
      <vt:variant>
        <vt:i4>5</vt:i4>
      </vt:variant>
      <vt:variant>
        <vt:lpwstr>https://encompass.eku.edu/cgi/viewcontent.cgi?article=1008&amp;context=kjus</vt:lpwstr>
      </vt:variant>
      <vt:variant>
        <vt:lpwstr/>
      </vt:variant>
      <vt:variant>
        <vt:i4>3997729</vt:i4>
      </vt:variant>
      <vt:variant>
        <vt:i4>126</vt:i4>
      </vt:variant>
      <vt:variant>
        <vt:i4>0</vt:i4>
      </vt:variant>
      <vt:variant>
        <vt:i4>5</vt:i4>
      </vt:variant>
      <vt:variant>
        <vt:lpwstr>https://www.wsws.org/en/articles/2010/12/mcin-d22.html</vt:lpwstr>
      </vt:variant>
      <vt:variant>
        <vt:lpwstr/>
      </vt:variant>
      <vt:variant>
        <vt:i4>65548</vt:i4>
      </vt:variant>
      <vt:variant>
        <vt:i4>123</vt:i4>
      </vt:variant>
      <vt:variant>
        <vt:i4>0</vt:i4>
      </vt:variant>
      <vt:variant>
        <vt:i4>5</vt:i4>
      </vt:variant>
      <vt:variant>
        <vt:lpwstr>https://www.theguardian.com/politics/2011/aug/24/ipcc-upholds-protester-complaint-police</vt:lpwstr>
      </vt:variant>
      <vt:variant>
        <vt:lpwstr/>
      </vt:variant>
      <vt:variant>
        <vt:i4>1245272</vt:i4>
      </vt:variant>
      <vt:variant>
        <vt:i4>120</vt:i4>
      </vt:variant>
      <vt:variant>
        <vt:i4>0</vt:i4>
      </vt:variant>
      <vt:variant>
        <vt:i4>5</vt:i4>
      </vt:variant>
      <vt:variant>
        <vt:lpwstr>https://www.theguardian.com/society/2022/jul/05/they-saw-me-as-calculating-not-a-child-how-adultification-leads-to-black-children-being-treated-as-criminals</vt:lpwstr>
      </vt:variant>
      <vt:variant>
        <vt:lpwstr/>
      </vt:variant>
      <vt:variant>
        <vt:i4>7929952</vt:i4>
      </vt:variant>
      <vt:variant>
        <vt:i4>117</vt:i4>
      </vt:variant>
      <vt:variant>
        <vt:i4>0</vt:i4>
      </vt:variant>
      <vt:variant>
        <vt:i4>5</vt:i4>
      </vt:variant>
      <vt:variant>
        <vt:lpwstr>https://canbc.org/blog/proper-terminology-dont-use-confined-to-or-wheelchair-bound/</vt:lpwstr>
      </vt:variant>
      <vt:variant>
        <vt:lpwstr/>
      </vt:variant>
      <vt:variant>
        <vt:i4>3014703</vt:i4>
      </vt:variant>
      <vt:variant>
        <vt:i4>114</vt:i4>
      </vt:variant>
      <vt:variant>
        <vt:i4>0</vt:i4>
      </vt:variant>
      <vt:variant>
        <vt:i4>5</vt:i4>
      </vt:variant>
      <vt:variant>
        <vt:lpwstr>https://www.mentalhealth.org.uk/explore-mental-health/blogs/why-language-we-use-describe-mental-health-matters</vt:lpwstr>
      </vt:variant>
      <vt:variant>
        <vt:lpwstr/>
      </vt:variant>
      <vt:variant>
        <vt:i4>7274551</vt:i4>
      </vt:variant>
      <vt:variant>
        <vt:i4>111</vt:i4>
      </vt:variant>
      <vt:variant>
        <vt:i4>0</vt:i4>
      </vt:variant>
      <vt:variant>
        <vt:i4>5</vt:i4>
      </vt:variant>
      <vt:variant>
        <vt:lpwstr>https://hellomichelleswan.com/my-needs-are-not-special/</vt:lpwstr>
      </vt:variant>
      <vt:variant>
        <vt:lpwstr/>
      </vt:variant>
      <vt:variant>
        <vt:i4>4915269</vt:i4>
      </vt:variant>
      <vt:variant>
        <vt:i4>108</vt:i4>
      </vt:variant>
      <vt:variant>
        <vt:i4>0</vt:i4>
      </vt:variant>
      <vt:variant>
        <vt:i4>5</vt:i4>
      </vt:variant>
      <vt:variant>
        <vt:lpwstr>https://johndabell.com/2020/11/16/why-special-needs-needs-to-go/</vt:lpwstr>
      </vt:variant>
      <vt:variant>
        <vt:lpwstr/>
      </vt:variant>
      <vt:variant>
        <vt:i4>1704031</vt:i4>
      </vt:variant>
      <vt:variant>
        <vt:i4>105</vt:i4>
      </vt:variant>
      <vt:variant>
        <vt:i4>0</vt:i4>
      </vt:variant>
      <vt:variant>
        <vt:i4>5</vt:i4>
      </vt:variant>
      <vt:variant>
        <vt:lpwstr>https://www.meriahnichols.com/3-reasons-say-disability-instead-special-needs/</vt:lpwstr>
      </vt:variant>
      <vt:variant>
        <vt:lpwstr/>
      </vt:variant>
      <vt:variant>
        <vt:i4>5046278</vt:i4>
      </vt:variant>
      <vt:variant>
        <vt:i4>102</vt:i4>
      </vt:variant>
      <vt:variant>
        <vt:i4>0</vt:i4>
      </vt:variant>
      <vt:variant>
        <vt:i4>5</vt:i4>
      </vt:variant>
      <vt:variant>
        <vt:lpwstr>https://www.dailymail.co.uk/news/article-3586908/Boyfriend-42-murdered-special-needs-girlfriend-beating-walking-stick-dousing-white-spirit-setting-fire-jailed-life.html</vt:lpwstr>
      </vt:variant>
      <vt:variant>
        <vt:lpwstr/>
      </vt:variant>
      <vt:variant>
        <vt:i4>7209006</vt:i4>
      </vt:variant>
      <vt:variant>
        <vt:i4>99</vt:i4>
      </vt:variant>
      <vt:variant>
        <vt:i4>0</vt:i4>
      </vt:variant>
      <vt:variant>
        <vt:i4>5</vt:i4>
      </vt:variant>
      <vt:variant>
        <vt:lpwstr>https://www.manchestereveningnews.co.uk/news/greater-manchester-news/boozed-up-nutcase-beat-vulnerable-19104180</vt:lpwstr>
      </vt:variant>
      <vt:variant>
        <vt:lpwstr/>
      </vt:variant>
      <vt:variant>
        <vt:i4>5111839</vt:i4>
      </vt:variant>
      <vt:variant>
        <vt:i4>96</vt:i4>
      </vt:variant>
      <vt:variant>
        <vt:i4>0</vt:i4>
      </vt:variant>
      <vt:variant>
        <vt:i4>5</vt:i4>
      </vt:variant>
      <vt:variant>
        <vt:lpwstr>https://www.manchestereveningnews.co.uk/news/greater-manchester-news/kick-boxing-coward-who-murdered-19173395</vt:lpwstr>
      </vt:variant>
      <vt:variant>
        <vt:lpwstr/>
      </vt:variant>
      <vt:variant>
        <vt:i4>5898304</vt:i4>
      </vt:variant>
      <vt:variant>
        <vt:i4>93</vt:i4>
      </vt:variant>
      <vt:variant>
        <vt:i4>0</vt:i4>
      </vt:variant>
      <vt:variant>
        <vt:i4>5</vt:i4>
      </vt:variant>
      <vt:variant>
        <vt:lpwstr>https://en.wikipedia.org/wiki/List_of_disability-related_terms_with_negative_connotations</vt:lpwstr>
      </vt:variant>
      <vt:variant>
        <vt:lpwstr/>
      </vt:variant>
      <vt:variant>
        <vt:i4>196679</vt:i4>
      </vt:variant>
      <vt:variant>
        <vt:i4>90</vt:i4>
      </vt:variant>
      <vt:variant>
        <vt:i4>0</vt:i4>
      </vt:variant>
      <vt:variant>
        <vt:i4>5</vt:i4>
      </vt:variant>
      <vt:variant>
        <vt:lpwstr>https://www.echo-news.co.uk/news/16444909.ilie-ciubotaru-jailed-attacking-vulnerable-man-southend-care-home/</vt:lpwstr>
      </vt:variant>
      <vt:variant>
        <vt:lpwstr/>
      </vt:variant>
      <vt:variant>
        <vt:i4>3014718</vt:i4>
      </vt:variant>
      <vt:variant>
        <vt:i4>87</vt:i4>
      </vt:variant>
      <vt:variant>
        <vt:i4>0</vt:i4>
      </vt:variant>
      <vt:variant>
        <vt:i4>5</vt:i4>
      </vt:variant>
      <vt:variant>
        <vt:lpwstr>https://www.tandfonline.com/doi/full/10.1080/1461670X.2019.1632735</vt:lpwstr>
      </vt:variant>
      <vt:variant>
        <vt:lpwstr/>
      </vt:variant>
      <vt:variant>
        <vt:i4>5308505</vt:i4>
      </vt:variant>
      <vt:variant>
        <vt:i4>84</vt:i4>
      </vt:variant>
      <vt:variant>
        <vt:i4>0</vt:i4>
      </vt:variant>
      <vt:variant>
        <vt:i4>5</vt:i4>
      </vt:variant>
      <vt:variant>
        <vt:lpwstr>https://www.bbc.co.uk/news/uk-wales-13549363</vt:lpwstr>
      </vt:variant>
      <vt:variant>
        <vt:lpwstr/>
      </vt:variant>
      <vt:variant>
        <vt:i4>1441867</vt:i4>
      </vt:variant>
      <vt:variant>
        <vt:i4>81</vt:i4>
      </vt:variant>
      <vt:variant>
        <vt:i4>0</vt:i4>
      </vt:variant>
      <vt:variant>
        <vt:i4>5</vt:i4>
      </vt:variant>
      <vt:variant>
        <vt:lpwstr>https://www.disabilitynewsservice.com/head-of-judiciary-said-brexit-delays-will-rule-out-vital-hate-crime-law-change/</vt:lpwstr>
      </vt:variant>
      <vt:variant>
        <vt:lpwstr/>
      </vt:variant>
      <vt:variant>
        <vt:i4>196624</vt:i4>
      </vt:variant>
      <vt:variant>
        <vt:i4>78</vt:i4>
      </vt:variant>
      <vt:variant>
        <vt:i4>0</vt:i4>
      </vt:variant>
      <vt:variant>
        <vt:i4>5</vt:i4>
      </vt:variant>
      <vt:variant>
        <vt:lpwstr>https://www.stokesentinel.co.uk/news/stoke-on-trent-news/stoke-city-worker-25-pushed-5223555</vt:lpwstr>
      </vt:variant>
      <vt:variant>
        <vt:lpwstr/>
      </vt:variant>
      <vt:variant>
        <vt:i4>7143542</vt:i4>
      </vt:variant>
      <vt:variant>
        <vt:i4>75</vt:i4>
      </vt:variant>
      <vt:variant>
        <vt:i4>0</vt:i4>
      </vt:variant>
      <vt:variant>
        <vt:i4>5</vt:i4>
      </vt:variant>
      <vt:variant>
        <vt:lpwstr>https://www.forbes.com/sites/andrewpulrang/2021/02/20/its-time-to-stop-even-casually-misusing-disability-words/?sh=5ed851fa7d4e</vt:lpwstr>
      </vt:variant>
      <vt:variant>
        <vt:lpwstr/>
      </vt:variant>
      <vt:variant>
        <vt:i4>8323192</vt:i4>
      </vt:variant>
      <vt:variant>
        <vt:i4>72</vt:i4>
      </vt:variant>
      <vt:variant>
        <vt:i4>0</vt:i4>
      </vt:variant>
      <vt:variant>
        <vt:i4>5</vt:i4>
      </vt:variant>
      <vt:variant>
        <vt:lpwstr>https://www.sussex.ac.uk/webteam/gateway/file.php?name=final-report---hate-crime-and-the-legal-process.pdf&amp;site=539</vt:lpwstr>
      </vt:variant>
      <vt:variant>
        <vt:lpwstr/>
      </vt:variant>
      <vt:variant>
        <vt:i4>5832772</vt:i4>
      </vt:variant>
      <vt:variant>
        <vt:i4>69</vt:i4>
      </vt:variant>
      <vt:variant>
        <vt:i4>0</vt:i4>
      </vt:variant>
      <vt:variant>
        <vt:i4>5</vt:i4>
      </vt:variant>
      <vt:variant>
        <vt:lpwstr>https://www.bbc.co.uk/news/uk-england-london-57396725</vt:lpwstr>
      </vt:variant>
      <vt:variant>
        <vt:lpwstr/>
      </vt:variant>
      <vt:variant>
        <vt:i4>8323192</vt:i4>
      </vt:variant>
      <vt:variant>
        <vt:i4>66</vt:i4>
      </vt:variant>
      <vt:variant>
        <vt:i4>0</vt:i4>
      </vt:variant>
      <vt:variant>
        <vt:i4>5</vt:i4>
      </vt:variant>
      <vt:variant>
        <vt:lpwstr>https://www.sussex.ac.uk/webteam/gateway/file.php?name=final-report---hate-crime-and-the-legal-process.pdf&amp;site=539</vt:lpwstr>
      </vt:variant>
      <vt:variant>
        <vt:lpwstr/>
      </vt:variant>
      <vt:variant>
        <vt:i4>720902</vt:i4>
      </vt:variant>
      <vt:variant>
        <vt:i4>63</vt:i4>
      </vt:variant>
      <vt:variant>
        <vt:i4>0</vt:i4>
      </vt:variant>
      <vt:variant>
        <vt:i4>5</vt:i4>
      </vt:variant>
      <vt:variant>
        <vt:lpwstr>https://www.judiciary.uk/wp-content/uploads/2022/02/R-v-Boulton-sentencing-020222.pdf</vt:lpwstr>
      </vt:variant>
      <vt:variant>
        <vt:lpwstr/>
      </vt:variant>
      <vt:variant>
        <vt:i4>7143523</vt:i4>
      </vt:variant>
      <vt:variant>
        <vt:i4>60</vt:i4>
      </vt:variant>
      <vt:variant>
        <vt:i4>0</vt:i4>
      </vt:variant>
      <vt:variant>
        <vt:i4>5</vt:i4>
      </vt:variant>
      <vt:variant>
        <vt:lpwstr>https://www.guardian-series.co.uk/news/17994148.walthamstow-teacher-kicked-pupil-avoids-ban-profession/</vt:lpwstr>
      </vt:variant>
      <vt:variant>
        <vt:lpwstr/>
      </vt:variant>
      <vt:variant>
        <vt:i4>3538983</vt:i4>
      </vt:variant>
      <vt:variant>
        <vt:i4>57</vt:i4>
      </vt:variant>
      <vt:variant>
        <vt:i4>0</vt:i4>
      </vt:variant>
      <vt:variant>
        <vt:i4>5</vt:i4>
      </vt:variant>
      <vt:variant>
        <vt:lpwstr>https://www.bbc.co.uk/news/uk-england-beds-bucks-herts-35987385</vt:lpwstr>
      </vt:variant>
      <vt:variant>
        <vt:lpwstr/>
      </vt:variant>
      <vt:variant>
        <vt:i4>1179714</vt:i4>
      </vt:variant>
      <vt:variant>
        <vt:i4>54</vt:i4>
      </vt:variant>
      <vt:variant>
        <vt:i4>0</vt:i4>
      </vt:variant>
      <vt:variant>
        <vt:i4>5</vt:i4>
      </vt:variant>
      <vt:variant>
        <vt:lpwstr>https://www.glaad.org/sites/default/files/MTAN/More Than A Number - GLAAD.pdf</vt:lpwstr>
      </vt:variant>
      <vt:variant>
        <vt:lpwstr/>
      </vt:variant>
      <vt:variant>
        <vt:i4>196636</vt:i4>
      </vt:variant>
      <vt:variant>
        <vt:i4>51</vt:i4>
      </vt:variant>
      <vt:variant>
        <vt:i4>0</vt:i4>
      </vt:variant>
      <vt:variant>
        <vt:i4>5</vt:i4>
      </vt:variant>
      <vt:variant>
        <vt:lpwstr>https://www.un.org/development/desa/disabilities/resources/disability-and-the-media.html</vt:lpwstr>
      </vt:variant>
      <vt:variant>
        <vt:lpwstr/>
      </vt:variant>
      <vt:variant>
        <vt:i4>262237</vt:i4>
      </vt:variant>
      <vt:variant>
        <vt:i4>48</vt:i4>
      </vt:variant>
      <vt:variant>
        <vt:i4>0</vt:i4>
      </vt:variant>
      <vt:variant>
        <vt:i4>5</vt:i4>
      </vt:variant>
      <vt:variant>
        <vt:lpwstr>https://www.themarshallproject.org/2020/10/28/when-does-murder-make-the-news-it-depends-on-the-victim-s-race</vt:lpwstr>
      </vt:variant>
      <vt:variant>
        <vt:lpwstr/>
      </vt:variant>
      <vt:variant>
        <vt:i4>3276841</vt:i4>
      </vt:variant>
      <vt:variant>
        <vt:i4>45</vt:i4>
      </vt:variant>
      <vt:variant>
        <vt:i4>0</vt:i4>
      </vt:variant>
      <vt:variant>
        <vt:i4>5</vt:i4>
      </vt:variant>
      <vt:variant>
        <vt:lpwstr>https://www.bbc.co.uk/news/uk-england-south-yorkshire-21887535</vt:lpwstr>
      </vt:variant>
      <vt:variant>
        <vt:lpwstr/>
      </vt:variant>
      <vt:variant>
        <vt:i4>2883641</vt:i4>
      </vt:variant>
      <vt:variant>
        <vt:i4>42</vt:i4>
      </vt:variant>
      <vt:variant>
        <vt:i4>0</vt:i4>
      </vt:variant>
      <vt:variant>
        <vt:i4>5</vt:i4>
      </vt:variant>
      <vt:variant>
        <vt:lpwstr>https://www.itv.com/news/calendar/update/2015-10-16/pensioner-sentenced-to-life-for-murder-of-disabled-partner/</vt:lpwstr>
      </vt:variant>
      <vt:variant>
        <vt:lpwstr/>
      </vt:variant>
      <vt:variant>
        <vt:i4>1310735</vt:i4>
      </vt:variant>
      <vt:variant>
        <vt:i4>39</vt:i4>
      </vt:variant>
      <vt:variant>
        <vt:i4>0</vt:i4>
      </vt:variant>
      <vt:variant>
        <vt:i4>5</vt:i4>
      </vt:variant>
      <vt:variant>
        <vt:lpwstr>https://www.bbc.co.uk/news/uk-wales-south-west-wales-42985957</vt:lpwstr>
      </vt:variant>
      <vt:variant>
        <vt:lpwstr/>
      </vt:variant>
      <vt:variant>
        <vt:i4>2687011</vt:i4>
      </vt:variant>
      <vt:variant>
        <vt:i4>36</vt:i4>
      </vt:variant>
      <vt:variant>
        <vt:i4>0</vt:i4>
      </vt:variant>
      <vt:variant>
        <vt:i4>5</vt:i4>
      </vt:variant>
      <vt:variant>
        <vt:lpwstr>https://news.sky.com/story/julie-burdett-woman-left-to-die-surrounded-by-filth-after-her-father-and-brother-failed-to-care-for-her-court-told-12578859</vt:lpwstr>
      </vt:variant>
      <vt:variant>
        <vt:lpwstr/>
      </vt:variant>
      <vt:variant>
        <vt:i4>1835035</vt:i4>
      </vt:variant>
      <vt:variant>
        <vt:i4>33</vt:i4>
      </vt:variant>
      <vt:variant>
        <vt:i4>0</vt:i4>
      </vt:variant>
      <vt:variant>
        <vt:i4>5</vt:i4>
      </vt:variant>
      <vt:variant>
        <vt:lpwstr>https://www.port.ac.uk/news-events-and-blogs/blogs/democratic-citizenship/why-racial-bias-dominates-coverage-of-missing-person-cases</vt:lpwstr>
      </vt:variant>
      <vt:variant>
        <vt:lpwstr/>
      </vt:variant>
      <vt:variant>
        <vt:i4>7143531</vt:i4>
      </vt:variant>
      <vt:variant>
        <vt:i4>30</vt:i4>
      </vt:variant>
      <vt:variant>
        <vt:i4>0</vt:i4>
      </vt:variant>
      <vt:variant>
        <vt:i4>5</vt:i4>
      </vt:variant>
      <vt:variant>
        <vt:lpwstr>https://www.independent.co.uk/news/uk/home-news/black-people-missing-b1827530.html</vt:lpwstr>
      </vt:variant>
      <vt:variant>
        <vt:lpwstr/>
      </vt:variant>
      <vt:variant>
        <vt:i4>3997812</vt:i4>
      </vt:variant>
      <vt:variant>
        <vt:i4>27</vt:i4>
      </vt:variant>
      <vt:variant>
        <vt:i4>0</vt:i4>
      </vt:variant>
      <vt:variant>
        <vt:i4>5</vt:i4>
      </vt:variant>
      <vt:variant>
        <vt:lpwstr>https://newsliteracymatters.com/2019/11/11/q-what-does-if-it-bleeds-it-leads-mean/</vt:lpwstr>
      </vt:variant>
      <vt:variant>
        <vt:lpwstr/>
      </vt:variant>
      <vt:variant>
        <vt:i4>3080235</vt:i4>
      </vt:variant>
      <vt:variant>
        <vt:i4>24</vt:i4>
      </vt:variant>
      <vt:variant>
        <vt:i4>0</vt:i4>
      </vt:variant>
      <vt:variant>
        <vt:i4>5</vt:i4>
      </vt:variant>
      <vt:variant>
        <vt:lpwstr>https://journals.sagepub.com/doi/full/10.1177/14614448211027174</vt:lpwstr>
      </vt:variant>
      <vt:variant>
        <vt:lpwstr/>
      </vt:variant>
      <vt:variant>
        <vt:i4>786452</vt:i4>
      </vt:variant>
      <vt:variant>
        <vt:i4>21</vt:i4>
      </vt:variant>
      <vt:variant>
        <vt:i4>0</vt:i4>
      </vt:variant>
      <vt:variant>
        <vt:i4>5</vt:i4>
      </vt:variant>
      <vt:variant>
        <vt:lpwstr>https://theconversation.com/how-engagement-makes-you-vulnerable-to-manipulation-and-misinformation-on-social-media-145375</vt:lpwstr>
      </vt:variant>
      <vt:variant>
        <vt:lpwstr/>
      </vt:variant>
      <vt:variant>
        <vt:i4>131072</vt:i4>
      </vt:variant>
      <vt:variant>
        <vt:i4>18</vt:i4>
      </vt:variant>
      <vt:variant>
        <vt:i4>0</vt:i4>
      </vt:variant>
      <vt:variant>
        <vt:i4>5</vt:i4>
      </vt:variant>
      <vt:variant>
        <vt:lpwstr>https://www.theguardian.com/technology/2016/dec/16/google-autocomplete-rightwing-bias-algorithm-political-propaganda</vt:lpwstr>
      </vt:variant>
      <vt:variant>
        <vt:lpwstr/>
      </vt:variant>
      <vt:variant>
        <vt:i4>2883703</vt:i4>
      </vt:variant>
      <vt:variant>
        <vt:i4>15</vt:i4>
      </vt:variant>
      <vt:variant>
        <vt:i4>0</vt:i4>
      </vt:variant>
      <vt:variant>
        <vt:i4>5</vt:i4>
      </vt:variant>
      <vt:variant>
        <vt:lpwstr>https://www.wsj.com/articles/how-google-interferes-with-its-search-algorithms-and-changes-your-results-11573823753</vt:lpwstr>
      </vt:variant>
      <vt:variant>
        <vt:lpwstr/>
      </vt:variant>
      <vt:variant>
        <vt:i4>3997802</vt:i4>
      </vt:variant>
      <vt:variant>
        <vt:i4>12</vt:i4>
      </vt:variant>
      <vt:variant>
        <vt:i4>0</vt:i4>
      </vt:variant>
      <vt:variant>
        <vt:i4>5</vt:i4>
      </vt:variant>
      <vt:variant>
        <vt:lpwstr>https://www.huffingtonpost.co.uk/entry/racism-in-police-media_uk_6049f3d6c5b6cf72d0945115</vt:lpwstr>
      </vt:variant>
      <vt:variant>
        <vt:lpwstr/>
      </vt:variant>
      <vt:variant>
        <vt:i4>5767170</vt:i4>
      </vt:variant>
      <vt:variant>
        <vt:i4>9</vt:i4>
      </vt:variant>
      <vt:variant>
        <vt:i4>0</vt:i4>
      </vt:variant>
      <vt:variant>
        <vt:i4>5</vt:i4>
      </vt:variant>
      <vt:variant>
        <vt:lpwstr>https://www.huffingtonpost.co.uk/entry/metropolitan-police_uk_603fa18ec5b617a7e411ffc5</vt:lpwstr>
      </vt:variant>
      <vt:variant>
        <vt:lpwstr/>
      </vt:variant>
      <vt:variant>
        <vt:i4>6553640</vt:i4>
      </vt:variant>
      <vt:variant>
        <vt:i4>6</vt:i4>
      </vt:variant>
      <vt:variant>
        <vt:i4>0</vt:i4>
      </vt:variant>
      <vt:variant>
        <vt:i4>5</vt:i4>
      </vt:variant>
      <vt:variant>
        <vt:lpwstr>https://www.theguardian.com/media/2011/aug/07/police-journalists-crime-research</vt:lpwstr>
      </vt:variant>
      <vt:variant>
        <vt:lpwstr/>
      </vt:variant>
      <vt:variant>
        <vt:i4>2687086</vt:i4>
      </vt:variant>
      <vt:variant>
        <vt:i4>3</vt:i4>
      </vt:variant>
      <vt:variant>
        <vt:i4>0</vt:i4>
      </vt:variant>
      <vt:variant>
        <vt:i4>5</vt:i4>
      </vt:variant>
      <vt:variant>
        <vt:lpwstr>https://www.holdthefrontpage.co.uk/2022/news/journalist-wins-plaudits-after-crime-scene-stand-off-with-police/</vt:lpwstr>
      </vt:variant>
      <vt:variant>
        <vt:lpwstr/>
      </vt:variant>
      <vt:variant>
        <vt:i4>6815840</vt:i4>
      </vt:variant>
      <vt:variant>
        <vt:i4>0</vt:i4>
      </vt:variant>
      <vt:variant>
        <vt:i4>0</vt:i4>
      </vt:variant>
      <vt:variant>
        <vt:i4>5</vt:i4>
      </vt:variant>
      <vt:variant>
        <vt:lpwstr>https://www.holdthefrontpage.co.uk/2021/news/journalists-slam-police-policy-of-refusing-details-on-lower-level-crimes/</vt:lpwstr>
      </vt:variant>
      <vt:variant>
        <vt:lpwstr/>
      </vt:variant>
      <vt:variant>
        <vt:i4>196702</vt:i4>
      </vt:variant>
      <vt:variant>
        <vt:i4>30</vt:i4>
      </vt:variant>
      <vt:variant>
        <vt:i4>0</vt:i4>
      </vt:variant>
      <vt:variant>
        <vt:i4>5</vt:i4>
      </vt:variant>
      <vt:variant>
        <vt:lpwstr>https://mediatrust.org/resource-hub/reporting-on-race-and-mental-health/</vt:lpwstr>
      </vt:variant>
      <vt:variant>
        <vt:lpwstr/>
      </vt:variant>
      <vt:variant>
        <vt:i4>6488105</vt:i4>
      </vt:variant>
      <vt:variant>
        <vt:i4>27</vt:i4>
      </vt:variant>
      <vt:variant>
        <vt:i4>0</vt:i4>
      </vt:variant>
      <vt:variant>
        <vt:i4>5</vt:i4>
      </vt:variant>
      <vt:variant>
        <vt:lpwstr>https://eprints.gla.ac.uk/57499/1/57499.pdf</vt:lpwstr>
      </vt:variant>
      <vt:variant>
        <vt:lpwstr/>
      </vt:variant>
      <vt:variant>
        <vt:i4>4915277</vt:i4>
      </vt:variant>
      <vt:variant>
        <vt:i4>24</vt:i4>
      </vt:variant>
      <vt:variant>
        <vt:i4>0</vt:i4>
      </vt:variant>
      <vt:variant>
        <vt:i4>5</vt:i4>
      </vt:variant>
      <vt:variant>
        <vt:lpwstr>https://www.tandfonline.com/doi/abs/10.1080/09687599.2013.813837</vt:lpwstr>
      </vt:variant>
      <vt:variant>
        <vt:lpwstr/>
      </vt:variant>
      <vt:variant>
        <vt:i4>6619226</vt:i4>
      </vt:variant>
      <vt:variant>
        <vt:i4>21</vt:i4>
      </vt:variant>
      <vt:variant>
        <vt:i4>0</vt:i4>
      </vt:variant>
      <vt:variant>
        <vt:i4>5</vt:i4>
      </vt:variant>
      <vt:variant>
        <vt:lpwstr>https://www.researchgate.net/publication/343392876_The_Role_of_Mass_Media_in_Shaping_Public_Opinion</vt:lpwstr>
      </vt:variant>
      <vt:variant>
        <vt:lpwstr/>
      </vt:variant>
      <vt:variant>
        <vt:i4>5177414</vt:i4>
      </vt:variant>
      <vt:variant>
        <vt:i4>18</vt:i4>
      </vt:variant>
      <vt:variant>
        <vt:i4>0</vt:i4>
      </vt:variant>
      <vt:variant>
        <vt:i4>5</vt:i4>
      </vt:variant>
      <vt:variant>
        <vt:lpwstr>https://www.inclusionlondon.org.uk/campaigns-and-policy/facts-and-information/hate-crime/still-getting-away-with-murder-disability-hate-crime-in-england/</vt:lpwstr>
      </vt:variant>
      <vt:variant>
        <vt:lpwstr/>
      </vt:variant>
      <vt:variant>
        <vt:i4>4194420</vt:i4>
      </vt:variant>
      <vt:variant>
        <vt:i4>15</vt:i4>
      </vt:variant>
      <vt:variant>
        <vt:i4>0</vt:i4>
      </vt:variant>
      <vt:variant>
        <vt:i4>5</vt:i4>
      </vt:variant>
      <vt:variant>
        <vt:lpwstr>https://assets.publishing.service.gov.uk/government/uploads/system/uploads/attachment_data/file/325989/ppdp.pdf</vt:lpwstr>
      </vt:variant>
      <vt:variant>
        <vt:lpwstr/>
      </vt:variant>
      <vt:variant>
        <vt:i4>2293807</vt:i4>
      </vt:variant>
      <vt:variant>
        <vt:i4>12</vt:i4>
      </vt:variant>
      <vt:variant>
        <vt:i4>0</vt:i4>
      </vt:variant>
      <vt:variant>
        <vt:i4>5</vt:i4>
      </vt:variant>
      <vt:variant>
        <vt:lpwstr>https://www.theguardian.com/uk-news/2016/feb/09/bijan-ebrahimi-murder-bristol-police-sentenced</vt:lpwstr>
      </vt:variant>
      <vt:variant>
        <vt:lpwstr/>
      </vt:variant>
      <vt:variant>
        <vt:i4>4063335</vt:i4>
      </vt:variant>
      <vt:variant>
        <vt:i4>9</vt:i4>
      </vt:variant>
      <vt:variant>
        <vt:i4>0</vt:i4>
      </vt:variant>
      <vt:variant>
        <vt:i4>5</vt:i4>
      </vt:variant>
      <vt:variant>
        <vt:lpwstr>https://www.theguardian.com/society/reality-check/2013/oct/07/sun-people-killed-mental-health-true</vt:lpwstr>
      </vt:variant>
      <vt:variant>
        <vt:lpwstr/>
      </vt:variant>
      <vt:variant>
        <vt:i4>2031627</vt:i4>
      </vt:variant>
      <vt:variant>
        <vt:i4>6</vt:i4>
      </vt:variant>
      <vt:variant>
        <vt:i4>0</vt:i4>
      </vt:variant>
      <vt:variant>
        <vt:i4>5</vt:i4>
      </vt:variant>
      <vt:variant>
        <vt:lpwstr>https://www.ncbi.nlm.nih.gov/pmc/articles/PMC5012362/</vt:lpwstr>
      </vt:variant>
      <vt:variant>
        <vt:lpwstr>:~:text=Inherent%20vulnerability%20is%20related%20to,natures'%20(Rogers%20et%20al</vt:lpwstr>
      </vt:variant>
      <vt:variant>
        <vt:i4>2031627</vt:i4>
      </vt:variant>
      <vt:variant>
        <vt:i4>3</vt:i4>
      </vt:variant>
      <vt:variant>
        <vt:i4>0</vt:i4>
      </vt:variant>
      <vt:variant>
        <vt:i4>5</vt:i4>
      </vt:variant>
      <vt:variant>
        <vt:lpwstr>https://www.ncbi.nlm.nih.gov/pmc/articles/PMC5012362/</vt:lpwstr>
      </vt:variant>
      <vt:variant>
        <vt:lpwstr>:~:text=Inherent%20vulnerability%20is%20related%20to,natures'%20(Rogers%20et%20al</vt:lpwstr>
      </vt:variant>
      <vt:variant>
        <vt:i4>3997761</vt:i4>
      </vt:variant>
      <vt:variant>
        <vt:i4>0</vt:i4>
      </vt:variant>
      <vt:variant>
        <vt:i4>0</vt:i4>
      </vt:variant>
      <vt:variant>
        <vt:i4>5</vt:i4>
      </vt:variant>
      <vt:variant>
        <vt:lpwstr>https://en.wikipedia.org/wiki/Automated_journalism</vt:lpwstr>
      </vt:variant>
      <vt:variant>
        <vt:lpwstr>:~:text=In%20automated%20journalism%2C%20also%20known,computers%20rather%20than%20human%20reporters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Conner</dc:creator>
  <cp:keywords/>
  <dc:description/>
  <cp:lastModifiedBy>Lara Conner</cp:lastModifiedBy>
  <cp:revision>19</cp:revision>
  <cp:lastPrinted>2022-12-02T15:26:00Z</cp:lastPrinted>
  <dcterms:created xsi:type="dcterms:W3CDTF">2022-09-29T12:32:00Z</dcterms:created>
  <dcterms:modified xsi:type="dcterms:W3CDTF">2022-12-06T10:21:00Z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0x010100388D235354ADCF4481E8AF7053E44824</vt:lpwstr>
  </property>
  <property fmtid="{D5CDD505-2E9C-101B-9397-08002B2CF9AE}" pid="3" name="MediaServiceImageTags">
    <vt:lpwstr/>
  </property>
  <property fmtid="{D5CDD505-2E9C-101B-9397-08002B2CF9AE}" pid="4" name="_dlc_DocIdItemGuid">
    <vt:lpwstr>f2892535-d261-4b5f-812b-eef68bfe2988</vt:lpwstr>
  </property>
</Properties>
</file>