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8506543"/>
    <w:p w14:paraId="3FE4A261" w14:textId="492C95B3" w:rsidR="006876EC" w:rsidRPr="006876EC" w:rsidRDefault="0026309F" w:rsidP="006876EC">
      <w:pPr>
        <w:pStyle w:val="Heading2"/>
        <w:rPr>
          <w:sz w:val="64"/>
          <w:szCs w:val="64"/>
        </w:rPr>
      </w:pPr>
      <w:r>
        <w:rPr>
          <w:noProof/>
          <w:sz w:val="64"/>
          <w:szCs w:val="64"/>
        </w:rPr>
        <mc:AlternateContent>
          <mc:Choice Requires="wps">
            <w:drawing>
              <wp:anchor distT="0" distB="0" distL="114300" distR="114300" simplePos="0" relativeHeight="251659264" behindDoc="1" locked="0" layoutInCell="1" allowOverlap="1" wp14:anchorId="4E77CE9D" wp14:editId="0CF64241">
                <wp:simplePos x="0" y="0"/>
                <wp:positionH relativeFrom="column">
                  <wp:posOffset>-864235</wp:posOffset>
                </wp:positionH>
                <wp:positionV relativeFrom="paragraph">
                  <wp:posOffset>-935990</wp:posOffset>
                </wp:positionV>
                <wp:extent cx="7568418" cy="10719582"/>
                <wp:effectExtent l="0" t="0" r="13970" b="12065"/>
                <wp:wrapNone/>
                <wp:docPr id="9" name="Rectangle 9"/>
                <wp:cNvGraphicFramePr/>
                <a:graphic xmlns:a="http://schemas.openxmlformats.org/drawingml/2006/main">
                  <a:graphicData uri="http://schemas.microsoft.com/office/word/2010/wordprocessingShape">
                    <wps:wsp>
                      <wps:cNvSpPr/>
                      <wps:spPr>
                        <a:xfrm>
                          <a:off x="0" y="0"/>
                          <a:ext cx="7568418" cy="10719582"/>
                        </a:xfrm>
                        <a:prstGeom prst="rect">
                          <a:avLst/>
                        </a:prstGeom>
                        <a:solidFill>
                          <a:srgbClr val="6FBC8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643941" id="Rectangle 9" o:spid="_x0000_s1026" style="position:absolute;margin-left:-68.05pt;margin-top:-73.7pt;width:595.95pt;height:844.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" fillcolor="#6fbc85" strokecolor="#1f3763 [1604]" strokeweight="1pt"/>
            </w:pict>
          </mc:Fallback>
        </mc:AlternateContent>
      </w:r>
      <w:r w:rsidR="005F68B7" w:rsidRPr="006876EC">
        <w:rPr>
          <w:sz w:val="64"/>
          <w:szCs w:val="64"/>
        </w:rPr>
        <w:t>United Nations Convention on the Rights of Disabled People</w:t>
      </w:r>
      <w:bookmarkStart w:id="1" w:name="_Toc98506544"/>
      <w:bookmarkEnd w:id="0"/>
    </w:p>
    <w:p w14:paraId="28C231D7" w14:textId="77777777" w:rsidR="00A97286" w:rsidRDefault="00176ADE" w:rsidP="00A97286">
      <w:pPr>
        <w:pStyle w:val="Heading1"/>
        <w:rPr>
          <w:sz w:val="80"/>
          <w:szCs w:val="80"/>
        </w:rPr>
      </w:pPr>
      <w:r w:rsidRPr="006876EC">
        <w:rPr>
          <w:sz w:val="80"/>
          <w:szCs w:val="80"/>
        </w:rPr>
        <w:t>Westminster Government</w:t>
      </w:r>
      <w:r w:rsidR="00E72B8F" w:rsidRPr="006876EC">
        <w:rPr>
          <w:sz w:val="80"/>
          <w:szCs w:val="80"/>
        </w:rPr>
        <w:t xml:space="preserve"> Civil Society Shadow Report</w:t>
      </w:r>
      <w:bookmarkEnd w:id="1"/>
    </w:p>
    <w:p w14:paraId="174BCC24" w14:textId="77777777" w:rsidR="00A97286" w:rsidRDefault="00A97286" w:rsidP="00A97286">
      <w:pPr>
        <w:rPr>
          <w:b/>
          <w:bCs/>
          <w:color w:val="003B3A"/>
        </w:rPr>
      </w:pPr>
    </w:p>
    <w:p w14:paraId="18A28C60" w14:textId="77777777" w:rsidR="00A97286" w:rsidRDefault="00A97286" w:rsidP="00A97286">
      <w:pPr>
        <w:rPr>
          <w:b/>
          <w:bCs/>
          <w:color w:val="003B3A"/>
        </w:rPr>
      </w:pPr>
    </w:p>
    <w:p w14:paraId="79242AC7" w14:textId="51E350E0" w:rsidR="00E72B8F" w:rsidRPr="00A97286" w:rsidRDefault="006C2D22" w:rsidP="00A97286">
      <w:pPr>
        <w:rPr>
          <w:b/>
          <w:bCs/>
          <w:color w:val="003B3A"/>
          <w:szCs w:val="28"/>
        </w:rPr>
      </w:pPr>
      <w:r w:rsidRPr="00A97286">
        <w:rPr>
          <w:b/>
          <w:bCs/>
          <w:color w:val="003B3A"/>
        </w:rPr>
        <w:t>March</w:t>
      </w:r>
      <w:r w:rsidR="00E72B8F" w:rsidRPr="00A97286">
        <w:rPr>
          <w:b/>
          <w:bCs/>
          <w:color w:val="003B3A"/>
        </w:rPr>
        <w:t xml:space="preserve"> 2022</w:t>
      </w:r>
    </w:p>
    <w:p w14:paraId="614E2F4A" w14:textId="77777777" w:rsidR="007B5B40" w:rsidRDefault="007B5B40" w:rsidP="007B5B40">
      <w:pPr>
        <w:spacing w:after="160" w:line="259" w:lineRule="auto"/>
        <w:rPr>
          <w:b/>
          <w:bCs/>
          <w:sz w:val="36"/>
          <w:szCs w:val="36"/>
        </w:rPr>
      </w:pPr>
    </w:p>
    <w:p w14:paraId="63A008E0" w14:textId="77777777" w:rsidR="00A811C3" w:rsidRDefault="00A811C3">
      <w:pPr>
        <w:spacing w:after="160" w:line="259" w:lineRule="auto"/>
        <w:rPr>
          <w:rFonts w:cs="Proxima Nova"/>
          <w:color w:val="004346"/>
          <w:sz w:val="52"/>
          <w:szCs w:val="52"/>
          <w:lang w:val="en-US"/>
        </w:rPr>
      </w:pPr>
      <w:r>
        <w:br w:type="page"/>
      </w:r>
    </w:p>
    <w:p w14:paraId="4DAA7160" w14:textId="0AB52D85" w:rsidR="007B5B40" w:rsidRPr="0026309F" w:rsidRDefault="007B5B40" w:rsidP="0026309F">
      <w:pPr>
        <w:pStyle w:val="Heading2"/>
        <w:spacing w:after="80" w:line="276" w:lineRule="auto"/>
        <w:rPr>
          <w:sz w:val="27"/>
          <w:szCs w:val="27"/>
        </w:rPr>
      </w:pPr>
      <w:r w:rsidRPr="007B5B40">
        <w:lastRenderedPageBreak/>
        <w:t>Contents</w:t>
      </w:r>
      <w:r w:rsidR="0026309F">
        <w:br/>
      </w:r>
      <w:r w:rsidRPr="0026309F">
        <w:rPr>
          <w:sz w:val="27"/>
          <w:szCs w:val="27"/>
        </w:rPr>
        <w:fldChar w:fldCharType="begin"/>
      </w:r>
      <w:r w:rsidRPr="0026309F">
        <w:rPr>
          <w:sz w:val="27"/>
          <w:szCs w:val="27"/>
        </w:rPr>
        <w:instrText xml:space="preserve"> TOC \o "1-1" \h \z \t "Heading 2,2" </w:instrText>
      </w:r>
      <w:r w:rsidRPr="0026309F">
        <w:rPr>
          <w:sz w:val="27"/>
          <w:szCs w:val="27"/>
        </w:rPr>
        <w:fldChar w:fldCharType="separate"/>
      </w:r>
    </w:p>
    <w:p w14:paraId="2CB0978B" w14:textId="530E9584" w:rsidR="007B5B40" w:rsidRPr="0026309F" w:rsidRDefault="004F0A16" w:rsidP="0026309F">
      <w:pPr>
        <w:pStyle w:val="TOC2"/>
        <w:spacing w:line="276" w:lineRule="auto"/>
        <w:rPr>
          <w:rFonts w:asciiTheme="minorHAnsi" w:eastAsiaTheme="minorEastAsia" w:hAnsiTheme="minorHAnsi"/>
          <w:noProof/>
          <w:lang w:eastAsia="en-GB"/>
        </w:rPr>
      </w:pPr>
      <w:hyperlink w:anchor="_Toc98506546" w:history="1">
        <w:r w:rsidR="007B5B40" w:rsidRPr="0026309F">
          <w:rPr>
            <w:rStyle w:val="Hyperlink"/>
            <w:noProof/>
            <w:sz w:val="27"/>
            <w:szCs w:val="27"/>
          </w:rPr>
          <w:t>Glossary – explanation of terms used in this report</w:t>
        </w:r>
        <w:r w:rsidR="007B5B40" w:rsidRPr="0026309F">
          <w:rPr>
            <w:noProof/>
            <w:webHidden/>
          </w:rPr>
          <w:tab/>
        </w:r>
        <w:r w:rsidR="007B5B40" w:rsidRPr="0026309F">
          <w:rPr>
            <w:noProof/>
            <w:webHidden/>
          </w:rPr>
          <w:fldChar w:fldCharType="begin"/>
        </w:r>
        <w:r w:rsidR="007B5B40" w:rsidRPr="0026309F">
          <w:rPr>
            <w:noProof/>
            <w:webHidden/>
          </w:rPr>
          <w:instrText xml:space="preserve"> PAGEREF _Toc98506546 \h </w:instrText>
        </w:r>
        <w:r w:rsidR="007B5B40" w:rsidRPr="0026309F">
          <w:rPr>
            <w:noProof/>
            <w:webHidden/>
          </w:rPr>
        </w:r>
        <w:r w:rsidR="007B5B40" w:rsidRPr="0026309F">
          <w:rPr>
            <w:noProof/>
            <w:webHidden/>
          </w:rPr>
          <w:fldChar w:fldCharType="separate"/>
        </w:r>
        <w:r w:rsidR="00546F9A">
          <w:rPr>
            <w:noProof/>
            <w:webHidden/>
          </w:rPr>
          <w:t>4</w:t>
        </w:r>
        <w:r w:rsidR="007B5B40" w:rsidRPr="0026309F">
          <w:rPr>
            <w:noProof/>
            <w:webHidden/>
          </w:rPr>
          <w:fldChar w:fldCharType="end"/>
        </w:r>
      </w:hyperlink>
    </w:p>
    <w:p w14:paraId="0DB28451" w14:textId="3272703E" w:rsidR="007B5B40" w:rsidRPr="0026309F" w:rsidRDefault="004F0A16" w:rsidP="0026309F">
      <w:pPr>
        <w:pStyle w:val="TOC2"/>
        <w:spacing w:line="276" w:lineRule="auto"/>
        <w:rPr>
          <w:rFonts w:asciiTheme="minorHAnsi" w:eastAsiaTheme="minorEastAsia" w:hAnsiTheme="minorHAnsi"/>
          <w:noProof/>
          <w:lang w:eastAsia="en-GB"/>
        </w:rPr>
      </w:pPr>
      <w:hyperlink w:anchor="_Toc98506547" w:history="1">
        <w:r w:rsidR="007B5B40" w:rsidRPr="0026309F">
          <w:rPr>
            <w:rStyle w:val="Hyperlink"/>
            <w:noProof/>
            <w:sz w:val="27"/>
            <w:szCs w:val="27"/>
          </w:rPr>
          <w:t>Summary</w:t>
        </w:r>
        <w:r w:rsidR="007B5B40" w:rsidRPr="0026309F">
          <w:rPr>
            <w:noProof/>
            <w:webHidden/>
          </w:rPr>
          <w:tab/>
        </w:r>
        <w:r w:rsidR="007B5B40" w:rsidRPr="0026309F">
          <w:rPr>
            <w:noProof/>
            <w:webHidden/>
          </w:rPr>
          <w:fldChar w:fldCharType="begin"/>
        </w:r>
        <w:r w:rsidR="007B5B40" w:rsidRPr="0026309F">
          <w:rPr>
            <w:noProof/>
            <w:webHidden/>
          </w:rPr>
          <w:instrText xml:space="preserve"> PAGEREF _Toc98506547 \h </w:instrText>
        </w:r>
        <w:r w:rsidR="007B5B40" w:rsidRPr="0026309F">
          <w:rPr>
            <w:noProof/>
            <w:webHidden/>
          </w:rPr>
        </w:r>
        <w:r w:rsidR="007B5B40" w:rsidRPr="0026309F">
          <w:rPr>
            <w:noProof/>
            <w:webHidden/>
          </w:rPr>
          <w:fldChar w:fldCharType="separate"/>
        </w:r>
        <w:r w:rsidR="00546F9A">
          <w:rPr>
            <w:noProof/>
            <w:webHidden/>
          </w:rPr>
          <w:t>6</w:t>
        </w:r>
        <w:r w:rsidR="007B5B40" w:rsidRPr="0026309F">
          <w:rPr>
            <w:noProof/>
            <w:webHidden/>
          </w:rPr>
          <w:fldChar w:fldCharType="end"/>
        </w:r>
      </w:hyperlink>
    </w:p>
    <w:p w14:paraId="148AE295" w14:textId="62BA5475" w:rsidR="007B5B40" w:rsidRPr="0026309F" w:rsidRDefault="004F0A16" w:rsidP="0026309F">
      <w:pPr>
        <w:pStyle w:val="TOC2"/>
        <w:spacing w:line="276" w:lineRule="auto"/>
        <w:rPr>
          <w:rFonts w:asciiTheme="minorHAnsi" w:eastAsiaTheme="minorEastAsia" w:hAnsiTheme="minorHAnsi"/>
          <w:noProof/>
          <w:lang w:eastAsia="en-GB"/>
        </w:rPr>
      </w:pPr>
      <w:hyperlink w:anchor="_Toc98506548" w:history="1">
        <w:r w:rsidR="007B5B40" w:rsidRPr="0026309F">
          <w:rPr>
            <w:rStyle w:val="Hyperlink"/>
            <w:noProof/>
            <w:sz w:val="27"/>
            <w:szCs w:val="27"/>
          </w:rPr>
          <w:t>Introduction</w:t>
        </w:r>
        <w:r w:rsidR="007B5B40" w:rsidRPr="0026309F">
          <w:rPr>
            <w:noProof/>
            <w:webHidden/>
          </w:rPr>
          <w:tab/>
        </w:r>
        <w:r w:rsidR="007B5B40" w:rsidRPr="0026309F">
          <w:rPr>
            <w:noProof/>
            <w:webHidden/>
          </w:rPr>
          <w:fldChar w:fldCharType="begin"/>
        </w:r>
        <w:r w:rsidR="007B5B40" w:rsidRPr="0026309F">
          <w:rPr>
            <w:noProof/>
            <w:webHidden/>
          </w:rPr>
          <w:instrText xml:space="preserve"> PAGEREF _Toc98506548 \h </w:instrText>
        </w:r>
        <w:r w:rsidR="007B5B40" w:rsidRPr="0026309F">
          <w:rPr>
            <w:noProof/>
            <w:webHidden/>
          </w:rPr>
        </w:r>
        <w:r w:rsidR="007B5B40" w:rsidRPr="0026309F">
          <w:rPr>
            <w:noProof/>
            <w:webHidden/>
          </w:rPr>
          <w:fldChar w:fldCharType="separate"/>
        </w:r>
        <w:r w:rsidR="00546F9A">
          <w:rPr>
            <w:noProof/>
            <w:webHidden/>
          </w:rPr>
          <w:t>8</w:t>
        </w:r>
        <w:r w:rsidR="007B5B40" w:rsidRPr="0026309F">
          <w:rPr>
            <w:noProof/>
            <w:webHidden/>
          </w:rPr>
          <w:fldChar w:fldCharType="end"/>
        </w:r>
      </w:hyperlink>
    </w:p>
    <w:p w14:paraId="2F2328B9" w14:textId="3A9A71A3" w:rsidR="007B5B40" w:rsidRPr="0026309F" w:rsidRDefault="004F0A16" w:rsidP="0026309F">
      <w:pPr>
        <w:pStyle w:val="TOC1"/>
        <w:spacing w:after="80" w:line="276" w:lineRule="auto"/>
        <w:rPr>
          <w:rFonts w:asciiTheme="minorHAnsi" w:eastAsiaTheme="minorEastAsia" w:hAnsiTheme="minorHAnsi"/>
          <w:sz w:val="27"/>
          <w:szCs w:val="27"/>
          <w:lang w:eastAsia="en-GB"/>
        </w:rPr>
      </w:pPr>
      <w:hyperlink w:anchor="_Toc98506549" w:history="1">
        <w:r w:rsidR="007B5B40" w:rsidRPr="0026309F">
          <w:rPr>
            <w:rStyle w:val="Hyperlink"/>
            <w:color w:val="003B3A"/>
            <w:sz w:val="27"/>
            <w:szCs w:val="27"/>
          </w:rPr>
          <w:t>Report</w:t>
        </w:r>
        <w:r w:rsidR="007B5B40" w:rsidRPr="0026309F">
          <w:rPr>
            <w:webHidden/>
            <w:sz w:val="27"/>
            <w:szCs w:val="27"/>
          </w:rPr>
          <w:tab/>
        </w:r>
        <w:r w:rsidR="007B5B40" w:rsidRPr="0026309F">
          <w:rPr>
            <w:webHidden/>
            <w:sz w:val="27"/>
            <w:szCs w:val="27"/>
          </w:rPr>
          <w:fldChar w:fldCharType="begin"/>
        </w:r>
        <w:r w:rsidR="007B5B40" w:rsidRPr="0026309F">
          <w:rPr>
            <w:webHidden/>
            <w:sz w:val="27"/>
            <w:szCs w:val="27"/>
          </w:rPr>
          <w:instrText xml:space="preserve"> PAGEREF _Toc98506549 \h </w:instrText>
        </w:r>
        <w:r w:rsidR="007B5B40" w:rsidRPr="0026309F">
          <w:rPr>
            <w:webHidden/>
            <w:sz w:val="27"/>
            <w:szCs w:val="27"/>
          </w:rPr>
        </w:r>
        <w:r w:rsidR="007B5B40" w:rsidRPr="0026309F">
          <w:rPr>
            <w:webHidden/>
            <w:sz w:val="27"/>
            <w:szCs w:val="27"/>
          </w:rPr>
          <w:fldChar w:fldCharType="separate"/>
        </w:r>
        <w:r w:rsidR="00546F9A">
          <w:rPr>
            <w:webHidden/>
            <w:sz w:val="27"/>
            <w:szCs w:val="27"/>
          </w:rPr>
          <w:t>11</w:t>
        </w:r>
        <w:r w:rsidR="007B5B40" w:rsidRPr="0026309F">
          <w:rPr>
            <w:webHidden/>
            <w:sz w:val="27"/>
            <w:szCs w:val="27"/>
          </w:rPr>
          <w:fldChar w:fldCharType="end"/>
        </w:r>
      </w:hyperlink>
    </w:p>
    <w:p w14:paraId="72DE1CB1" w14:textId="58352A5C" w:rsidR="007B5B40" w:rsidRPr="0026309F" w:rsidRDefault="004F0A16" w:rsidP="0026309F">
      <w:pPr>
        <w:pStyle w:val="TOC2"/>
        <w:spacing w:line="276" w:lineRule="auto"/>
        <w:rPr>
          <w:rFonts w:asciiTheme="minorHAnsi" w:eastAsiaTheme="minorEastAsia" w:hAnsiTheme="minorHAnsi"/>
          <w:noProof/>
          <w:lang w:eastAsia="en-GB"/>
        </w:rPr>
      </w:pPr>
      <w:hyperlink w:anchor="_Toc98506550" w:history="1">
        <w:r w:rsidR="007B5B40" w:rsidRPr="0026309F">
          <w:rPr>
            <w:rStyle w:val="Hyperlink"/>
            <w:noProof/>
            <w:sz w:val="27"/>
            <w:szCs w:val="27"/>
          </w:rPr>
          <w:t>Theme 1: Intersectionality</w:t>
        </w:r>
        <w:r w:rsidR="007B5B40" w:rsidRPr="0026309F">
          <w:rPr>
            <w:noProof/>
            <w:webHidden/>
          </w:rPr>
          <w:tab/>
        </w:r>
        <w:r w:rsidR="007B5B40" w:rsidRPr="0026309F">
          <w:rPr>
            <w:noProof/>
            <w:webHidden/>
          </w:rPr>
          <w:fldChar w:fldCharType="begin"/>
        </w:r>
        <w:r w:rsidR="007B5B40" w:rsidRPr="0026309F">
          <w:rPr>
            <w:noProof/>
            <w:webHidden/>
          </w:rPr>
          <w:instrText xml:space="preserve"> PAGEREF _Toc98506550 \h </w:instrText>
        </w:r>
        <w:r w:rsidR="007B5B40" w:rsidRPr="0026309F">
          <w:rPr>
            <w:noProof/>
            <w:webHidden/>
          </w:rPr>
        </w:r>
        <w:r w:rsidR="007B5B40" w:rsidRPr="0026309F">
          <w:rPr>
            <w:noProof/>
            <w:webHidden/>
          </w:rPr>
          <w:fldChar w:fldCharType="separate"/>
        </w:r>
        <w:r w:rsidR="00546F9A">
          <w:rPr>
            <w:noProof/>
            <w:webHidden/>
          </w:rPr>
          <w:t>11</w:t>
        </w:r>
        <w:r w:rsidR="007B5B40" w:rsidRPr="0026309F">
          <w:rPr>
            <w:noProof/>
            <w:webHidden/>
          </w:rPr>
          <w:fldChar w:fldCharType="end"/>
        </w:r>
      </w:hyperlink>
    </w:p>
    <w:p w14:paraId="4DFFAA2F" w14:textId="41A476C5" w:rsidR="007B5B40" w:rsidRPr="0026309F" w:rsidRDefault="004F0A16" w:rsidP="0026309F">
      <w:pPr>
        <w:pStyle w:val="TOC2"/>
        <w:spacing w:line="276" w:lineRule="auto"/>
        <w:rPr>
          <w:rFonts w:asciiTheme="minorHAnsi" w:eastAsiaTheme="minorEastAsia" w:hAnsiTheme="minorHAnsi"/>
          <w:noProof/>
          <w:lang w:eastAsia="en-GB"/>
        </w:rPr>
      </w:pPr>
      <w:hyperlink w:anchor="_Toc98506551" w:history="1">
        <w:r w:rsidR="007B5B40" w:rsidRPr="0026309F">
          <w:rPr>
            <w:rStyle w:val="Hyperlink"/>
            <w:noProof/>
            <w:sz w:val="27"/>
            <w:szCs w:val="27"/>
          </w:rPr>
          <w:t>Theme 2: Continued Retrogression</w:t>
        </w:r>
        <w:r w:rsidR="007B5B40" w:rsidRPr="0026309F">
          <w:rPr>
            <w:noProof/>
            <w:webHidden/>
          </w:rPr>
          <w:tab/>
        </w:r>
        <w:r w:rsidR="007B5B40" w:rsidRPr="0026309F">
          <w:rPr>
            <w:noProof/>
            <w:webHidden/>
          </w:rPr>
          <w:fldChar w:fldCharType="begin"/>
        </w:r>
        <w:r w:rsidR="007B5B40" w:rsidRPr="0026309F">
          <w:rPr>
            <w:noProof/>
            <w:webHidden/>
          </w:rPr>
          <w:instrText xml:space="preserve"> PAGEREF _Toc98506551 \h </w:instrText>
        </w:r>
        <w:r w:rsidR="007B5B40" w:rsidRPr="0026309F">
          <w:rPr>
            <w:noProof/>
            <w:webHidden/>
          </w:rPr>
        </w:r>
        <w:r w:rsidR="007B5B40" w:rsidRPr="0026309F">
          <w:rPr>
            <w:noProof/>
            <w:webHidden/>
          </w:rPr>
          <w:fldChar w:fldCharType="separate"/>
        </w:r>
        <w:r w:rsidR="00546F9A">
          <w:rPr>
            <w:noProof/>
            <w:webHidden/>
          </w:rPr>
          <w:t>12</w:t>
        </w:r>
        <w:r w:rsidR="007B5B40" w:rsidRPr="0026309F">
          <w:rPr>
            <w:noProof/>
            <w:webHidden/>
          </w:rPr>
          <w:fldChar w:fldCharType="end"/>
        </w:r>
      </w:hyperlink>
    </w:p>
    <w:p w14:paraId="6430BEE3" w14:textId="400AF0C9" w:rsidR="007B5B40" w:rsidRPr="0026309F" w:rsidRDefault="004F0A16" w:rsidP="0026309F">
      <w:pPr>
        <w:pStyle w:val="TOC2"/>
        <w:spacing w:line="276" w:lineRule="auto"/>
        <w:rPr>
          <w:rFonts w:asciiTheme="minorHAnsi" w:eastAsiaTheme="minorEastAsia" w:hAnsiTheme="minorHAnsi"/>
          <w:noProof/>
          <w:lang w:eastAsia="en-GB"/>
        </w:rPr>
      </w:pPr>
      <w:hyperlink w:anchor="_Toc98506552" w:history="1">
        <w:r w:rsidR="007B5B40" w:rsidRPr="0026309F">
          <w:rPr>
            <w:rStyle w:val="Hyperlink"/>
            <w:noProof/>
            <w:sz w:val="27"/>
            <w:szCs w:val="27"/>
          </w:rPr>
          <w:t>Theme 3: Silencing DDP</w:t>
        </w:r>
        <w:r w:rsidR="007B5B40" w:rsidRPr="0026309F">
          <w:rPr>
            <w:noProof/>
            <w:webHidden/>
          </w:rPr>
          <w:tab/>
        </w:r>
        <w:r w:rsidR="007B5B40" w:rsidRPr="0026309F">
          <w:rPr>
            <w:noProof/>
            <w:webHidden/>
          </w:rPr>
          <w:fldChar w:fldCharType="begin"/>
        </w:r>
        <w:r w:rsidR="007B5B40" w:rsidRPr="0026309F">
          <w:rPr>
            <w:noProof/>
            <w:webHidden/>
          </w:rPr>
          <w:instrText xml:space="preserve"> PAGEREF _Toc98506552 \h </w:instrText>
        </w:r>
        <w:r w:rsidR="007B5B40" w:rsidRPr="0026309F">
          <w:rPr>
            <w:noProof/>
            <w:webHidden/>
          </w:rPr>
        </w:r>
        <w:r w:rsidR="007B5B40" w:rsidRPr="0026309F">
          <w:rPr>
            <w:noProof/>
            <w:webHidden/>
          </w:rPr>
          <w:fldChar w:fldCharType="separate"/>
        </w:r>
        <w:r w:rsidR="00546F9A">
          <w:rPr>
            <w:noProof/>
            <w:webHidden/>
          </w:rPr>
          <w:t>63</w:t>
        </w:r>
        <w:r w:rsidR="007B5B40" w:rsidRPr="0026309F">
          <w:rPr>
            <w:noProof/>
            <w:webHidden/>
          </w:rPr>
          <w:fldChar w:fldCharType="end"/>
        </w:r>
      </w:hyperlink>
    </w:p>
    <w:p w14:paraId="3D18074C" w14:textId="457A5BF1" w:rsidR="007B5B40" w:rsidRPr="0026309F" w:rsidRDefault="004F0A16" w:rsidP="0026309F">
      <w:pPr>
        <w:pStyle w:val="TOC2"/>
        <w:spacing w:line="276" w:lineRule="auto"/>
        <w:rPr>
          <w:rFonts w:asciiTheme="minorHAnsi" w:eastAsiaTheme="minorEastAsia" w:hAnsiTheme="minorHAnsi"/>
          <w:noProof/>
          <w:lang w:eastAsia="en-GB"/>
        </w:rPr>
      </w:pPr>
      <w:hyperlink w:anchor="_Toc98506553" w:history="1">
        <w:r w:rsidR="007B5B40" w:rsidRPr="0026309F">
          <w:rPr>
            <w:rStyle w:val="Hyperlink"/>
            <w:noProof/>
            <w:sz w:val="27"/>
            <w:szCs w:val="27"/>
          </w:rPr>
          <w:t>Theme 3: Institutionalisation</w:t>
        </w:r>
        <w:r w:rsidR="007B5B40" w:rsidRPr="0026309F">
          <w:rPr>
            <w:noProof/>
            <w:webHidden/>
          </w:rPr>
          <w:tab/>
        </w:r>
        <w:r w:rsidR="007B5B40" w:rsidRPr="0026309F">
          <w:rPr>
            <w:noProof/>
            <w:webHidden/>
          </w:rPr>
          <w:fldChar w:fldCharType="begin"/>
        </w:r>
        <w:r w:rsidR="007B5B40" w:rsidRPr="0026309F">
          <w:rPr>
            <w:noProof/>
            <w:webHidden/>
          </w:rPr>
          <w:instrText xml:space="preserve"> PAGEREF _Toc98506553 \h </w:instrText>
        </w:r>
        <w:r w:rsidR="007B5B40" w:rsidRPr="0026309F">
          <w:rPr>
            <w:noProof/>
            <w:webHidden/>
          </w:rPr>
        </w:r>
        <w:r w:rsidR="007B5B40" w:rsidRPr="0026309F">
          <w:rPr>
            <w:noProof/>
            <w:webHidden/>
          </w:rPr>
          <w:fldChar w:fldCharType="separate"/>
        </w:r>
        <w:r w:rsidR="00546F9A">
          <w:rPr>
            <w:noProof/>
            <w:webHidden/>
          </w:rPr>
          <w:t>74</w:t>
        </w:r>
        <w:r w:rsidR="007B5B40" w:rsidRPr="0026309F">
          <w:rPr>
            <w:noProof/>
            <w:webHidden/>
          </w:rPr>
          <w:fldChar w:fldCharType="end"/>
        </w:r>
      </w:hyperlink>
    </w:p>
    <w:p w14:paraId="5DDCB99C" w14:textId="056E976C" w:rsidR="007B5B40" w:rsidRPr="0026309F" w:rsidRDefault="004F0A16" w:rsidP="0026309F">
      <w:pPr>
        <w:pStyle w:val="TOC2"/>
        <w:spacing w:line="276" w:lineRule="auto"/>
        <w:rPr>
          <w:rFonts w:asciiTheme="minorHAnsi" w:eastAsiaTheme="minorEastAsia" w:hAnsiTheme="minorHAnsi"/>
          <w:noProof/>
          <w:lang w:eastAsia="en-GB"/>
        </w:rPr>
      </w:pPr>
      <w:hyperlink w:anchor="_Toc98506554" w:history="1">
        <w:r w:rsidR="007B5B40" w:rsidRPr="0026309F">
          <w:rPr>
            <w:rStyle w:val="Hyperlink"/>
            <w:noProof/>
            <w:sz w:val="27"/>
            <w:szCs w:val="27"/>
          </w:rPr>
          <w:t>Theme 5: Disaster Planning and Humanitarian Emergencies</w:t>
        </w:r>
        <w:r w:rsidR="007B5B40" w:rsidRPr="0026309F">
          <w:rPr>
            <w:noProof/>
            <w:webHidden/>
          </w:rPr>
          <w:tab/>
        </w:r>
        <w:r w:rsidR="007B5B40" w:rsidRPr="0026309F">
          <w:rPr>
            <w:noProof/>
            <w:webHidden/>
          </w:rPr>
          <w:fldChar w:fldCharType="begin"/>
        </w:r>
        <w:r w:rsidR="007B5B40" w:rsidRPr="0026309F">
          <w:rPr>
            <w:noProof/>
            <w:webHidden/>
          </w:rPr>
          <w:instrText xml:space="preserve"> PAGEREF _Toc98506554 \h </w:instrText>
        </w:r>
        <w:r w:rsidR="007B5B40" w:rsidRPr="0026309F">
          <w:rPr>
            <w:noProof/>
            <w:webHidden/>
          </w:rPr>
        </w:r>
        <w:r w:rsidR="007B5B40" w:rsidRPr="0026309F">
          <w:rPr>
            <w:noProof/>
            <w:webHidden/>
          </w:rPr>
          <w:fldChar w:fldCharType="separate"/>
        </w:r>
        <w:r w:rsidR="00546F9A">
          <w:rPr>
            <w:noProof/>
            <w:webHidden/>
          </w:rPr>
          <w:t>83</w:t>
        </w:r>
        <w:r w:rsidR="007B5B40" w:rsidRPr="0026309F">
          <w:rPr>
            <w:noProof/>
            <w:webHidden/>
          </w:rPr>
          <w:fldChar w:fldCharType="end"/>
        </w:r>
      </w:hyperlink>
    </w:p>
    <w:p w14:paraId="77C98F0D" w14:textId="4F23278F" w:rsidR="007B5B40" w:rsidRPr="0026309F" w:rsidRDefault="004F0A16" w:rsidP="0026309F">
      <w:pPr>
        <w:pStyle w:val="TOC2"/>
        <w:spacing w:line="276" w:lineRule="auto"/>
        <w:rPr>
          <w:rFonts w:asciiTheme="minorHAnsi" w:eastAsiaTheme="minorEastAsia" w:hAnsiTheme="minorHAnsi"/>
          <w:noProof/>
          <w:lang w:eastAsia="en-GB"/>
        </w:rPr>
      </w:pPr>
      <w:hyperlink w:anchor="_Toc98506555" w:history="1">
        <w:r w:rsidR="007B5B40" w:rsidRPr="0026309F">
          <w:rPr>
            <w:rStyle w:val="Hyperlink"/>
            <w:noProof/>
            <w:sz w:val="27"/>
            <w:szCs w:val="27"/>
          </w:rPr>
          <w:t>Theme 6: Lives Less Worthy</w:t>
        </w:r>
        <w:r w:rsidR="007B5B40" w:rsidRPr="0026309F">
          <w:rPr>
            <w:noProof/>
            <w:webHidden/>
          </w:rPr>
          <w:tab/>
        </w:r>
        <w:r w:rsidR="007B5B40" w:rsidRPr="0026309F">
          <w:rPr>
            <w:noProof/>
            <w:webHidden/>
          </w:rPr>
          <w:fldChar w:fldCharType="begin"/>
        </w:r>
        <w:r w:rsidR="007B5B40" w:rsidRPr="0026309F">
          <w:rPr>
            <w:noProof/>
            <w:webHidden/>
          </w:rPr>
          <w:instrText xml:space="preserve"> PAGEREF _Toc98506555 \h </w:instrText>
        </w:r>
        <w:r w:rsidR="007B5B40" w:rsidRPr="0026309F">
          <w:rPr>
            <w:noProof/>
            <w:webHidden/>
          </w:rPr>
        </w:r>
        <w:r w:rsidR="007B5B40" w:rsidRPr="0026309F">
          <w:rPr>
            <w:noProof/>
            <w:webHidden/>
          </w:rPr>
          <w:fldChar w:fldCharType="separate"/>
        </w:r>
        <w:r w:rsidR="00546F9A">
          <w:rPr>
            <w:noProof/>
            <w:webHidden/>
          </w:rPr>
          <w:t>86</w:t>
        </w:r>
        <w:r w:rsidR="007B5B40" w:rsidRPr="0026309F">
          <w:rPr>
            <w:noProof/>
            <w:webHidden/>
          </w:rPr>
          <w:fldChar w:fldCharType="end"/>
        </w:r>
      </w:hyperlink>
    </w:p>
    <w:p w14:paraId="0A81EFD2" w14:textId="3F33E289" w:rsidR="007B5B40" w:rsidRPr="0026309F" w:rsidRDefault="004F0A16" w:rsidP="0026309F">
      <w:pPr>
        <w:pStyle w:val="TOC2"/>
        <w:spacing w:line="276" w:lineRule="auto"/>
        <w:rPr>
          <w:rFonts w:asciiTheme="minorHAnsi" w:eastAsiaTheme="minorEastAsia" w:hAnsiTheme="minorHAnsi"/>
          <w:noProof/>
          <w:lang w:eastAsia="en-GB"/>
        </w:rPr>
      </w:pPr>
      <w:hyperlink w:anchor="_Toc98506556" w:history="1">
        <w:r w:rsidR="007B5B40" w:rsidRPr="0026309F">
          <w:rPr>
            <w:rStyle w:val="Hyperlink"/>
            <w:noProof/>
            <w:sz w:val="27"/>
            <w:szCs w:val="27"/>
          </w:rPr>
          <w:t>Abbreviations</w:t>
        </w:r>
        <w:r w:rsidR="007B5B40" w:rsidRPr="0026309F">
          <w:rPr>
            <w:noProof/>
            <w:webHidden/>
          </w:rPr>
          <w:tab/>
        </w:r>
        <w:r w:rsidR="007B5B40" w:rsidRPr="0026309F">
          <w:rPr>
            <w:noProof/>
            <w:webHidden/>
          </w:rPr>
          <w:fldChar w:fldCharType="begin"/>
        </w:r>
        <w:r w:rsidR="007B5B40" w:rsidRPr="0026309F">
          <w:rPr>
            <w:noProof/>
            <w:webHidden/>
          </w:rPr>
          <w:instrText xml:space="preserve"> PAGEREF _Toc98506556 \h </w:instrText>
        </w:r>
        <w:r w:rsidR="007B5B40" w:rsidRPr="0026309F">
          <w:rPr>
            <w:noProof/>
            <w:webHidden/>
          </w:rPr>
        </w:r>
        <w:r w:rsidR="007B5B40" w:rsidRPr="0026309F">
          <w:rPr>
            <w:noProof/>
            <w:webHidden/>
          </w:rPr>
          <w:fldChar w:fldCharType="separate"/>
        </w:r>
        <w:r w:rsidR="00546F9A">
          <w:rPr>
            <w:noProof/>
            <w:webHidden/>
          </w:rPr>
          <w:t>106</w:t>
        </w:r>
        <w:r w:rsidR="007B5B40" w:rsidRPr="0026309F">
          <w:rPr>
            <w:noProof/>
            <w:webHidden/>
          </w:rPr>
          <w:fldChar w:fldCharType="end"/>
        </w:r>
      </w:hyperlink>
    </w:p>
    <w:p w14:paraId="35D9F5C6" w14:textId="742A3965" w:rsidR="007B5B40" w:rsidRPr="0026309F" w:rsidRDefault="004F0A16" w:rsidP="0026309F">
      <w:pPr>
        <w:pStyle w:val="TOC2"/>
        <w:spacing w:line="276" w:lineRule="auto"/>
        <w:rPr>
          <w:rFonts w:asciiTheme="minorHAnsi" w:eastAsiaTheme="minorEastAsia" w:hAnsiTheme="minorHAnsi"/>
          <w:noProof/>
          <w:lang w:eastAsia="en-GB"/>
        </w:rPr>
      </w:pPr>
      <w:hyperlink w:anchor="_Toc98506557" w:history="1">
        <w:r w:rsidR="007B5B40" w:rsidRPr="0026309F">
          <w:rPr>
            <w:rStyle w:val="Hyperlink"/>
            <w:noProof/>
            <w:sz w:val="27"/>
            <w:szCs w:val="27"/>
          </w:rPr>
          <w:t>Evidence Reference numbers</w:t>
        </w:r>
        <w:r w:rsidR="007B5B40" w:rsidRPr="0026309F">
          <w:rPr>
            <w:noProof/>
            <w:webHidden/>
          </w:rPr>
          <w:tab/>
        </w:r>
        <w:r w:rsidR="007B5B40" w:rsidRPr="0026309F">
          <w:rPr>
            <w:noProof/>
            <w:webHidden/>
          </w:rPr>
          <w:fldChar w:fldCharType="begin"/>
        </w:r>
        <w:r w:rsidR="007B5B40" w:rsidRPr="0026309F">
          <w:rPr>
            <w:noProof/>
            <w:webHidden/>
          </w:rPr>
          <w:instrText xml:space="preserve"> PAGEREF _Toc98506557 \h </w:instrText>
        </w:r>
        <w:r w:rsidR="007B5B40" w:rsidRPr="0026309F">
          <w:rPr>
            <w:noProof/>
            <w:webHidden/>
          </w:rPr>
        </w:r>
        <w:r w:rsidR="007B5B40" w:rsidRPr="0026309F">
          <w:rPr>
            <w:noProof/>
            <w:webHidden/>
          </w:rPr>
          <w:fldChar w:fldCharType="separate"/>
        </w:r>
        <w:r w:rsidR="00546F9A">
          <w:rPr>
            <w:noProof/>
            <w:webHidden/>
          </w:rPr>
          <w:t>109</w:t>
        </w:r>
        <w:r w:rsidR="007B5B40" w:rsidRPr="0026309F">
          <w:rPr>
            <w:noProof/>
            <w:webHidden/>
          </w:rPr>
          <w:fldChar w:fldCharType="end"/>
        </w:r>
      </w:hyperlink>
    </w:p>
    <w:p w14:paraId="05B68666" w14:textId="09814003" w:rsidR="007B5B40" w:rsidRPr="0026309F" w:rsidRDefault="004F0A16" w:rsidP="0026309F">
      <w:pPr>
        <w:pStyle w:val="TOC1"/>
        <w:spacing w:after="80" w:line="276" w:lineRule="auto"/>
        <w:rPr>
          <w:rFonts w:asciiTheme="minorHAnsi" w:eastAsiaTheme="minorEastAsia" w:hAnsiTheme="minorHAnsi"/>
          <w:sz w:val="27"/>
          <w:szCs w:val="27"/>
          <w:lang w:eastAsia="en-GB"/>
        </w:rPr>
      </w:pPr>
      <w:hyperlink w:anchor="_Toc98506558" w:history="1">
        <w:r w:rsidR="007B5B40" w:rsidRPr="0026309F">
          <w:rPr>
            <w:rStyle w:val="Hyperlink"/>
            <w:color w:val="003B3A"/>
            <w:sz w:val="27"/>
            <w:szCs w:val="27"/>
          </w:rPr>
          <w:t>Appendices</w:t>
        </w:r>
        <w:r w:rsidR="007B5B40" w:rsidRPr="0026309F">
          <w:rPr>
            <w:webHidden/>
            <w:sz w:val="27"/>
            <w:szCs w:val="27"/>
          </w:rPr>
          <w:tab/>
        </w:r>
        <w:r w:rsidR="007B5B40" w:rsidRPr="0026309F">
          <w:rPr>
            <w:webHidden/>
            <w:sz w:val="27"/>
            <w:szCs w:val="27"/>
          </w:rPr>
          <w:fldChar w:fldCharType="begin"/>
        </w:r>
        <w:r w:rsidR="007B5B40" w:rsidRPr="0026309F">
          <w:rPr>
            <w:webHidden/>
            <w:sz w:val="27"/>
            <w:szCs w:val="27"/>
          </w:rPr>
          <w:instrText xml:space="preserve"> PAGEREF _Toc98506558 \h </w:instrText>
        </w:r>
        <w:r w:rsidR="007B5B40" w:rsidRPr="0026309F">
          <w:rPr>
            <w:webHidden/>
            <w:sz w:val="27"/>
            <w:szCs w:val="27"/>
          </w:rPr>
        </w:r>
        <w:r w:rsidR="007B5B40" w:rsidRPr="0026309F">
          <w:rPr>
            <w:webHidden/>
            <w:sz w:val="27"/>
            <w:szCs w:val="27"/>
          </w:rPr>
          <w:fldChar w:fldCharType="separate"/>
        </w:r>
        <w:r w:rsidR="00546F9A">
          <w:rPr>
            <w:webHidden/>
            <w:sz w:val="27"/>
            <w:szCs w:val="27"/>
          </w:rPr>
          <w:t>110</w:t>
        </w:r>
        <w:r w:rsidR="007B5B40" w:rsidRPr="0026309F">
          <w:rPr>
            <w:webHidden/>
            <w:sz w:val="27"/>
            <w:szCs w:val="27"/>
          </w:rPr>
          <w:fldChar w:fldCharType="end"/>
        </w:r>
      </w:hyperlink>
    </w:p>
    <w:p w14:paraId="464EA5E3" w14:textId="04A4C1B9" w:rsidR="007B5B40" w:rsidRPr="0026309F" w:rsidRDefault="004F0A16" w:rsidP="0026309F">
      <w:pPr>
        <w:pStyle w:val="TOC2"/>
        <w:spacing w:line="276" w:lineRule="auto"/>
        <w:rPr>
          <w:rFonts w:asciiTheme="minorHAnsi" w:eastAsiaTheme="minorEastAsia" w:hAnsiTheme="minorHAnsi"/>
          <w:noProof/>
          <w:lang w:eastAsia="en-GB"/>
        </w:rPr>
      </w:pPr>
      <w:hyperlink w:anchor="_Toc98506559" w:history="1">
        <w:r w:rsidR="007B5B40" w:rsidRPr="0026309F">
          <w:rPr>
            <w:rStyle w:val="Hyperlink"/>
            <w:noProof/>
            <w:sz w:val="27"/>
            <w:szCs w:val="27"/>
          </w:rPr>
          <w:t>Appendix 1: List of Contributors</w:t>
        </w:r>
        <w:r w:rsidR="007B5B40" w:rsidRPr="0026309F">
          <w:rPr>
            <w:noProof/>
            <w:webHidden/>
          </w:rPr>
          <w:tab/>
        </w:r>
        <w:r w:rsidR="007B5B40" w:rsidRPr="0026309F">
          <w:rPr>
            <w:noProof/>
            <w:webHidden/>
          </w:rPr>
          <w:fldChar w:fldCharType="begin"/>
        </w:r>
        <w:r w:rsidR="007B5B40" w:rsidRPr="0026309F">
          <w:rPr>
            <w:noProof/>
            <w:webHidden/>
          </w:rPr>
          <w:instrText xml:space="preserve"> PAGEREF _Toc98506559 \h </w:instrText>
        </w:r>
        <w:r w:rsidR="007B5B40" w:rsidRPr="0026309F">
          <w:rPr>
            <w:noProof/>
            <w:webHidden/>
          </w:rPr>
        </w:r>
        <w:r w:rsidR="007B5B40" w:rsidRPr="0026309F">
          <w:rPr>
            <w:noProof/>
            <w:webHidden/>
          </w:rPr>
          <w:fldChar w:fldCharType="separate"/>
        </w:r>
        <w:r w:rsidR="00546F9A">
          <w:rPr>
            <w:noProof/>
            <w:webHidden/>
          </w:rPr>
          <w:t>110</w:t>
        </w:r>
        <w:r w:rsidR="007B5B40" w:rsidRPr="0026309F">
          <w:rPr>
            <w:noProof/>
            <w:webHidden/>
          </w:rPr>
          <w:fldChar w:fldCharType="end"/>
        </w:r>
      </w:hyperlink>
    </w:p>
    <w:p w14:paraId="523EBD18" w14:textId="405AA8E0" w:rsidR="007B5B40" w:rsidRPr="0026309F" w:rsidRDefault="004F0A16" w:rsidP="0026309F">
      <w:pPr>
        <w:pStyle w:val="TOC2"/>
        <w:spacing w:line="276" w:lineRule="auto"/>
        <w:rPr>
          <w:rFonts w:asciiTheme="minorHAnsi" w:eastAsiaTheme="minorEastAsia" w:hAnsiTheme="minorHAnsi"/>
          <w:noProof/>
          <w:lang w:eastAsia="en-GB"/>
        </w:rPr>
      </w:pPr>
      <w:hyperlink w:anchor="_Toc98506560" w:history="1">
        <w:r w:rsidR="007B5B40" w:rsidRPr="0026309F">
          <w:rPr>
            <w:rStyle w:val="Hyperlink"/>
            <w:noProof/>
            <w:sz w:val="27"/>
            <w:szCs w:val="27"/>
          </w:rPr>
          <w:t>Appendix 2: Methodology</w:t>
        </w:r>
        <w:r w:rsidR="007B5B40" w:rsidRPr="0026309F">
          <w:rPr>
            <w:noProof/>
            <w:webHidden/>
          </w:rPr>
          <w:tab/>
        </w:r>
        <w:r w:rsidR="007B5B40" w:rsidRPr="0026309F">
          <w:rPr>
            <w:noProof/>
            <w:webHidden/>
          </w:rPr>
          <w:fldChar w:fldCharType="begin"/>
        </w:r>
        <w:r w:rsidR="007B5B40" w:rsidRPr="0026309F">
          <w:rPr>
            <w:noProof/>
            <w:webHidden/>
          </w:rPr>
          <w:instrText xml:space="preserve"> PAGEREF _Toc98506560 \h </w:instrText>
        </w:r>
        <w:r w:rsidR="007B5B40" w:rsidRPr="0026309F">
          <w:rPr>
            <w:noProof/>
            <w:webHidden/>
          </w:rPr>
        </w:r>
        <w:r w:rsidR="007B5B40" w:rsidRPr="0026309F">
          <w:rPr>
            <w:noProof/>
            <w:webHidden/>
          </w:rPr>
          <w:fldChar w:fldCharType="separate"/>
        </w:r>
        <w:r w:rsidR="00546F9A">
          <w:rPr>
            <w:noProof/>
            <w:webHidden/>
          </w:rPr>
          <w:t>113</w:t>
        </w:r>
        <w:r w:rsidR="007B5B40" w:rsidRPr="0026309F">
          <w:rPr>
            <w:noProof/>
            <w:webHidden/>
          </w:rPr>
          <w:fldChar w:fldCharType="end"/>
        </w:r>
      </w:hyperlink>
    </w:p>
    <w:p w14:paraId="4BE9346F" w14:textId="2B437F94" w:rsidR="007B5B40" w:rsidRPr="0026309F" w:rsidRDefault="004F0A16" w:rsidP="0026309F">
      <w:pPr>
        <w:pStyle w:val="TOC2"/>
        <w:spacing w:line="276" w:lineRule="auto"/>
        <w:rPr>
          <w:rFonts w:asciiTheme="minorHAnsi" w:eastAsiaTheme="minorEastAsia" w:hAnsiTheme="minorHAnsi"/>
          <w:noProof/>
          <w:lang w:eastAsia="en-GB"/>
        </w:rPr>
      </w:pPr>
      <w:hyperlink w:anchor="_Toc98506561" w:history="1">
        <w:r w:rsidR="007B5B40" w:rsidRPr="0026309F">
          <w:rPr>
            <w:rStyle w:val="Hyperlink"/>
            <w:noProof/>
            <w:sz w:val="27"/>
            <w:szCs w:val="27"/>
            <w:shd w:val="clear" w:color="auto" w:fill="FFFFFF"/>
          </w:rPr>
          <w:t xml:space="preserve">Appendix 3: </w:t>
        </w:r>
        <w:r w:rsidR="007B5B40" w:rsidRPr="0026309F">
          <w:rPr>
            <w:rStyle w:val="Hyperlink"/>
            <w:noProof/>
            <w:sz w:val="27"/>
            <w:szCs w:val="27"/>
            <w:lang w:eastAsia="en-GB"/>
          </w:rPr>
          <w:t>List of Disability-Related Judicial Reviews since 2017</w:t>
        </w:r>
        <w:r w:rsidR="007B5B40" w:rsidRPr="0026309F">
          <w:rPr>
            <w:noProof/>
            <w:webHidden/>
          </w:rPr>
          <w:tab/>
        </w:r>
        <w:r w:rsidR="007B5B40" w:rsidRPr="0026309F">
          <w:rPr>
            <w:noProof/>
            <w:webHidden/>
          </w:rPr>
          <w:fldChar w:fldCharType="begin"/>
        </w:r>
        <w:r w:rsidR="007B5B40" w:rsidRPr="0026309F">
          <w:rPr>
            <w:noProof/>
            <w:webHidden/>
          </w:rPr>
          <w:instrText xml:space="preserve"> PAGEREF _Toc98506561 \h </w:instrText>
        </w:r>
        <w:r w:rsidR="007B5B40" w:rsidRPr="0026309F">
          <w:rPr>
            <w:noProof/>
            <w:webHidden/>
          </w:rPr>
        </w:r>
        <w:r w:rsidR="007B5B40" w:rsidRPr="0026309F">
          <w:rPr>
            <w:noProof/>
            <w:webHidden/>
          </w:rPr>
          <w:fldChar w:fldCharType="separate"/>
        </w:r>
        <w:r w:rsidR="00546F9A">
          <w:rPr>
            <w:noProof/>
            <w:webHidden/>
          </w:rPr>
          <w:t>119</w:t>
        </w:r>
        <w:r w:rsidR="007B5B40" w:rsidRPr="0026309F">
          <w:rPr>
            <w:noProof/>
            <w:webHidden/>
          </w:rPr>
          <w:fldChar w:fldCharType="end"/>
        </w:r>
      </w:hyperlink>
    </w:p>
    <w:p w14:paraId="4C8D63AF" w14:textId="3439B58E" w:rsidR="007B5B40" w:rsidRPr="0026309F" w:rsidRDefault="004F0A16" w:rsidP="0026309F">
      <w:pPr>
        <w:pStyle w:val="TOC2"/>
        <w:spacing w:line="276" w:lineRule="auto"/>
        <w:rPr>
          <w:rFonts w:asciiTheme="minorHAnsi" w:eastAsiaTheme="minorEastAsia" w:hAnsiTheme="minorHAnsi"/>
          <w:noProof/>
          <w:lang w:eastAsia="en-GB"/>
        </w:rPr>
      </w:pPr>
      <w:hyperlink w:anchor="_Toc98506562" w:history="1">
        <w:r w:rsidR="007B5B40" w:rsidRPr="0026309F">
          <w:rPr>
            <w:rStyle w:val="Hyperlink"/>
            <w:noProof/>
            <w:sz w:val="27"/>
            <w:szCs w:val="27"/>
          </w:rPr>
          <w:t>Appendix 4: Local Government and Social Care Ombudsman’s latest annual review of complaints.</w:t>
        </w:r>
        <w:r w:rsidR="007B5B40" w:rsidRPr="0026309F">
          <w:rPr>
            <w:noProof/>
            <w:webHidden/>
          </w:rPr>
          <w:tab/>
        </w:r>
        <w:r w:rsidR="007B5B40" w:rsidRPr="0026309F">
          <w:rPr>
            <w:noProof/>
            <w:webHidden/>
          </w:rPr>
          <w:fldChar w:fldCharType="begin"/>
        </w:r>
        <w:r w:rsidR="007B5B40" w:rsidRPr="0026309F">
          <w:rPr>
            <w:noProof/>
            <w:webHidden/>
          </w:rPr>
          <w:instrText xml:space="preserve"> PAGEREF _Toc98506562 \h </w:instrText>
        </w:r>
        <w:r w:rsidR="007B5B40" w:rsidRPr="0026309F">
          <w:rPr>
            <w:noProof/>
            <w:webHidden/>
          </w:rPr>
        </w:r>
        <w:r w:rsidR="007B5B40" w:rsidRPr="0026309F">
          <w:rPr>
            <w:noProof/>
            <w:webHidden/>
          </w:rPr>
          <w:fldChar w:fldCharType="separate"/>
        </w:r>
        <w:r w:rsidR="00546F9A">
          <w:rPr>
            <w:noProof/>
            <w:webHidden/>
          </w:rPr>
          <w:t>124</w:t>
        </w:r>
        <w:r w:rsidR="007B5B40" w:rsidRPr="0026309F">
          <w:rPr>
            <w:noProof/>
            <w:webHidden/>
          </w:rPr>
          <w:fldChar w:fldCharType="end"/>
        </w:r>
      </w:hyperlink>
    </w:p>
    <w:p w14:paraId="673616D9" w14:textId="2D8A4A95" w:rsidR="007B5B40" w:rsidRPr="0026309F" w:rsidRDefault="004F0A16" w:rsidP="0026309F">
      <w:pPr>
        <w:pStyle w:val="TOC2"/>
        <w:spacing w:line="276" w:lineRule="auto"/>
        <w:rPr>
          <w:rFonts w:asciiTheme="minorHAnsi" w:eastAsiaTheme="minorEastAsia" w:hAnsiTheme="minorHAnsi"/>
          <w:noProof/>
          <w:lang w:eastAsia="en-GB"/>
        </w:rPr>
      </w:pPr>
      <w:hyperlink w:anchor="_Toc98506563" w:history="1">
        <w:r w:rsidR="007B5B40" w:rsidRPr="0026309F">
          <w:rPr>
            <w:rStyle w:val="Hyperlink"/>
            <w:noProof/>
            <w:sz w:val="27"/>
            <w:szCs w:val="27"/>
          </w:rPr>
          <w:t>Appendix 5: Copy of DDPO letter to Secretary of State for Health and Social Care with response</w:t>
        </w:r>
        <w:r w:rsidR="007B5B40" w:rsidRPr="0026309F">
          <w:rPr>
            <w:noProof/>
            <w:webHidden/>
          </w:rPr>
          <w:tab/>
        </w:r>
        <w:r w:rsidR="007B5B40" w:rsidRPr="0026309F">
          <w:rPr>
            <w:noProof/>
            <w:webHidden/>
          </w:rPr>
          <w:fldChar w:fldCharType="begin"/>
        </w:r>
        <w:r w:rsidR="007B5B40" w:rsidRPr="0026309F">
          <w:rPr>
            <w:noProof/>
            <w:webHidden/>
          </w:rPr>
          <w:instrText xml:space="preserve"> PAGEREF _Toc98506563 \h </w:instrText>
        </w:r>
        <w:r w:rsidR="007B5B40" w:rsidRPr="0026309F">
          <w:rPr>
            <w:noProof/>
            <w:webHidden/>
          </w:rPr>
        </w:r>
        <w:r w:rsidR="007B5B40" w:rsidRPr="0026309F">
          <w:rPr>
            <w:noProof/>
            <w:webHidden/>
          </w:rPr>
          <w:fldChar w:fldCharType="separate"/>
        </w:r>
        <w:r w:rsidR="00546F9A">
          <w:rPr>
            <w:noProof/>
            <w:webHidden/>
          </w:rPr>
          <w:t>130</w:t>
        </w:r>
        <w:r w:rsidR="007B5B40" w:rsidRPr="0026309F">
          <w:rPr>
            <w:noProof/>
            <w:webHidden/>
          </w:rPr>
          <w:fldChar w:fldCharType="end"/>
        </w:r>
      </w:hyperlink>
    </w:p>
    <w:p w14:paraId="211780B7" w14:textId="3E454121" w:rsidR="007B5B40" w:rsidRPr="0026309F" w:rsidRDefault="004F0A16" w:rsidP="0026309F">
      <w:pPr>
        <w:pStyle w:val="TOC2"/>
        <w:spacing w:line="276" w:lineRule="auto"/>
        <w:rPr>
          <w:rFonts w:asciiTheme="minorHAnsi" w:eastAsiaTheme="minorEastAsia" w:hAnsiTheme="minorHAnsi"/>
          <w:noProof/>
          <w:lang w:eastAsia="en-GB"/>
        </w:rPr>
      </w:pPr>
      <w:hyperlink w:anchor="_Toc98506564" w:history="1">
        <w:r w:rsidR="007B5B40" w:rsidRPr="0026309F">
          <w:rPr>
            <w:rStyle w:val="Hyperlink"/>
            <w:noProof/>
            <w:sz w:val="27"/>
            <w:szCs w:val="27"/>
          </w:rPr>
          <w:t>Appendix 6: Deaths of claimants</w:t>
        </w:r>
        <w:r w:rsidR="007B5B40" w:rsidRPr="0026309F">
          <w:rPr>
            <w:noProof/>
            <w:webHidden/>
          </w:rPr>
          <w:tab/>
        </w:r>
        <w:r w:rsidR="007B5B40" w:rsidRPr="0026309F">
          <w:rPr>
            <w:noProof/>
            <w:webHidden/>
          </w:rPr>
          <w:fldChar w:fldCharType="begin"/>
        </w:r>
        <w:r w:rsidR="007B5B40" w:rsidRPr="0026309F">
          <w:rPr>
            <w:noProof/>
            <w:webHidden/>
          </w:rPr>
          <w:instrText xml:space="preserve"> PAGEREF _Toc98506564 \h </w:instrText>
        </w:r>
        <w:r w:rsidR="007B5B40" w:rsidRPr="0026309F">
          <w:rPr>
            <w:noProof/>
            <w:webHidden/>
          </w:rPr>
        </w:r>
        <w:r w:rsidR="007B5B40" w:rsidRPr="0026309F">
          <w:rPr>
            <w:noProof/>
            <w:webHidden/>
          </w:rPr>
          <w:fldChar w:fldCharType="separate"/>
        </w:r>
        <w:r w:rsidR="00546F9A">
          <w:rPr>
            <w:noProof/>
            <w:webHidden/>
          </w:rPr>
          <w:t>134</w:t>
        </w:r>
        <w:r w:rsidR="007B5B40" w:rsidRPr="0026309F">
          <w:rPr>
            <w:noProof/>
            <w:webHidden/>
          </w:rPr>
          <w:fldChar w:fldCharType="end"/>
        </w:r>
      </w:hyperlink>
    </w:p>
    <w:p w14:paraId="1DB1A5F4" w14:textId="1A86CEA7" w:rsidR="007B5B40" w:rsidRPr="0026309F" w:rsidRDefault="004F0A16" w:rsidP="0026309F">
      <w:pPr>
        <w:pStyle w:val="TOC2"/>
        <w:spacing w:line="276" w:lineRule="auto"/>
        <w:rPr>
          <w:rFonts w:asciiTheme="minorHAnsi" w:eastAsiaTheme="minorEastAsia" w:hAnsiTheme="minorHAnsi"/>
          <w:noProof/>
          <w:lang w:eastAsia="en-GB"/>
        </w:rPr>
      </w:pPr>
      <w:hyperlink w:anchor="_Toc98506565" w:history="1">
        <w:r w:rsidR="007B5B40" w:rsidRPr="0026309F">
          <w:rPr>
            <w:rStyle w:val="Hyperlink"/>
            <w:noProof/>
            <w:sz w:val="27"/>
            <w:szCs w:val="27"/>
          </w:rPr>
          <w:t>Appendix 7: Summary of ICE Annual Report (2020-2021) focused mainly on Disabled claimants</w:t>
        </w:r>
        <w:r w:rsidR="007B5B40" w:rsidRPr="0026309F">
          <w:rPr>
            <w:noProof/>
            <w:webHidden/>
          </w:rPr>
          <w:tab/>
        </w:r>
        <w:r w:rsidR="007B5B40" w:rsidRPr="0026309F">
          <w:rPr>
            <w:noProof/>
            <w:webHidden/>
          </w:rPr>
          <w:fldChar w:fldCharType="begin"/>
        </w:r>
        <w:r w:rsidR="007B5B40" w:rsidRPr="0026309F">
          <w:rPr>
            <w:noProof/>
            <w:webHidden/>
          </w:rPr>
          <w:instrText xml:space="preserve"> PAGEREF _Toc98506565 \h </w:instrText>
        </w:r>
        <w:r w:rsidR="007B5B40" w:rsidRPr="0026309F">
          <w:rPr>
            <w:noProof/>
            <w:webHidden/>
          </w:rPr>
        </w:r>
        <w:r w:rsidR="007B5B40" w:rsidRPr="0026309F">
          <w:rPr>
            <w:noProof/>
            <w:webHidden/>
          </w:rPr>
          <w:fldChar w:fldCharType="separate"/>
        </w:r>
        <w:r w:rsidR="00546F9A">
          <w:rPr>
            <w:noProof/>
            <w:webHidden/>
          </w:rPr>
          <w:t>138</w:t>
        </w:r>
        <w:r w:rsidR="007B5B40" w:rsidRPr="0026309F">
          <w:rPr>
            <w:noProof/>
            <w:webHidden/>
          </w:rPr>
          <w:fldChar w:fldCharType="end"/>
        </w:r>
      </w:hyperlink>
    </w:p>
    <w:p w14:paraId="43384154" w14:textId="2127D7E4" w:rsidR="007B5B40" w:rsidRPr="0026309F" w:rsidRDefault="004F0A16" w:rsidP="0026309F">
      <w:pPr>
        <w:pStyle w:val="TOC2"/>
        <w:spacing w:line="276" w:lineRule="auto"/>
        <w:rPr>
          <w:rFonts w:asciiTheme="minorHAnsi" w:eastAsiaTheme="minorEastAsia" w:hAnsiTheme="minorHAnsi"/>
          <w:noProof/>
          <w:lang w:eastAsia="en-GB"/>
        </w:rPr>
      </w:pPr>
      <w:hyperlink w:anchor="_Toc98506566" w:history="1">
        <w:r w:rsidR="007B5B40" w:rsidRPr="0026309F">
          <w:rPr>
            <w:rStyle w:val="Hyperlink"/>
            <w:noProof/>
            <w:sz w:val="27"/>
            <w:szCs w:val="27"/>
          </w:rPr>
          <w:t>Appendix 8: List of Data Gaps</w:t>
        </w:r>
        <w:r w:rsidR="007B5B40" w:rsidRPr="0026309F">
          <w:rPr>
            <w:noProof/>
            <w:webHidden/>
          </w:rPr>
          <w:tab/>
        </w:r>
        <w:r w:rsidR="007B5B40" w:rsidRPr="0026309F">
          <w:rPr>
            <w:noProof/>
            <w:webHidden/>
          </w:rPr>
          <w:fldChar w:fldCharType="begin"/>
        </w:r>
        <w:r w:rsidR="007B5B40" w:rsidRPr="0026309F">
          <w:rPr>
            <w:noProof/>
            <w:webHidden/>
          </w:rPr>
          <w:instrText xml:space="preserve"> PAGEREF _Toc98506566 \h </w:instrText>
        </w:r>
        <w:r w:rsidR="007B5B40" w:rsidRPr="0026309F">
          <w:rPr>
            <w:noProof/>
            <w:webHidden/>
          </w:rPr>
        </w:r>
        <w:r w:rsidR="007B5B40" w:rsidRPr="0026309F">
          <w:rPr>
            <w:noProof/>
            <w:webHidden/>
          </w:rPr>
          <w:fldChar w:fldCharType="separate"/>
        </w:r>
        <w:r w:rsidR="00546F9A">
          <w:rPr>
            <w:noProof/>
            <w:webHidden/>
          </w:rPr>
          <w:t>141</w:t>
        </w:r>
        <w:r w:rsidR="007B5B40" w:rsidRPr="0026309F">
          <w:rPr>
            <w:noProof/>
            <w:webHidden/>
          </w:rPr>
          <w:fldChar w:fldCharType="end"/>
        </w:r>
      </w:hyperlink>
    </w:p>
    <w:p w14:paraId="602F1C7D" w14:textId="4B2A161A" w:rsidR="007B5B40" w:rsidRPr="0026309F" w:rsidRDefault="004F0A16" w:rsidP="0026309F">
      <w:pPr>
        <w:pStyle w:val="TOC2"/>
        <w:spacing w:line="276" w:lineRule="auto"/>
        <w:rPr>
          <w:rFonts w:asciiTheme="minorHAnsi" w:eastAsiaTheme="minorEastAsia" w:hAnsiTheme="minorHAnsi"/>
          <w:noProof/>
          <w:lang w:eastAsia="en-GB"/>
        </w:rPr>
      </w:pPr>
      <w:hyperlink w:anchor="_Toc98506567" w:history="1">
        <w:r w:rsidR="007B5B40" w:rsidRPr="0026309F">
          <w:rPr>
            <w:rStyle w:val="Hyperlink"/>
            <w:noProof/>
            <w:sz w:val="27"/>
            <w:szCs w:val="27"/>
          </w:rPr>
          <w:t>Appendix 9: List of 24 Breaches of DDP’s Rights in first 12 months of COVID-19 Pandemic</w:t>
        </w:r>
        <w:r w:rsidR="007B5B40" w:rsidRPr="0026309F">
          <w:rPr>
            <w:noProof/>
            <w:webHidden/>
          </w:rPr>
          <w:tab/>
        </w:r>
        <w:r w:rsidR="007B5B40" w:rsidRPr="0026309F">
          <w:rPr>
            <w:noProof/>
            <w:webHidden/>
          </w:rPr>
          <w:fldChar w:fldCharType="begin"/>
        </w:r>
        <w:r w:rsidR="007B5B40" w:rsidRPr="0026309F">
          <w:rPr>
            <w:noProof/>
            <w:webHidden/>
          </w:rPr>
          <w:instrText xml:space="preserve"> PAGEREF _Toc98506567 \h </w:instrText>
        </w:r>
        <w:r w:rsidR="007B5B40" w:rsidRPr="0026309F">
          <w:rPr>
            <w:noProof/>
            <w:webHidden/>
          </w:rPr>
        </w:r>
        <w:r w:rsidR="007B5B40" w:rsidRPr="0026309F">
          <w:rPr>
            <w:noProof/>
            <w:webHidden/>
          </w:rPr>
          <w:fldChar w:fldCharType="separate"/>
        </w:r>
        <w:r w:rsidR="00546F9A">
          <w:rPr>
            <w:noProof/>
            <w:webHidden/>
          </w:rPr>
          <w:t>145</w:t>
        </w:r>
        <w:r w:rsidR="007B5B40" w:rsidRPr="0026309F">
          <w:rPr>
            <w:noProof/>
            <w:webHidden/>
          </w:rPr>
          <w:fldChar w:fldCharType="end"/>
        </w:r>
      </w:hyperlink>
    </w:p>
    <w:p w14:paraId="0A64D39C" w14:textId="6E2C3B8A" w:rsidR="007B5B40" w:rsidRPr="0026309F" w:rsidRDefault="004F0A16" w:rsidP="0026309F">
      <w:pPr>
        <w:pStyle w:val="TOC1"/>
        <w:spacing w:after="80" w:line="276" w:lineRule="auto"/>
        <w:rPr>
          <w:rFonts w:asciiTheme="minorHAnsi" w:eastAsiaTheme="minorEastAsia" w:hAnsiTheme="minorHAnsi"/>
          <w:sz w:val="27"/>
          <w:szCs w:val="27"/>
          <w:lang w:eastAsia="en-GB"/>
        </w:rPr>
      </w:pPr>
      <w:hyperlink w:anchor="_Toc98506568" w:history="1">
        <w:r w:rsidR="007B5B40" w:rsidRPr="0026309F">
          <w:rPr>
            <w:rStyle w:val="Hyperlink"/>
            <w:color w:val="003B3A"/>
            <w:sz w:val="27"/>
            <w:szCs w:val="27"/>
          </w:rPr>
          <w:t>Annexes</w:t>
        </w:r>
        <w:r w:rsidR="007B5B40" w:rsidRPr="0026309F">
          <w:rPr>
            <w:webHidden/>
            <w:sz w:val="27"/>
            <w:szCs w:val="27"/>
          </w:rPr>
          <w:tab/>
        </w:r>
        <w:r w:rsidR="007B5B40" w:rsidRPr="0026309F">
          <w:rPr>
            <w:webHidden/>
            <w:sz w:val="27"/>
            <w:szCs w:val="27"/>
          </w:rPr>
          <w:fldChar w:fldCharType="begin"/>
        </w:r>
        <w:r w:rsidR="007B5B40" w:rsidRPr="0026309F">
          <w:rPr>
            <w:webHidden/>
            <w:sz w:val="27"/>
            <w:szCs w:val="27"/>
          </w:rPr>
          <w:instrText xml:space="preserve"> PAGEREF _Toc98506568 \h </w:instrText>
        </w:r>
        <w:r w:rsidR="007B5B40" w:rsidRPr="0026309F">
          <w:rPr>
            <w:webHidden/>
            <w:sz w:val="27"/>
            <w:szCs w:val="27"/>
          </w:rPr>
        </w:r>
        <w:r w:rsidR="007B5B40" w:rsidRPr="0026309F">
          <w:rPr>
            <w:webHidden/>
            <w:sz w:val="27"/>
            <w:szCs w:val="27"/>
          </w:rPr>
          <w:fldChar w:fldCharType="separate"/>
        </w:r>
        <w:r w:rsidR="00546F9A">
          <w:rPr>
            <w:webHidden/>
            <w:sz w:val="27"/>
            <w:szCs w:val="27"/>
          </w:rPr>
          <w:t>148</w:t>
        </w:r>
        <w:r w:rsidR="007B5B40" w:rsidRPr="0026309F">
          <w:rPr>
            <w:webHidden/>
            <w:sz w:val="27"/>
            <w:szCs w:val="27"/>
          </w:rPr>
          <w:fldChar w:fldCharType="end"/>
        </w:r>
      </w:hyperlink>
    </w:p>
    <w:p w14:paraId="5916C63C" w14:textId="2364DEB6" w:rsidR="007B5B40" w:rsidRPr="0026309F" w:rsidRDefault="004F0A16" w:rsidP="0026309F">
      <w:pPr>
        <w:pStyle w:val="TOC2"/>
        <w:spacing w:line="276" w:lineRule="auto"/>
        <w:rPr>
          <w:rFonts w:asciiTheme="minorHAnsi" w:eastAsiaTheme="minorEastAsia" w:hAnsiTheme="minorHAnsi"/>
          <w:noProof/>
          <w:lang w:eastAsia="en-GB"/>
        </w:rPr>
      </w:pPr>
      <w:hyperlink w:anchor="_Toc98506569" w:history="1">
        <w:r w:rsidR="007B5B40" w:rsidRPr="0026309F">
          <w:rPr>
            <w:rStyle w:val="Hyperlink"/>
            <w:noProof/>
            <w:sz w:val="27"/>
            <w:szCs w:val="27"/>
          </w:rPr>
          <w:t>Annex A: Our Voices – extracts from personal testimonies and evidence submissions</w:t>
        </w:r>
        <w:r w:rsidR="007B5B40" w:rsidRPr="0026309F">
          <w:rPr>
            <w:noProof/>
            <w:webHidden/>
          </w:rPr>
          <w:tab/>
        </w:r>
        <w:r w:rsidR="007B5B40" w:rsidRPr="0026309F">
          <w:rPr>
            <w:noProof/>
            <w:webHidden/>
          </w:rPr>
          <w:fldChar w:fldCharType="begin"/>
        </w:r>
        <w:r w:rsidR="007B5B40" w:rsidRPr="0026309F">
          <w:rPr>
            <w:noProof/>
            <w:webHidden/>
          </w:rPr>
          <w:instrText xml:space="preserve"> PAGEREF _Toc98506569 \h </w:instrText>
        </w:r>
        <w:r w:rsidR="007B5B40" w:rsidRPr="0026309F">
          <w:rPr>
            <w:noProof/>
            <w:webHidden/>
          </w:rPr>
        </w:r>
        <w:r w:rsidR="007B5B40" w:rsidRPr="0026309F">
          <w:rPr>
            <w:noProof/>
            <w:webHidden/>
          </w:rPr>
          <w:fldChar w:fldCharType="separate"/>
        </w:r>
        <w:r w:rsidR="00546F9A">
          <w:rPr>
            <w:noProof/>
            <w:webHidden/>
          </w:rPr>
          <w:t>148</w:t>
        </w:r>
        <w:r w:rsidR="007B5B40" w:rsidRPr="0026309F">
          <w:rPr>
            <w:noProof/>
            <w:webHidden/>
          </w:rPr>
          <w:fldChar w:fldCharType="end"/>
        </w:r>
      </w:hyperlink>
    </w:p>
    <w:p w14:paraId="59BFDF56" w14:textId="50D3410C" w:rsidR="007B5B40" w:rsidRPr="0026309F" w:rsidRDefault="004F0A16" w:rsidP="0026309F">
      <w:pPr>
        <w:pStyle w:val="TOC2"/>
        <w:spacing w:line="276" w:lineRule="auto"/>
        <w:rPr>
          <w:rFonts w:asciiTheme="minorHAnsi" w:eastAsiaTheme="minorEastAsia" w:hAnsiTheme="minorHAnsi"/>
          <w:noProof/>
          <w:lang w:eastAsia="en-GB"/>
        </w:rPr>
      </w:pPr>
      <w:hyperlink w:anchor="_Toc98506570" w:history="1">
        <w:r w:rsidR="007B5B40" w:rsidRPr="0026309F">
          <w:rPr>
            <w:rStyle w:val="Hyperlink"/>
            <w:noProof/>
            <w:sz w:val="27"/>
            <w:szCs w:val="27"/>
          </w:rPr>
          <w:t>Annex B: Progress Tracker of 2016 and 2017 Recommendations</w:t>
        </w:r>
        <w:r w:rsidR="007B5B40" w:rsidRPr="0026309F">
          <w:rPr>
            <w:noProof/>
            <w:webHidden/>
          </w:rPr>
          <w:tab/>
        </w:r>
        <w:r w:rsidR="007B5B40" w:rsidRPr="0026309F">
          <w:rPr>
            <w:noProof/>
            <w:webHidden/>
          </w:rPr>
          <w:fldChar w:fldCharType="begin"/>
        </w:r>
        <w:r w:rsidR="007B5B40" w:rsidRPr="0026309F">
          <w:rPr>
            <w:noProof/>
            <w:webHidden/>
          </w:rPr>
          <w:instrText xml:space="preserve"> PAGEREF _Toc98506570 \h </w:instrText>
        </w:r>
        <w:r w:rsidR="007B5B40" w:rsidRPr="0026309F">
          <w:rPr>
            <w:noProof/>
            <w:webHidden/>
          </w:rPr>
        </w:r>
        <w:r w:rsidR="007B5B40" w:rsidRPr="0026309F">
          <w:rPr>
            <w:noProof/>
            <w:webHidden/>
          </w:rPr>
          <w:fldChar w:fldCharType="separate"/>
        </w:r>
        <w:r w:rsidR="00546F9A">
          <w:rPr>
            <w:noProof/>
            <w:webHidden/>
          </w:rPr>
          <w:t>149</w:t>
        </w:r>
        <w:r w:rsidR="007B5B40" w:rsidRPr="0026309F">
          <w:rPr>
            <w:noProof/>
            <w:webHidden/>
          </w:rPr>
          <w:fldChar w:fldCharType="end"/>
        </w:r>
      </w:hyperlink>
    </w:p>
    <w:p w14:paraId="30E7C387" w14:textId="088C85B4" w:rsidR="007B5B40" w:rsidRPr="0026309F" w:rsidRDefault="004F0A16" w:rsidP="0026309F">
      <w:pPr>
        <w:pStyle w:val="TOC2"/>
        <w:spacing w:line="276" w:lineRule="auto"/>
        <w:rPr>
          <w:rFonts w:asciiTheme="minorHAnsi" w:eastAsiaTheme="minorEastAsia" w:hAnsiTheme="minorHAnsi"/>
          <w:noProof/>
          <w:lang w:eastAsia="en-GB"/>
        </w:rPr>
      </w:pPr>
      <w:hyperlink w:anchor="_Toc98506571" w:history="1">
        <w:r w:rsidR="007B5B40" w:rsidRPr="0026309F">
          <w:rPr>
            <w:rStyle w:val="Hyperlink"/>
            <w:noProof/>
            <w:sz w:val="27"/>
            <w:szCs w:val="27"/>
          </w:rPr>
          <w:t>Annex C: Evidence analysis</w:t>
        </w:r>
        <w:r w:rsidR="007B5B40" w:rsidRPr="0026309F">
          <w:rPr>
            <w:noProof/>
            <w:webHidden/>
          </w:rPr>
          <w:tab/>
        </w:r>
        <w:r w:rsidR="007B5B40" w:rsidRPr="0026309F">
          <w:rPr>
            <w:noProof/>
            <w:webHidden/>
          </w:rPr>
          <w:fldChar w:fldCharType="begin"/>
        </w:r>
        <w:r w:rsidR="007B5B40" w:rsidRPr="0026309F">
          <w:rPr>
            <w:noProof/>
            <w:webHidden/>
          </w:rPr>
          <w:instrText xml:space="preserve"> PAGEREF _Toc98506571 \h </w:instrText>
        </w:r>
        <w:r w:rsidR="007B5B40" w:rsidRPr="0026309F">
          <w:rPr>
            <w:noProof/>
            <w:webHidden/>
          </w:rPr>
        </w:r>
        <w:r w:rsidR="007B5B40" w:rsidRPr="0026309F">
          <w:rPr>
            <w:noProof/>
            <w:webHidden/>
          </w:rPr>
          <w:fldChar w:fldCharType="separate"/>
        </w:r>
        <w:r w:rsidR="00546F9A">
          <w:rPr>
            <w:noProof/>
            <w:webHidden/>
          </w:rPr>
          <w:t>150</w:t>
        </w:r>
        <w:r w:rsidR="007B5B40" w:rsidRPr="0026309F">
          <w:rPr>
            <w:noProof/>
            <w:webHidden/>
          </w:rPr>
          <w:fldChar w:fldCharType="end"/>
        </w:r>
      </w:hyperlink>
    </w:p>
    <w:p w14:paraId="4644F15A" w14:textId="0A408F5C" w:rsidR="007B5B40" w:rsidRPr="0026309F" w:rsidRDefault="004F0A16" w:rsidP="0026309F">
      <w:pPr>
        <w:pStyle w:val="TOC2"/>
        <w:spacing w:line="276" w:lineRule="auto"/>
        <w:rPr>
          <w:rFonts w:asciiTheme="minorHAnsi" w:eastAsiaTheme="minorEastAsia" w:hAnsiTheme="minorHAnsi"/>
          <w:noProof/>
          <w:lang w:eastAsia="en-GB"/>
        </w:rPr>
      </w:pPr>
      <w:hyperlink w:anchor="_Toc98506572" w:history="1">
        <w:r w:rsidR="007B5B40" w:rsidRPr="0026309F">
          <w:rPr>
            <w:rStyle w:val="Hyperlink"/>
            <w:noProof/>
            <w:sz w:val="27"/>
            <w:szCs w:val="27"/>
          </w:rPr>
          <w:t>Annex D: Survey Findings</w:t>
        </w:r>
        <w:r w:rsidR="007B5B40" w:rsidRPr="0026309F">
          <w:rPr>
            <w:noProof/>
            <w:webHidden/>
          </w:rPr>
          <w:tab/>
        </w:r>
        <w:r w:rsidR="007B5B40" w:rsidRPr="0026309F">
          <w:rPr>
            <w:noProof/>
            <w:webHidden/>
          </w:rPr>
          <w:fldChar w:fldCharType="begin"/>
        </w:r>
        <w:r w:rsidR="007B5B40" w:rsidRPr="0026309F">
          <w:rPr>
            <w:noProof/>
            <w:webHidden/>
          </w:rPr>
          <w:instrText xml:space="preserve"> PAGEREF _Toc98506572 \h </w:instrText>
        </w:r>
        <w:r w:rsidR="007B5B40" w:rsidRPr="0026309F">
          <w:rPr>
            <w:noProof/>
            <w:webHidden/>
          </w:rPr>
        </w:r>
        <w:r w:rsidR="007B5B40" w:rsidRPr="0026309F">
          <w:rPr>
            <w:noProof/>
            <w:webHidden/>
          </w:rPr>
          <w:fldChar w:fldCharType="separate"/>
        </w:r>
        <w:r w:rsidR="00546F9A">
          <w:rPr>
            <w:noProof/>
            <w:webHidden/>
          </w:rPr>
          <w:t>151</w:t>
        </w:r>
        <w:r w:rsidR="007B5B40" w:rsidRPr="0026309F">
          <w:rPr>
            <w:noProof/>
            <w:webHidden/>
          </w:rPr>
          <w:fldChar w:fldCharType="end"/>
        </w:r>
      </w:hyperlink>
    </w:p>
    <w:p w14:paraId="3633393C" w14:textId="5DEBE555" w:rsidR="00186B50" w:rsidRDefault="007B5B40" w:rsidP="0026309F">
      <w:pPr>
        <w:tabs>
          <w:tab w:val="left" w:pos="5535"/>
        </w:tabs>
        <w:spacing w:after="80"/>
        <w:rPr>
          <w:b/>
          <w:bCs/>
          <w:szCs w:val="28"/>
        </w:rPr>
      </w:pPr>
      <w:r w:rsidRPr="0026309F">
        <w:rPr>
          <w:b/>
          <w:bCs/>
          <w:sz w:val="27"/>
          <w:szCs w:val="27"/>
        </w:rPr>
        <w:fldChar w:fldCharType="end"/>
      </w:r>
    </w:p>
    <w:p w14:paraId="74158316" w14:textId="431BF16F" w:rsidR="00A3176C" w:rsidRPr="00BB6A41" w:rsidRDefault="00A3176C" w:rsidP="00BB6A41">
      <w:pPr>
        <w:pStyle w:val="Heading2"/>
      </w:pPr>
      <w:bookmarkStart w:id="2" w:name="_Toc98506545"/>
      <w:r w:rsidRPr="00BB6A41">
        <w:t>UN Convention on the Rights of Persons with Disabilities</w:t>
      </w:r>
      <w:r w:rsidR="009608C0" w:rsidRPr="00BB6A41">
        <w:t xml:space="preserve"> (CRDP)</w:t>
      </w:r>
      <w:bookmarkEnd w:id="2"/>
    </w:p>
    <w:p w14:paraId="7852E7E9" w14:textId="33C98697" w:rsidR="00A3176C" w:rsidRPr="002347D0" w:rsidRDefault="00A3176C" w:rsidP="00E739BB">
      <w:pPr>
        <w:spacing w:after="0"/>
        <w:rPr>
          <w:rFonts w:eastAsia="Times New Roman" w:cs="Calibri"/>
          <w:szCs w:val="28"/>
          <w:lang w:eastAsia="en-GB"/>
        </w:rPr>
      </w:pPr>
      <w:r w:rsidRPr="000A7C5F">
        <w:rPr>
          <w:rFonts w:ascii="Lato" w:eastAsia="Times New Roman" w:hAnsi="Lato" w:cs="Times New Roman"/>
          <w:color w:val="000000"/>
          <w:sz w:val="21"/>
          <w:szCs w:val="21"/>
          <w:lang w:eastAsia="en-GB"/>
        </w:rPr>
        <w:br/>
      </w:r>
      <w:r w:rsidR="009608C0" w:rsidRPr="002347D0">
        <w:rPr>
          <w:rFonts w:eastAsia="Times New Roman" w:cs="Calibri"/>
          <w:color w:val="000000"/>
          <w:szCs w:val="28"/>
          <w:shd w:val="clear" w:color="auto" w:fill="FFFFFF"/>
          <w:lang w:eastAsia="en-GB"/>
        </w:rPr>
        <w:t xml:space="preserve">The </w:t>
      </w:r>
      <w:r w:rsidR="00297152" w:rsidRPr="002347D0">
        <w:rPr>
          <w:rFonts w:eastAsia="Times New Roman" w:cs="Calibri"/>
          <w:color w:val="000000"/>
          <w:szCs w:val="28"/>
          <w:shd w:val="clear" w:color="auto" w:fill="FFFFFF"/>
          <w:lang w:eastAsia="en-GB"/>
        </w:rPr>
        <w:t xml:space="preserve">CRDP is an international treaty which identifies the rights of Deaf and Disabled people as well as the obligations on government to promote, protect and ensure those rights. It aims to ensure that Deaf and </w:t>
      </w:r>
      <w:r w:rsidR="004653C1" w:rsidRPr="002347D0">
        <w:rPr>
          <w:rFonts w:eastAsia="Times New Roman" w:cs="Calibri"/>
          <w:color w:val="000000"/>
          <w:szCs w:val="28"/>
          <w:shd w:val="clear" w:color="auto" w:fill="FFFFFF"/>
          <w:lang w:eastAsia="en-GB"/>
        </w:rPr>
        <w:t>D</w:t>
      </w:r>
      <w:r w:rsidR="00297152" w:rsidRPr="002347D0">
        <w:rPr>
          <w:rFonts w:eastAsia="Times New Roman" w:cs="Calibri"/>
          <w:color w:val="000000"/>
          <w:szCs w:val="28"/>
          <w:shd w:val="clear" w:color="auto" w:fill="FFFFFF"/>
          <w:lang w:eastAsia="en-GB"/>
        </w:rPr>
        <w:t xml:space="preserve">isabled people enjoy the same human rights as everyone else and can participate fully in society </w:t>
      </w:r>
      <w:r w:rsidR="004653C1" w:rsidRPr="002347D0">
        <w:rPr>
          <w:rFonts w:eastAsia="Times New Roman" w:cs="Calibri"/>
          <w:color w:val="000000"/>
          <w:szCs w:val="28"/>
          <w:shd w:val="clear" w:color="auto" w:fill="FFFFFF"/>
          <w:lang w:eastAsia="en-GB"/>
        </w:rPr>
        <w:t>through</w:t>
      </w:r>
      <w:r w:rsidR="00297152" w:rsidRPr="002347D0">
        <w:rPr>
          <w:rFonts w:eastAsia="Times New Roman" w:cs="Calibri"/>
          <w:color w:val="000000"/>
          <w:szCs w:val="28"/>
          <w:shd w:val="clear" w:color="auto" w:fill="FFFFFF"/>
          <w:lang w:eastAsia="en-GB"/>
        </w:rPr>
        <w:t xml:space="preserve"> the same opportunities as others. The C</w:t>
      </w:r>
      <w:r w:rsidR="009608C0" w:rsidRPr="002347D0">
        <w:rPr>
          <w:rFonts w:eastAsia="Times New Roman" w:cs="Calibri"/>
          <w:color w:val="000000"/>
          <w:szCs w:val="28"/>
          <w:shd w:val="clear" w:color="auto" w:fill="FFFFFF"/>
          <w:lang w:eastAsia="en-GB"/>
        </w:rPr>
        <w:t>RDP</w:t>
      </w:r>
      <w:r w:rsidR="00297152" w:rsidRPr="002347D0">
        <w:rPr>
          <w:rFonts w:eastAsia="Times New Roman" w:cs="Calibri"/>
          <w:color w:val="000000"/>
          <w:szCs w:val="28"/>
          <w:shd w:val="clear" w:color="auto" w:fill="FFFFFF"/>
          <w:lang w:eastAsia="en-GB"/>
        </w:rPr>
        <w:t xml:space="preserve"> </w:t>
      </w:r>
      <w:r w:rsidR="009608C0" w:rsidRPr="002347D0">
        <w:rPr>
          <w:rFonts w:eastAsia="Times New Roman" w:cs="Calibri"/>
          <w:color w:val="000000"/>
          <w:szCs w:val="28"/>
          <w:shd w:val="clear" w:color="auto" w:fill="FFFFFF"/>
          <w:lang w:eastAsia="en-GB"/>
        </w:rPr>
        <w:t xml:space="preserve">is divided into 50 “Articles” </w:t>
      </w:r>
      <w:r w:rsidR="00297152" w:rsidRPr="002347D0">
        <w:rPr>
          <w:rFonts w:eastAsia="Times New Roman" w:cs="Calibri"/>
          <w:color w:val="000000"/>
          <w:szCs w:val="28"/>
          <w:shd w:val="clear" w:color="auto" w:fill="FFFFFF"/>
          <w:lang w:eastAsia="en-GB"/>
        </w:rPr>
        <w:t>cover</w:t>
      </w:r>
      <w:r w:rsidR="009608C0" w:rsidRPr="002347D0">
        <w:rPr>
          <w:rFonts w:eastAsia="Times New Roman" w:cs="Calibri"/>
          <w:color w:val="000000"/>
          <w:szCs w:val="28"/>
          <w:shd w:val="clear" w:color="auto" w:fill="FFFFFF"/>
          <w:lang w:eastAsia="en-GB"/>
        </w:rPr>
        <w:t>ing</w:t>
      </w:r>
      <w:r w:rsidR="00297152" w:rsidRPr="002347D0">
        <w:rPr>
          <w:rFonts w:eastAsia="Times New Roman" w:cs="Calibri"/>
          <w:color w:val="000000"/>
          <w:szCs w:val="28"/>
          <w:shd w:val="clear" w:color="auto" w:fill="FFFFFF"/>
          <w:lang w:eastAsia="en-GB"/>
        </w:rPr>
        <w:t xml:space="preserve"> a wide range of areas including education, health, employment, accessibility, independent living, access to justice and freedom from discrimination.</w:t>
      </w:r>
      <w:r w:rsidR="00297152" w:rsidRPr="002347D0">
        <w:rPr>
          <w:rFonts w:eastAsia="Times New Roman" w:cs="Calibri"/>
          <w:color w:val="000000"/>
          <w:szCs w:val="28"/>
          <w:lang w:eastAsia="en-GB"/>
        </w:rPr>
        <w:br/>
      </w:r>
      <w:r w:rsidR="00297152" w:rsidRPr="002347D0">
        <w:rPr>
          <w:rFonts w:eastAsia="Times New Roman" w:cs="Calibri"/>
          <w:color w:val="000000"/>
          <w:szCs w:val="28"/>
          <w:lang w:eastAsia="en-GB"/>
        </w:rPr>
        <w:br/>
      </w:r>
      <w:r w:rsidR="00297152" w:rsidRPr="002347D0">
        <w:rPr>
          <w:rFonts w:eastAsia="Times New Roman" w:cs="Calibri"/>
          <w:color w:val="000000"/>
          <w:szCs w:val="28"/>
          <w:shd w:val="clear" w:color="auto" w:fill="FFFFFF"/>
          <w:lang w:eastAsia="en-GB"/>
        </w:rPr>
        <w:t xml:space="preserve">By ratifying the CRDP in 2009, the UK agreed to be examined by the UN Disability Committee every five years. During this examination the Committee looks at how well the CRDP is being implemented and makes recommendations for improvement. The Equality and Human Rights Commission and Deaf and Disabled People’s Organisations have a role in the examination process. This role is called shadow reporting. It is where we have a say on how well we think the Government is following the CRDP.  </w:t>
      </w:r>
      <w:r w:rsidRPr="002347D0">
        <w:rPr>
          <w:rFonts w:eastAsia="Times New Roman" w:cs="Calibri"/>
          <w:color w:val="000000"/>
          <w:szCs w:val="28"/>
          <w:lang w:eastAsia="en-GB"/>
        </w:rPr>
        <w:br/>
      </w:r>
      <w:r w:rsidRPr="002347D0">
        <w:rPr>
          <w:rFonts w:eastAsia="Times New Roman" w:cs="Calibri"/>
          <w:color w:val="000000"/>
          <w:szCs w:val="28"/>
          <w:shd w:val="clear" w:color="auto" w:fill="FFFFFF"/>
          <w:lang w:eastAsia="en-GB"/>
        </w:rPr>
        <w:t> </w:t>
      </w:r>
    </w:p>
    <w:p w14:paraId="3F03BE8F" w14:textId="262CD8BE" w:rsidR="00A3176C" w:rsidRPr="002347D0" w:rsidRDefault="004175DF" w:rsidP="00E739BB">
      <w:pPr>
        <w:shd w:val="clear" w:color="auto" w:fill="FFFFFF"/>
        <w:spacing w:after="0"/>
        <w:rPr>
          <w:rFonts w:eastAsia="Times New Roman" w:cs="Calibri"/>
          <w:color w:val="000000"/>
          <w:szCs w:val="28"/>
          <w:lang w:eastAsia="en-GB"/>
        </w:rPr>
      </w:pPr>
      <w:r w:rsidRPr="002347D0">
        <w:rPr>
          <w:rFonts w:eastAsia="Times New Roman" w:cs="Calibri"/>
          <w:color w:val="000000"/>
          <w:szCs w:val="28"/>
          <w:lang w:eastAsia="en-GB"/>
        </w:rPr>
        <w:lastRenderedPageBreak/>
        <w:t xml:space="preserve">Inclusion London has a </w:t>
      </w:r>
      <w:hyperlink r:id="rId8" w:history="1">
        <w:r w:rsidRPr="002347D0">
          <w:rPr>
            <w:rStyle w:val="Hyperlink"/>
            <w:rFonts w:eastAsia="Times New Roman" w:cs="Calibri"/>
            <w:szCs w:val="28"/>
            <w:lang w:eastAsia="en-GB"/>
          </w:rPr>
          <w:t>dedicated web area for the CRDP</w:t>
        </w:r>
      </w:hyperlink>
      <w:r w:rsidRPr="002347D0">
        <w:rPr>
          <w:rFonts w:eastAsia="Times New Roman" w:cs="Calibri"/>
          <w:color w:val="000000"/>
          <w:szCs w:val="28"/>
          <w:lang w:eastAsia="en-GB"/>
        </w:rPr>
        <w:t xml:space="preserve"> where you can see all </w:t>
      </w:r>
      <w:hyperlink r:id="rId9" w:history="1">
        <w:r w:rsidRPr="002347D0">
          <w:rPr>
            <w:rStyle w:val="Hyperlink"/>
            <w:rFonts w:eastAsia="Times New Roman" w:cs="Calibri"/>
            <w:szCs w:val="28"/>
            <w:lang w:eastAsia="en-GB"/>
          </w:rPr>
          <w:t>50 Articles of the CRPD</w:t>
        </w:r>
      </w:hyperlink>
      <w:r w:rsidRPr="002347D0">
        <w:rPr>
          <w:rFonts w:eastAsia="Times New Roman" w:cs="Calibri"/>
          <w:color w:val="000000"/>
          <w:szCs w:val="28"/>
          <w:lang w:eastAsia="en-GB"/>
        </w:rPr>
        <w:t xml:space="preserve"> as well as various other resources. The CRDP is also available in </w:t>
      </w:r>
      <w:hyperlink r:id="rId10" w:history="1">
        <w:r w:rsidRPr="002347D0">
          <w:rPr>
            <w:rStyle w:val="Hyperlink"/>
            <w:rFonts w:eastAsia="Times New Roman" w:cs="Calibri"/>
            <w:szCs w:val="28"/>
            <w:lang w:eastAsia="en-GB"/>
          </w:rPr>
          <w:t>easy read</w:t>
        </w:r>
      </w:hyperlink>
      <w:r w:rsidRPr="002347D0">
        <w:rPr>
          <w:rFonts w:eastAsia="Times New Roman" w:cs="Calibri"/>
          <w:color w:val="000000"/>
          <w:szCs w:val="28"/>
          <w:lang w:eastAsia="en-GB"/>
        </w:rPr>
        <w:t xml:space="preserve"> and </w:t>
      </w:r>
      <w:hyperlink r:id="rId11" w:history="1">
        <w:r w:rsidRPr="002347D0">
          <w:rPr>
            <w:rStyle w:val="Hyperlink"/>
            <w:rFonts w:eastAsia="Times New Roman" w:cs="Calibri"/>
            <w:szCs w:val="28"/>
            <w:lang w:eastAsia="en-GB"/>
          </w:rPr>
          <w:t>BSL</w:t>
        </w:r>
      </w:hyperlink>
      <w:r w:rsidRPr="002347D0">
        <w:rPr>
          <w:rFonts w:eastAsia="Times New Roman" w:cs="Calibri"/>
          <w:color w:val="000000"/>
          <w:szCs w:val="28"/>
          <w:lang w:eastAsia="en-GB"/>
        </w:rPr>
        <w:t xml:space="preserve">.  </w:t>
      </w:r>
    </w:p>
    <w:p w14:paraId="5B59F1F4" w14:textId="2BF8B121" w:rsidR="00A3176C" w:rsidRPr="000A7C5F" w:rsidRDefault="00A3176C" w:rsidP="00E739BB">
      <w:pPr>
        <w:rPr>
          <w:szCs w:val="28"/>
        </w:rPr>
      </w:pPr>
    </w:p>
    <w:p w14:paraId="376EBCB2" w14:textId="77777777" w:rsidR="00E11CFD" w:rsidRPr="000A7C5F" w:rsidRDefault="00E11CFD" w:rsidP="00E739BB">
      <w:pPr>
        <w:pStyle w:val="ListParagraph"/>
        <w:spacing w:after="0"/>
        <w:ind w:left="284"/>
        <w:rPr>
          <w:szCs w:val="28"/>
        </w:rPr>
      </w:pPr>
    </w:p>
    <w:p w14:paraId="7784856E" w14:textId="1A0741AA" w:rsidR="00131798" w:rsidRPr="000A7C5F" w:rsidRDefault="00EB4068" w:rsidP="00E739BB">
      <w:pPr>
        <w:rPr>
          <w:szCs w:val="28"/>
        </w:rPr>
      </w:pPr>
      <w:r w:rsidRPr="000A7C5F">
        <w:rPr>
          <w:sz w:val="24"/>
          <w:szCs w:val="24"/>
        </w:rPr>
        <w:br w:type="page"/>
      </w:r>
      <w:bookmarkStart w:id="3" w:name="_Hlk92920205"/>
    </w:p>
    <w:p w14:paraId="2F19B92D" w14:textId="3700AF6E" w:rsidR="0036517B" w:rsidRPr="000A7C5F" w:rsidRDefault="0036517B" w:rsidP="00BB6A41">
      <w:pPr>
        <w:pStyle w:val="Heading2"/>
      </w:pPr>
      <w:bookmarkStart w:id="4" w:name="_Toc98506546"/>
      <w:bookmarkStart w:id="5" w:name="_Hlk93321217"/>
      <w:bookmarkEnd w:id="3"/>
      <w:r w:rsidRPr="000A7C5F">
        <w:lastRenderedPageBreak/>
        <w:t xml:space="preserve">Glossary – explanation of terms used in this </w:t>
      </w:r>
      <w:r w:rsidRPr="00186B50">
        <w:t>report</w:t>
      </w:r>
      <w:bookmarkEnd w:id="4"/>
    </w:p>
    <w:p w14:paraId="08E1C194" w14:textId="77777777" w:rsidR="0036517B" w:rsidRPr="000A7C5F" w:rsidRDefault="0036517B" w:rsidP="0026309F">
      <w:pPr>
        <w:ind w:left="3969" w:hanging="3969"/>
        <w:rPr>
          <w:szCs w:val="28"/>
        </w:rPr>
      </w:pPr>
      <w:r w:rsidRPr="000A7C5F">
        <w:rPr>
          <w:szCs w:val="28"/>
        </w:rPr>
        <w:t>Committee</w:t>
      </w:r>
      <w:r w:rsidRPr="000A7C5F">
        <w:rPr>
          <w:szCs w:val="28"/>
        </w:rPr>
        <w:tab/>
        <w:t>United Nations Committee for the Convention on the Rights of Disabled Persons</w:t>
      </w:r>
    </w:p>
    <w:p w14:paraId="57CBF027" w14:textId="77777777" w:rsidR="0036517B" w:rsidRPr="000A7C5F" w:rsidRDefault="0036517B" w:rsidP="0026309F">
      <w:pPr>
        <w:ind w:left="3969" w:hanging="3969"/>
        <w:rPr>
          <w:szCs w:val="28"/>
        </w:rPr>
      </w:pPr>
      <w:r w:rsidRPr="000A7C5F">
        <w:rPr>
          <w:szCs w:val="28"/>
        </w:rPr>
        <w:t>Concluding Observations</w:t>
      </w:r>
      <w:r w:rsidRPr="000A7C5F">
        <w:rPr>
          <w:szCs w:val="28"/>
        </w:rPr>
        <w:tab/>
        <w:t>Concluding Observations on the initial report of the United Kingdom of Great Britain and Northern Ireland, adopted on 29 August 2017</w:t>
      </w:r>
    </w:p>
    <w:p w14:paraId="45C8FA82" w14:textId="77777777" w:rsidR="0036517B" w:rsidRPr="000A7C5F" w:rsidRDefault="0036517B" w:rsidP="0026309F">
      <w:pPr>
        <w:ind w:left="3969" w:hanging="3969"/>
        <w:rPr>
          <w:szCs w:val="28"/>
        </w:rPr>
      </w:pPr>
      <w:r w:rsidRPr="000A7C5F">
        <w:rPr>
          <w:szCs w:val="28"/>
        </w:rPr>
        <w:t>Deaf and Disabled people</w:t>
      </w:r>
      <w:r w:rsidRPr="000A7C5F">
        <w:rPr>
          <w:szCs w:val="28"/>
        </w:rPr>
        <w:tab/>
      </w:r>
      <w:proofErr w:type="gramStart"/>
      <w:r w:rsidRPr="000A7C5F">
        <w:rPr>
          <w:szCs w:val="28"/>
        </w:rPr>
        <w:t>The</w:t>
      </w:r>
      <w:proofErr w:type="gramEnd"/>
      <w:r w:rsidRPr="000A7C5F">
        <w:rPr>
          <w:szCs w:val="28"/>
        </w:rPr>
        <w:t xml:space="preserve"> term “disabled people” covers people with physical impairments, mobility impairments, sensory impairments, learning disabilities/difficulties, people who are neurodivergent and people living with mental distress, energy-limiting chronic illness or other long-term health conditions. Deaf people (with a capital “D”) refers to people whose first language is sign language. In Britain we use “disabled people” instead of “people with disabilities” according to the social model of disability.</w:t>
      </w:r>
    </w:p>
    <w:p w14:paraId="4A3F2E1C" w14:textId="77777777" w:rsidR="0036517B" w:rsidRPr="000A7C5F" w:rsidRDefault="0036517B" w:rsidP="0026309F">
      <w:pPr>
        <w:ind w:left="3969" w:hanging="3969"/>
        <w:rPr>
          <w:szCs w:val="28"/>
        </w:rPr>
      </w:pPr>
      <w:r w:rsidRPr="000A7C5F">
        <w:rPr>
          <w:szCs w:val="28"/>
        </w:rPr>
        <w:t>Energy Limiting Chronic Illness</w:t>
      </w:r>
      <w:r w:rsidRPr="000A7C5F">
        <w:rPr>
          <w:szCs w:val="28"/>
        </w:rPr>
        <w:tab/>
        <w:t>ELCI is an umbrella term to describe long-term health conditions in which severe fatigue – or rather energy impairment – is a key disabling feature</w:t>
      </w:r>
    </w:p>
    <w:p w14:paraId="74D8BCB0" w14:textId="77777777" w:rsidR="0036517B" w:rsidRPr="000A7C5F" w:rsidRDefault="0036517B" w:rsidP="0026309F">
      <w:pPr>
        <w:ind w:left="3969" w:hanging="3969"/>
        <w:rPr>
          <w:szCs w:val="28"/>
        </w:rPr>
      </w:pPr>
      <w:r w:rsidRPr="000A7C5F">
        <w:rPr>
          <w:szCs w:val="28"/>
        </w:rPr>
        <w:lastRenderedPageBreak/>
        <w:t>Learning difficulties</w:t>
      </w:r>
      <w:r w:rsidRPr="000A7C5F">
        <w:rPr>
          <w:szCs w:val="28"/>
        </w:rPr>
        <w:tab/>
        <w:t>This is the term preferred by user led self- advocacy groups, as opposed to “learning disabilities”</w:t>
      </w:r>
    </w:p>
    <w:p w14:paraId="39CBA7F2" w14:textId="77777777" w:rsidR="0036517B" w:rsidRPr="000A7C5F" w:rsidRDefault="0036517B" w:rsidP="0026309F">
      <w:pPr>
        <w:ind w:left="3969" w:hanging="3969"/>
        <w:rPr>
          <w:szCs w:val="28"/>
        </w:rPr>
      </w:pPr>
      <w:r w:rsidRPr="000A7C5F">
        <w:rPr>
          <w:szCs w:val="28"/>
        </w:rPr>
        <w:t>Mental Distress</w:t>
      </w:r>
      <w:r w:rsidRPr="000A7C5F">
        <w:rPr>
          <w:szCs w:val="28"/>
        </w:rPr>
        <w:tab/>
        <w:t>This is the term generally preferred by people labelled with mental illness</w:t>
      </w:r>
    </w:p>
    <w:p w14:paraId="54F6BA11" w14:textId="1E037FD9" w:rsidR="0036517B" w:rsidRPr="000A7C5F" w:rsidRDefault="0036517B" w:rsidP="0026309F">
      <w:pPr>
        <w:ind w:left="3969" w:hanging="3969"/>
        <w:rPr>
          <w:szCs w:val="28"/>
        </w:rPr>
      </w:pPr>
      <w:r w:rsidRPr="000A7C5F">
        <w:rPr>
          <w:szCs w:val="28"/>
        </w:rPr>
        <w:t>Neurodiversity</w:t>
      </w:r>
      <w:r w:rsidRPr="000A7C5F">
        <w:rPr>
          <w:szCs w:val="28"/>
        </w:rPr>
        <w:tab/>
        <w:t>Neurodiversity is the diversity of human brains and minds, the infinite variation in neurocognitive functioning within our species. People who are neurodivergent may be labelled as autis</w:t>
      </w:r>
      <w:r w:rsidR="00DB0501" w:rsidRPr="000A7C5F">
        <w:rPr>
          <w:szCs w:val="28"/>
        </w:rPr>
        <w:t xml:space="preserve">tic, and/or of having </w:t>
      </w:r>
      <w:r w:rsidRPr="000A7C5F">
        <w:rPr>
          <w:szCs w:val="28"/>
        </w:rPr>
        <w:t>ADHD, dyslexia, bipolar</w:t>
      </w:r>
      <w:r w:rsidR="006B7878" w:rsidRPr="000A7C5F">
        <w:rPr>
          <w:szCs w:val="28"/>
        </w:rPr>
        <w:t>, personality disorders</w:t>
      </w:r>
      <w:r w:rsidRPr="000A7C5F">
        <w:rPr>
          <w:szCs w:val="28"/>
        </w:rPr>
        <w:t>.</w:t>
      </w:r>
    </w:p>
    <w:p w14:paraId="074C7BFB" w14:textId="1020AFFE" w:rsidR="000616B1" w:rsidRPr="000A7C5F" w:rsidRDefault="000616B1" w:rsidP="0026309F">
      <w:pPr>
        <w:ind w:left="3969" w:hanging="3969"/>
        <w:rPr>
          <w:szCs w:val="28"/>
        </w:rPr>
      </w:pPr>
      <w:r w:rsidRPr="000A7C5F">
        <w:rPr>
          <w:szCs w:val="28"/>
        </w:rPr>
        <w:t>No Recourse to Public Funds</w:t>
      </w:r>
      <w:r w:rsidRPr="000A7C5F">
        <w:rPr>
          <w:szCs w:val="28"/>
        </w:rPr>
        <w:tab/>
        <w:t xml:space="preserve">Many migrants live in the UK </w:t>
      </w:r>
      <w:r w:rsidR="007476F3" w:rsidRPr="000A7C5F">
        <w:rPr>
          <w:szCs w:val="28"/>
        </w:rPr>
        <w:t>with permission to stay for a limited time and with the condition that they cannot access mainstream benefits and housing assistance.</w:t>
      </w:r>
    </w:p>
    <w:p w14:paraId="113030BC" w14:textId="1A88A5E0" w:rsidR="009608C0" w:rsidRPr="000A7C5F" w:rsidRDefault="009608C0" w:rsidP="0026309F">
      <w:pPr>
        <w:ind w:left="3969" w:hanging="3969"/>
        <w:rPr>
          <w:szCs w:val="28"/>
        </w:rPr>
      </w:pPr>
      <w:r w:rsidRPr="000A7C5F">
        <w:rPr>
          <w:szCs w:val="28"/>
        </w:rPr>
        <w:t>Optional Protocol</w:t>
      </w:r>
      <w:r w:rsidRPr="000A7C5F">
        <w:rPr>
          <w:szCs w:val="28"/>
        </w:rPr>
        <w:tab/>
      </w:r>
      <w:r w:rsidR="007476F3" w:rsidRPr="000A7C5F">
        <w:rPr>
          <w:szCs w:val="28"/>
        </w:rPr>
        <w:t>This is an a</w:t>
      </w:r>
      <w:r w:rsidR="003A4F24" w:rsidRPr="000A7C5F">
        <w:rPr>
          <w:szCs w:val="28"/>
        </w:rPr>
        <w:t xml:space="preserve">dditional part to the CRDP. By signing up to it, </w:t>
      </w:r>
      <w:r w:rsidR="007476F3" w:rsidRPr="000A7C5F">
        <w:rPr>
          <w:szCs w:val="28"/>
        </w:rPr>
        <w:t>g</w:t>
      </w:r>
      <w:r w:rsidR="003A4F24" w:rsidRPr="000A7C5F">
        <w:rPr>
          <w:szCs w:val="28"/>
        </w:rPr>
        <w:t>overnments are allowing the Committee to investigate complaints brought to them about possible breaches of the CRDP.</w:t>
      </w:r>
      <w:r w:rsidR="007476F3" w:rsidRPr="000A7C5F">
        <w:rPr>
          <w:szCs w:val="28"/>
        </w:rPr>
        <w:t xml:space="preserve"> The UK is signed up to it.</w:t>
      </w:r>
    </w:p>
    <w:p w14:paraId="243394AB" w14:textId="1C6311A2" w:rsidR="00286457" w:rsidRPr="000A7C5F" w:rsidRDefault="0036517B" w:rsidP="0026309F">
      <w:pPr>
        <w:spacing w:after="0"/>
        <w:ind w:left="3969" w:hanging="3969"/>
        <w:rPr>
          <w:szCs w:val="28"/>
        </w:rPr>
      </w:pPr>
      <w:r w:rsidRPr="000A7C5F">
        <w:rPr>
          <w:szCs w:val="28"/>
        </w:rPr>
        <w:t xml:space="preserve">People providing unpaid care </w:t>
      </w:r>
      <w:r w:rsidRPr="000A7C5F">
        <w:rPr>
          <w:szCs w:val="28"/>
        </w:rPr>
        <w:tab/>
        <w:t xml:space="preserve">Sometimes referred to as “carers”. The words “care” </w:t>
      </w:r>
      <w:proofErr w:type="gramStart"/>
      <w:r w:rsidRPr="000A7C5F">
        <w:rPr>
          <w:szCs w:val="28"/>
        </w:rPr>
        <w:t>and ”carer</w:t>
      </w:r>
      <w:proofErr w:type="gramEnd"/>
      <w:r w:rsidRPr="000A7C5F">
        <w:rPr>
          <w:szCs w:val="28"/>
        </w:rPr>
        <w:t xml:space="preserve">” have negative connotations for DDP due to experiences of abuse and power imbalances in settings labelled as “care”. </w:t>
      </w:r>
      <w:r w:rsidR="009608C0" w:rsidRPr="000A7C5F">
        <w:rPr>
          <w:szCs w:val="28"/>
        </w:rPr>
        <w:t>They are</w:t>
      </w:r>
      <w:r w:rsidRPr="000A7C5F">
        <w:rPr>
          <w:szCs w:val="28"/>
        </w:rPr>
        <w:t xml:space="preserve"> also inconsistent with the social model of di</w:t>
      </w:r>
      <w:r w:rsidR="009640BC" w:rsidRPr="000A7C5F">
        <w:rPr>
          <w:szCs w:val="28"/>
        </w:rPr>
        <w:t>sability.</w:t>
      </w:r>
    </w:p>
    <w:p w14:paraId="5CE496D6" w14:textId="4D8DC9F1" w:rsidR="0036517B" w:rsidRPr="000A7C5F" w:rsidRDefault="0036517B" w:rsidP="0026309F">
      <w:pPr>
        <w:spacing w:before="240" w:after="0"/>
        <w:ind w:left="3969" w:hanging="3969"/>
        <w:rPr>
          <w:szCs w:val="28"/>
        </w:rPr>
      </w:pPr>
      <w:r w:rsidRPr="000A7C5F">
        <w:rPr>
          <w:szCs w:val="28"/>
        </w:rPr>
        <w:lastRenderedPageBreak/>
        <w:t>Special Inquiry</w:t>
      </w:r>
      <w:r w:rsidRPr="000A7C5F">
        <w:rPr>
          <w:szCs w:val="28"/>
        </w:rPr>
        <w:tab/>
        <w:t>Inquiry concerning the United Kingdom of Great Britain and Northern Ireland carried out by the Committee under article 6 of the Optional Protocol to the Convention</w:t>
      </w:r>
    </w:p>
    <w:p w14:paraId="53891052" w14:textId="4810F6AE" w:rsidR="006C2D22" w:rsidRPr="000A7C5F" w:rsidRDefault="006C2D22" w:rsidP="0026309F">
      <w:pPr>
        <w:spacing w:before="240" w:after="0"/>
        <w:ind w:left="3969" w:hanging="3969"/>
        <w:rPr>
          <w:szCs w:val="28"/>
        </w:rPr>
      </w:pPr>
      <w:r w:rsidRPr="000A7C5F">
        <w:rPr>
          <w:szCs w:val="28"/>
        </w:rPr>
        <w:t>White Paper</w:t>
      </w:r>
      <w:r w:rsidRPr="000A7C5F">
        <w:rPr>
          <w:szCs w:val="28"/>
        </w:rPr>
        <w:tab/>
        <w:t xml:space="preserve">White Paper </w:t>
      </w:r>
      <w:r w:rsidR="003A4F24" w:rsidRPr="000A7C5F">
        <w:rPr>
          <w:szCs w:val="28"/>
        </w:rPr>
        <w:t xml:space="preserve">(2021) </w:t>
      </w:r>
      <w:r w:rsidRPr="000A7C5F">
        <w:rPr>
          <w:szCs w:val="28"/>
        </w:rPr>
        <w:t>on Reforming the Mental Health Act</w:t>
      </w:r>
    </w:p>
    <w:p w14:paraId="487B87A1" w14:textId="77777777" w:rsidR="0036517B" w:rsidRPr="000A7C5F" w:rsidRDefault="0036517B" w:rsidP="0026309F">
      <w:pPr>
        <w:spacing w:before="240" w:after="0"/>
        <w:ind w:left="3969" w:hanging="3969"/>
        <w:rPr>
          <w:szCs w:val="28"/>
        </w:rPr>
      </w:pPr>
      <w:r w:rsidRPr="000A7C5F">
        <w:rPr>
          <w:szCs w:val="28"/>
        </w:rPr>
        <w:t>Work Capability Assessment</w:t>
      </w:r>
      <w:r w:rsidRPr="000A7C5F">
        <w:rPr>
          <w:szCs w:val="28"/>
        </w:rPr>
        <w:tab/>
        <w:t>This is the benefit assessment used to test eligibility for Employment Support Allowance (ESA)</w:t>
      </w:r>
    </w:p>
    <w:p w14:paraId="515AEC65" w14:textId="460EF6F1" w:rsidR="0036517B" w:rsidRPr="000A7C5F" w:rsidRDefault="0036517B" w:rsidP="00E739BB">
      <w:pPr>
        <w:rPr>
          <w:b/>
          <w:bCs/>
          <w:sz w:val="32"/>
          <w:szCs w:val="32"/>
        </w:rPr>
      </w:pPr>
      <w:r w:rsidRPr="000A7C5F">
        <w:rPr>
          <w:b/>
          <w:bCs/>
          <w:sz w:val="32"/>
          <w:szCs w:val="32"/>
        </w:rPr>
        <w:br w:type="page"/>
      </w:r>
    </w:p>
    <w:p w14:paraId="2F676928" w14:textId="15E99C9C" w:rsidR="002636F1" w:rsidRPr="000A7C5F" w:rsidRDefault="002636F1" w:rsidP="00BB6A41">
      <w:pPr>
        <w:pStyle w:val="Heading2"/>
      </w:pPr>
      <w:bookmarkStart w:id="6" w:name="_Toc98506547"/>
      <w:r w:rsidRPr="000A7C5F">
        <w:lastRenderedPageBreak/>
        <w:t>Summary</w:t>
      </w:r>
      <w:bookmarkEnd w:id="6"/>
    </w:p>
    <w:p w14:paraId="5338AB06" w14:textId="1CE95E57" w:rsidR="002636F1" w:rsidRPr="000A7C5F" w:rsidRDefault="002636F1" w:rsidP="00E739BB">
      <w:pPr>
        <w:rPr>
          <w:szCs w:val="28"/>
        </w:rPr>
      </w:pPr>
      <w:r w:rsidRPr="000A7C5F">
        <w:rPr>
          <w:szCs w:val="28"/>
        </w:rPr>
        <w:t xml:space="preserve">Our report addresses a series of themes </w:t>
      </w:r>
      <w:r w:rsidR="00AB65DA" w:rsidRPr="000A7C5F">
        <w:rPr>
          <w:szCs w:val="28"/>
        </w:rPr>
        <w:t xml:space="preserve">concerning implementation of the United Nations (UN) Convention on the Rights of Disabled People (CRDP) by Westminster Government. The themes were identified from evidence gathered within the earlier stages of our consultation process and then confirmed and enhanced through further consultation and data gathering. </w:t>
      </w:r>
      <w:r w:rsidR="00E25BA6" w:rsidRPr="000A7C5F">
        <w:rPr>
          <w:szCs w:val="28"/>
        </w:rPr>
        <w:t xml:space="preserve">For our full methodology see </w:t>
      </w:r>
      <w:hyperlink w:anchor="_Appendix_2:_Methodology" w:history="1">
        <w:r w:rsidR="00E25BA6" w:rsidRPr="00A811C3">
          <w:rPr>
            <w:rStyle w:val="Hyperlink"/>
            <w:szCs w:val="28"/>
          </w:rPr>
          <w:t>Appendix 2</w:t>
        </w:r>
      </w:hyperlink>
      <w:r w:rsidR="00E25BA6" w:rsidRPr="000A7C5F">
        <w:rPr>
          <w:rStyle w:val="FootnoteReference"/>
          <w:szCs w:val="28"/>
        </w:rPr>
        <w:footnoteReference w:id="1"/>
      </w:r>
      <w:r w:rsidR="00E25BA6" w:rsidRPr="000A7C5F">
        <w:rPr>
          <w:szCs w:val="28"/>
        </w:rPr>
        <w:t>.</w:t>
      </w:r>
    </w:p>
    <w:p w14:paraId="4005EC35" w14:textId="3E5F288B" w:rsidR="002636F1" w:rsidRPr="000A7C5F" w:rsidRDefault="002636F1" w:rsidP="00E739BB">
      <w:pPr>
        <w:rPr>
          <w:szCs w:val="28"/>
        </w:rPr>
      </w:pPr>
      <w:r w:rsidRPr="000A7C5F">
        <w:rPr>
          <w:szCs w:val="28"/>
        </w:rPr>
        <w:t xml:space="preserve">The themes detailed </w:t>
      </w:r>
      <w:r w:rsidR="00AB65DA" w:rsidRPr="000A7C5F">
        <w:rPr>
          <w:szCs w:val="28"/>
        </w:rPr>
        <w:t>within the report</w:t>
      </w:r>
      <w:r w:rsidRPr="000A7C5F">
        <w:rPr>
          <w:szCs w:val="28"/>
        </w:rPr>
        <w:t xml:space="preserve"> concern:</w:t>
      </w:r>
    </w:p>
    <w:p w14:paraId="67920672" w14:textId="47DB62FA" w:rsidR="002636F1" w:rsidRPr="00FF7C50" w:rsidRDefault="002636F1" w:rsidP="00FF7C50">
      <w:pPr>
        <w:pStyle w:val="Numberlist"/>
      </w:pPr>
      <w:r w:rsidRPr="00FF7C50">
        <w:t xml:space="preserve">Intersectionality: disadvantage and barriers are compounded, for example for Disabled women, </w:t>
      </w:r>
      <w:r w:rsidR="000B51E2" w:rsidRPr="000B51E2">
        <w:t xml:space="preserve">Black DDP and DDP from racialised minorities </w:t>
      </w:r>
      <w:r w:rsidRPr="00FF7C50">
        <w:t xml:space="preserve">DDP who are LGBTQ+, </w:t>
      </w:r>
      <w:r w:rsidR="003A4F24" w:rsidRPr="00FF7C50">
        <w:t xml:space="preserve">asylum seekers, refugees </w:t>
      </w:r>
      <w:r w:rsidR="000616B1" w:rsidRPr="00FF7C50">
        <w:t>or</w:t>
      </w:r>
      <w:r w:rsidR="003A4F24" w:rsidRPr="00FF7C50">
        <w:t xml:space="preserve"> </w:t>
      </w:r>
      <w:r w:rsidR="000616B1" w:rsidRPr="00FF7C50">
        <w:t>have</w:t>
      </w:r>
      <w:r w:rsidR="003A4F24" w:rsidRPr="00FF7C50">
        <w:t xml:space="preserve"> No Recourse to Public Funds</w:t>
      </w:r>
    </w:p>
    <w:p w14:paraId="3E437DBA" w14:textId="471C7731" w:rsidR="002636F1" w:rsidRPr="00FF7C50" w:rsidRDefault="002636F1" w:rsidP="00FF7C50">
      <w:pPr>
        <w:pStyle w:val="Numberlist"/>
      </w:pPr>
      <w:r w:rsidRPr="00FF7C50">
        <w:t>Continued retrogression: worse conditions across many aspects of DDP’s lives</w:t>
      </w:r>
    </w:p>
    <w:p w14:paraId="2B8E75BA" w14:textId="5986A8B8" w:rsidR="002636F1" w:rsidRPr="00FF7C50" w:rsidRDefault="002636F1" w:rsidP="00FF7C50">
      <w:pPr>
        <w:pStyle w:val="Numberlist"/>
      </w:pPr>
      <w:r w:rsidRPr="00FF7C50">
        <w:t xml:space="preserve">Institutionalisation: a specific aspect of retrogression that reinforces, and is underpinned by Theme </w:t>
      </w:r>
      <w:r w:rsidR="00AB65DA" w:rsidRPr="00FF7C50">
        <w:t>6</w:t>
      </w:r>
      <w:r w:rsidRPr="00FF7C50">
        <w:t xml:space="preserve"> on our lives being undervalued </w:t>
      </w:r>
    </w:p>
    <w:p w14:paraId="51341E33" w14:textId="77777777" w:rsidR="0083711A" w:rsidRPr="00FF7C50" w:rsidRDefault="0083711A" w:rsidP="00FF7C50">
      <w:pPr>
        <w:pStyle w:val="Numberlist"/>
      </w:pPr>
      <w:r w:rsidRPr="00FF7C50">
        <w:t xml:space="preserve">Silencing DDP: the further marginalisation of DDP and our voices, in the face of continued retrogression </w:t>
      </w:r>
    </w:p>
    <w:p w14:paraId="040E7409" w14:textId="77777777" w:rsidR="002347D0" w:rsidRPr="00FF7C50" w:rsidRDefault="002636F1" w:rsidP="00FF7C50">
      <w:pPr>
        <w:pStyle w:val="Numberlist"/>
      </w:pPr>
      <w:r w:rsidRPr="00FF7C50">
        <w:t>Disaster Planning and Humanitarian Emergencies: failures to consider DDP in fundamental aspects of public policy development</w:t>
      </w:r>
    </w:p>
    <w:p w14:paraId="24E5153F" w14:textId="4FDA4824" w:rsidR="002636F1" w:rsidRPr="00FF7C50" w:rsidRDefault="002636F1" w:rsidP="00FF7C50">
      <w:pPr>
        <w:pStyle w:val="Numberlist"/>
      </w:pPr>
      <w:r w:rsidRPr="00FF7C50">
        <w:lastRenderedPageBreak/>
        <w:t>Lives less worthy: the response to the pandemic, and other policy responses that under value DDP’s lives</w:t>
      </w:r>
    </w:p>
    <w:p w14:paraId="19F2D8C0" w14:textId="4377ADB5" w:rsidR="002636F1" w:rsidRPr="000A7C5F" w:rsidRDefault="002636F1" w:rsidP="00E739BB">
      <w:pPr>
        <w:rPr>
          <w:szCs w:val="28"/>
        </w:rPr>
      </w:pPr>
      <w:r w:rsidRPr="000A7C5F">
        <w:rPr>
          <w:szCs w:val="28"/>
        </w:rPr>
        <w:t xml:space="preserve">Our key conclusions </w:t>
      </w:r>
      <w:r w:rsidR="00AB65DA" w:rsidRPr="000A7C5F">
        <w:rPr>
          <w:szCs w:val="28"/>
        </w:rPr>
        <w:t xml:space="preserve">drawn from evidence across all themes </w:t>
      </w:r>
      <w:r w:rsidRPr="000A7C5F">
        <w:rPr>
          <w:szCs w:val="28"/>
        </w:rPr>
        <w:t>are that:</w:t>
      </w:r>
    </w:p>
    <w:p w14:paraId="1471FEB7" w14:textId="66B58FE9" w:rsidR="002636F1" w:rsidRPr="000A7C5F" w:rsidRDefault="002636F1" w:rsidP="00E739BB">
      <w:pPr>
        <w:pStyle w:val="Bullets"/>
        <w:ind w:left="851" w:hanging="284"/>
        <w:rPr>
          <w:lang w:eastAsia="en-GB"/>
        </w:rPr>
      </w:pPr>
      <w:r w:rsidRPr="000A7C5F">
        <w:rPr>
          <w:lang w:eastAsia="en-GB"/>
        </w:rPr>
        <w:t xml:space="preserve">There has been continued regression since </w:t>
      </w:r>
      <w:r w:rsidR="002031A8" w:rsidRPr="000A7C5F">
        <w:rPr>
          <w:lang w:eastAsia="en-GB"/>
        </w:rPr>
        <w:t xml:space="preserve">the last public examination of the UK under the CRDP in </w:t>
      </w:r>
      <w:r w:rsidRPr="000A7C5F">
        <w:rPr>
          <w:lang w:eastAsia="en-GB"/>
        </w:rPr>
        <w:t>2017 </w:t>
      </w:r>
    </w:p>
    <w:p w14:paraId="74457876" w14:textId="77777777" w:rsidR="002636F1" w:rsidRPr="000A7C5F" w:rsidRDefault="002636F1" w:rsidP="00E739BB">
      <w:pPr>
        <w:pStyle w:val="Bullets"/>
        <w:ind w:left="851" w:hanging="284"/>
        <w:rPr>
          <w:lang w:eastAsia="en-GB"/>
        </w:rPr>
      </w:pPr>
      <w:r w:rsidRPr="000A7C5F">
        <w:rPr>
          <w:lang w:eastAsia="en-GB"/>
        </w:rPr>
        <w:t>Westminster Government (</w:t>
      </w:r>
      <w:proofErr w:type="spellStart"/>
      <w:r w:rsidRPr="000A7C5F">
        <w:rPr>
          <w:lang w:eastAsia="en-GB"/>
        </w:rPr>
        <w:t>WeG</w:t>
      </w:r>
      <w:proofErr w:type="spellEnd"/>
      <w:r w:rsidRPr="000A7C5F">
        <w:rPr>
          <w:lang w:eastAsia="en-GB"/>
        </w:rPr>
        <w:t>) has adopted progressive initiatives in discrete areas but has not addressed the fundamental issues affecting DDP’s lives</w:t>
      </w:r>
    </w:p>
    <w:p w14:paraId="282B39BC" w14:textId="0E9AC150" w:rsidR="002636F1" w:rsidRPr="000A7C5F" w:rsidRDefault="002636F1" w:rsidP="00E739BB">
      <w:pPr>
        <w:pStyle w:val="Bullets"/>
        <w:ind w:left="851" w:hanging="284"/>
        <w:rPr>
          <w:lang w:eastAsia="en-GB"/>
        </w:rPr>
      </w:pPr>
      <w:r w:rsidRPr="000A7C5F">
        <w:rPr>
          <w:lang w:eastAsia="en-GB"/>
        </w:rPr>
        <w:t>The COVID-19 pandemic response discriminated against DDP and violated our equal right to life</w:t>
      </w:r>
    </w:p>
    <w:p w14:paraId="47ED65D4" w14:textId="77777777" w:rsidR="002031A8" w:rsidRPr="000A7C5F" w:rsidRDefault="00A90EC9" w:rsidP="00E739BB">
      <w:pPr>
        <w:pStyle w:val="Bullets"/>
        <w:ind w:left="851" w:hanging="284"/>
        <w:rPr>
          <w:lang w:eastAsia="en-GB"/>
        </w:rPr>
      </w:pPr>
      <w:r w:rsidRPr="000A7C5F">
        <w:rPr>
          <w:lang w:eastAsia="en-GB"/>
        </w:rPr>
        <w:t>Disability equality and human rights approaches towards disability have been further undermined since 2017</w:t>
      </w:r>
    </w:p>
    <w:p w14:paraId="7252E00E" w14:textId="22CDBFB6" w:rsidR="00A90EC9" w:rsidRDefault="00A90EC9" w:rsidP="00E739BB">
      <w:pPr>
        <w:pStyle w:val="Bullets"/>
        <w:ind w:left="851" w:hanging="284"/>
        <w:rPr>
          <w:lang w:eastAsia="en-GB"/>
        </w:rPr>
      </w:pPr>
      <w:r w:rsidRPr="000A7C5F">
        <w:rPr>
          <w:lang w:eastAsia="en-GB"/>
        </w:rPr>
        <w:t xml:space="preserve">There is insufficient monitoring and promotion of </w:t>
      </w:r>
      <w:r w:rsidR="002031A8" w:rsidRPr="000A7C5F">
        <w:rPr>
          <w:lang w:eastAsia="en-GB"/>
        </w:rPr>
        <w:t xml:space="preserve">the CRDP </w:t>
      </w:r>
      <w:r w:rsidRPr="000A7C5F">
        <w:rPr>
          <w:lang w:eastAsia="en-GB"/>
        </w:rPr>
        <w:t xml:space="preserve">by </w:t>
      </w:r>
      <w:proofErr w:type="spellStart"/>
      <w:r w:rsidRPr="000A7C5F">
        <w:rPr>
          <w:lang w:eastAsia="en-GB"/>
        </w:rPr>
        <w:t>WeG</w:t>
      </w:r>
      <w:proofErr w:type="spellEnd"/>
    </w:p>
    <w:p w14:paraId="4A406822" w14:textId="77777777" w:rsidR="003E4113" w:rsidRPr="000A7C5F" w:rsidRDefault="003E4113" w:rsidP="00E739BB">
      <w:pPr>
        <w:shd w:val="clear" w:color="auto" w:fill="FFFFFF"/>
        <w:spacing w:before="100" w:beforeAutospacing="1" w:after="100" w:afterAutospacing="1"/>
        <w:ind w:left="720"/>
        <w:rPr>
          <w:rFonts w:ascii="Calibri" w:eastAsia="Times New Roman" w:hAnsi="Calibri" w:cs="Calibri"/>
          <w:color w:val="000000"/>
          <w:szCs w:val="28"/>
          <w:lang w:eastAsia="en-GB"/>
        </w:rPr>
      </w:pPr>
    </w:p>
    <w:p w14:paraId="46B72E84" w14:textId="77777777" w:rsidR="00B61D9E" w:rsidRDefault="00B61D9E">
      <w:pPr>
        <w:spacing w:after="160" w:line="259" w:lineRule="auto"/>
        <w:rPr>
          <w:rFonts w:cs="Proxima Nova"/>
          <w:color w:val="004346"/>
          <w:sz w:val="52"/>
          <w:szCs w:val="52"/>
          <w:lang w:val="en-US"/>
        </w:rPr>
      </w:pPr>
      <w:bookmarkStart w:id="7" w:name="_Toc98506548"/>
      <w:r>
        <w:br w:type="page"/>
      </w:r>
    </w:p>
    <w:p w14:paraId="307F204D" w14:textId="64B9CB3F" w:rsidR="005F68B7" w:rsidRPr="000A7C5F" w:rsidRDefault="005F68B7" w:rsidP="00BB6A41">
      <w:pPr>
        <w:pStyle w:val="Heading2"/>
      </w:pPr>
      <w:r w:rsidRPr="000A7C5F">
        <w:lastRenderedPageBreak/>
        <w:t>Intro</w:t>
      </w:r>
      <w:r w:rsidR="001725FC" w:rsidRPr="000A7C5F">
        <w:t>duction</w:t>
      </w:r>
      <w:bookmarkEnd w:id="7"/>
    </w:p>
    <w:p w14:paraId="2C52483D" w14:textId="77777777" w:rsidR="00AA388E" w:rsidRPr="000A7C5F" w:rsidRDefault="00525250" w:rsidP="0026309F">
      <w:pPr>
        <w:pStyle w:val="ListParagraph"/>
        <w:numPr>
          <w:ilvl w:val="0"/>
          <w:numId w:val="1"/>
        </w:numPr>
        <w:tabs>
          <w:tab w:val="left" w:pos="1843"/>
        </w:tabs>
        <w:spacing w:before="240"/>
        <w:ind w:left="851" w:hanging="567"/>
        <w:contextualSpacing w:val="0"/>
        <w:rPr>
          <w:szCs w:val="28"/>
        </w:rPr>
      </w:pPr>
      <w:r w:rsidRPr="000A7C5F">
        <w:rPr>
          <w:szCs w:val="28"/>
        </w:rPr>
        <w:t>This is the civil society shadow report covering implementation of the</w:t>
      </w:r>
      <w:r w:rsidR="001C0669" w:rsidRPr="000A7C5F">
        <w:rPr>
          <w:szCs w:val="28"/>
        </w:rPr>
        <w:t xml:space="preserve"> United Nations</w:t>
      </w:r>
      <w:r w:rsidRPr="000A7C5F">
        <w:rPr>
          <w:szCs w:val="28"/>
        </w:rPr>
        <w:t xml:space="preserve"> Convention</w:t>
      </w:r>
      <w:r w:rsidR="001C0669" w:rsidRPr="000A7C5F">
        <w:rPr>
          <w:szCs w:val="28"/>
        </w:rPr>
        <w:t xml:space="preserve"> on the Rights of Deaf and Disabled People (CRDP)</w:t>
      </w:r>
      <w:r w:rsidRPr="000A7C5F">
        <w:rPr>
          <w:szCs w:val="28"/>
        </w:rPr>
        <w:t xml:space="preserve"> by Westminster Government (</w:t>
      </w:r>
      <w:proofErr w:type="spellStart"/>
      <w:r w:rsidRPr="000A7C5F">
        <w:rPr>
          <w:szCs w:val="28"/>
        </w:rPr>
        <w:t>WeG</w:t>
      </w:r>
      <w:proofErr w:type="spellEnd"/>
      <w:r w:rsidRPr="000A7C5F">
        <w:rPr>
          <w:szCs w:val="28"/>
        </w:rPr>
        <w:t xml:space="preserve">). </w:t>
      </w:r>
    </w:p>
    <w:p w14:paraId="566CA5FE" w14:textId="40F7AC3C" w:rsidR="001C0669" w:rsidRPr="000A7C5F" w:rsidRDefault="001C0669" w:rsidP="0026309F">
      <w:pPr>
        <w:pStyle w:val="ListParagraph"/>
        <w:numPr>
          <w:ilvl w:val="0"/>
          <w:numId w:val="1"/>
        </w:numPr>
        <w:tabs>
          <w:tab w:val="left" w:pos="1843"/>
        </w:tabs>
        <w:spacing w:before="240"/>
        <w:ind w:left="851" w:hanging="567"/>
        <w:contextualSpacing w:val="0"/>
        <w:rPr>
          <w:szCs w:val="28"/>
        </w:rPr>
      </w:pPr>
      <w:r w:rsidRPr="000A7C5F">
        <w:rPr>
          <w:szCs w:val="28"/>
        </w:rPr>
        <w:t>The work putting together this report has been led by Deaf and Disabled People’s Organisations (DPPOs). These are organisations fully run and controlled by DDP.</w:t>
      </w:r>
      <w:r w:rsidRPr="000A7C5F">
        <w:t xml:space="preserve"> </w:t>
      </w:r>
      <w:r w:rsidRPr="000A7C5F">
        <w:rPr>
          <w:szCs w:val="28"/>
        </w:rPr>
        <w:t xml:space="preserve">We have also welcomed input to this report from non-user led allies.  </w:t>
      </w:r>
      <w:bookmarkStart w:id="8" w:name="_Hlk95499242"/>
      <w:r w:rsidR="00AA388E" w:rsidRPr="000A7C5F">
        <w:rPr>
          <w:szCs w:val="28"/>
        </w:rPr>
        <w:t xml:space="preserve">For a full list of contributors see </w:t>
      </w:r>
      <w:hyperlink w:anchor="_Appendix_1:_List" w:history="1">
        <w:r w:rsidR="00AA388E" w:rsidRPr="00E145A8">
          <w:rPr>
            <w:rStyle w:val="Hyperlink"/>
            <w:szCs w:val="28"/>
          </w:rPr>
          <w:t>Appendix 1</w:t>
        </w:r>
      </w:hyperlink>
      <w:r w:rsidR="00AA388E" w:rsidRPr="000A7C5F">
        <w:rPr>
          <w:rStyle w:val="FootnoteReference"/>
          <w:szCs w:val="28"/>
        </w:rPr>
        <w:footnoteReference w:id="2"/>
      </w:r>
      <w:r w:rsidR="00AA388E" w:rsidRPr="000A7C5F">
        <w:rPr>
          <w:szCs w:val="28"/>
        </w:rPr>
        <w:t>.</w:t>
      </w:r>
    </w:p>
    <w:p w14:paraId="518B9913" w14:textId="52839351" w:rsidR="009C6A92" w:rsidRPr="000A7C5F" w:rsidRDefault="001C0669" w:rsidP="0026309F">
      <w:pPr>
        <w:pStyle w:val="ListParagraph"/>
        <w:numPr>
          <w:ilvl w:val="0"/>
          <w:numId w:val="1"/>
        </w:numPr>
        <w:tabs>
          <w:tab w:val="left" w:pos="1843"/>
        </w:tabs>
        <w:spacing w:before="240"/>
        <w:ind w:left="851" w:hanging="567"/>
        <w:contextualSpacing w:val="0"/>
        <w:rPr>
          <w:szCs w:val="28"/>
        </w:rPr>
      </w:pPr>
      <w:r w:rsidRPr="000A7C5F">
        <w:rPr>
          <w:szCs w:val="28"/>
        </w:rPr>
        <w:t xml:space="preserve">The </w:t>
      </w:r>
      <w:r w:rsidR="009C6A92" w:rsidRPr="000A7C5F">
        <w:rPr>
          <w:szCs w:val="28"/>
        </w:rPr>
        <w:t>project s</w:t>
      </w:r>
      <w:r w:rsidRPr="000A7C5F">
        <w:rPr>
          <w:szCs w:val="28"/>
        </w:rPr>
        <w:t xml:space="preserve">teering </w:t>
      </w:r>
      <w:r w:rsidR="009C6A92" w:rsidRPr="000A7C5F">
        <w:rPr>
          <w:szCs w:val="28"/>
        </w:rPr>
        <w:t>g</w:t>
      </w:r>
      <w:r w:rsidRPr="000A7C5F">
        <w:rPr>
          <w:szCs w:val="28"/>
        </w:rPr>
        <w:t xml:space="preserve">roup </w:t>
      </w:r>
      <w:r w:rsidR="009C6A92" w:rsidRPr="000A7C5F">
        <w:rPr>
          <w:szCs w:val="28"/>
        </w:rPr>
        <w:t xml:space="preserve">overseeing the work </w:t>
      </w:r>
      <w:r w:rsidRPr="000A7C5F">
        <w:rPr>
          <w:szCs w:val="28"/>
        </w:rPr>
        <w:t>consist</w:t>
      </w:r>
      <w:r w:rsidR="009C6A92" w:rsidRPr="000A7C5F">
        <w:rPr>
          <w:szCs w:val="28"/>
        </w:rPr>
        <w:t>s</w:t>
      </w:r>
      <w:r w:rsidRPr="000A7C5F">
        <w:rPr>
          <w:szCs w:val="28"/>
        </w:rPr>
        <w:t xml:space="preserve"> of DDPO forums and networks across England and </w:t>
      </w:r>
      <w:r w:rsidR="007476F3" w:rsidRPr="000A7C5F">
        <w:rPr>
          <w:szCs w:val="28"/>
        </w:rPr>
        <w:t xml:space="preserve">operates </w:t>
      </w:r>
      <w:r w:rsidRPr="000A7C5F">
        <w:rPr>
          <w:szCs w:val="28"/>
        </w:rPr>
        <w:t xml:space="preserve">in partnership with DDPOs within each of the </w:t>
      </w:r>
      <w:r w:rsidR="007476F3" w:rsidRPr="000A7C5F">
        <w:rPr>
          <w:szCs w:val="28"/>
        </w:rPr>
        <w:t>three</w:t>
      </w:r>
      <w:r w:rsidRPr="000A7C5F">
        <w:rPr>
          <w:szCs w:val="28"/>
        </w:rPr>
        <w:t xml:space="preserve"> devolved nations. </w:t>
      </w:r>
      <w:r w:rsidR="009C6A92" w:rsidRPr="000A7C5F">
        <w:rPr>
          <w:szCs w:val="28"/>
        </w:rPr>
        <w:t>Inclusion London is the named lead organisation.</w:t>
      </w:r>
      <w:bookmarkEnd w:id="8"/>
      <w:r w:rsidR="00AA388E" w:rsidRPr="000A7C5F">
        <w:rPr>
          <w:szCs w:val="28"/>
        </w:rPr>
        <w:t xml:space="preserve"> For a full methodology outlining how this report was put together see </w:t>
      </w:r>
      <w:hyperlink w:anchor="Appendix2" w:history="1">
        <w:r w:rsidR="00AA388E" w:rsidRPr="00CE1701">
          <w:rPr>
            <w:rStyle w:val="Hyperlink"/>
            <w:szCs w:val="28"/>
          </w:rPr>
          <w:t xml:space="preserve">Appendix </w:t>
        </w:r>
        <w:r w:rsidR="00CE1701" w:rsidRPr="00CE1701">
          <w:rPr>
            <w:rStyle w:val="Hyperlink"/>
            <w:szCs w:val="28"/>
          </w:rPr>
          <w:t>2</w:t>
        </w:r>
      </w:hyperlink>
      <w:r w:rsidR="00AA388E" w:rsidRPr="000A7C5F">
        <w:rPr>
          <w:rStyle w:val="FootnoteReference"/>
          <w:szCs w:val="28"/>
        </w:rPr>
        <w:footnoteReference w:id="3"/>
      </w:r>
      <w:r w:rsidR="00AA388E" w:rsidRPr="000A7C5F">
        <w:rPr>
          <w:szCs w:val="28"/>
        </w:rPr>
        <w:t>.</w:t>
      </w:r>
    </w:p>
    <w:p w14:paraId="4B0B639C" w14:textId="4920966E" w:rsidR="009C6A92" w:rsidRPr="000A7C5F" w:rsidRDefault="009C6A92" w:rsidP="0026309F">
      <w:pPr>
        <w:pStyle w:val="ListParagraph"/>
        <w:numPr>
          <w:ilvl w:val="0"/>
          <w:numId w:val="1"/>
        </w:numPr>
        <w:tabs>
          <w:tab w:val="left" w:pos="1843"/>
        </w:tabs>
        <w:spacing w:before="240"/>
        <w:ind w:left="851" w:hanging="567"/>
        <w:contextualSpacing w:val="0"/>
        <w:rPr>
          <w:szCs w:val="28"/>
        </w:rPr>
      </w:pPr>
      <w:r w:rsidRPr="000A7C5F">
        <w:rPr>
          <w:szCs w:val="28"/>
        </w:rPr>
        <w:t xml:space="preserve">This report follows the social model of disability.  This is consistent with human rights </w:t>
      </w:r>
      <w:r w:rsidR="007476F3" w:rsidRPr="000A7C5F">
        <w:rPr>
          <w:szCs w:val="28"/>
        </w:rPr>
        <w:t xml:space="preserve">approaches </w:t>
      </w:r>
      <w:r w:rsidRPr="000A7C5F">
        <w:rPr>
          <w:szCs w:val="28"/>
        </w:rPr>
        <w:t>underpinning the CRDP.</w:t>
      </w:r>
    </w:p>
    <w:p w14:paraId="1C0B5925" w14:textId="1F1D52E1" w:rsidR="00525250" w:rsidRPr="000A7C5F" w:rsidRDefault="00525250" w:rsidP="0026309F">
      <w:pPr>
        <w:pStyle w:val="ListParagraph"/>
        <w:numPr>
          <w:ilvl w:val="0"/>
          <w:numId w:val="1"/>
        </w:numPr>
        <w:tabs>
          <w:tab w:val="left" w:pos="1843"/>
        </w:tabs>
        <w:spacing w:before="240"/>
        <w:ind w:left="851" w:hanging="567"/>
        <w:contextualSpacing w:val="0"/>
        <w:rPr>
          <w:szCs w:val="28"/>
        </w:rPr>
      </w:pPr>
      <w:proofErr w:type="spellStart"/>
      <w:r w:rsidRPr="000A7C5F">
        <w:rPr>
          <w:szCs w:val="28"/>
        </w:rPr>
        <w:t>WeG</w:t>
      </w:r>
      <w:proofErr w:type="spellEnd"/>
      <w:r w:rsidRPr="000A7C5F">
        <w:rPr>
          <w:szCs w:val="28"/>
        </w:rPr>
        <w:t xml:space="preserve"> is the national Government for England. According to the latest available figures, </w:t>
      </w:r>
      <w:r w:rsidR="00CA0F70" w:rsidRPr="000A7C5F">
        <w:rPr>
          <w:szCs w:val="28"/>
        </w:rPr>
        <w:t>DDP make up 22% of the English population</w:t>
      </w:r>
      <w:r w:rsidR="009C6A92" w:rsidRPr="000A7C5F">
        <w:rPr>
          <w:rStyle w:val="FootnoteReference"/>
          <w:szCs w:val="28"/>
        </w:rPr>
        <w:footnoteReference w:id="4"/>
      </w:r>
      <w:r w:rsidRPr="000A7C5F">
        <w:rPr>
          <w:szCs w:val="28"/>
        </w:rPr>
        <w:t xml:space="preserve">. This </w:t>
      </w:r>
      <w:r w:rsidR="00783829" w:rsidRPr="000A7C5F">
        <w:rPr>
          <w:szCs w:val="28"/>
        </w:rPr>
        <w:t>works out as around 12.44 million people</w:t>
      </w:r>
      <w:r w:rsidR="00875562" w:rsidRPr="000A7C5F">
        <w:rPr>
          <w:szCs w:val="28"/>
        </w:rPr>
        <w:t xml:space="preserve"> out of a total population of 56.55 million</w:t>
      </w:r>
      <w:r w:rsidRPr="000A7C5F">
        <w:rPr>
          <w:szCs w:val="28"/>
        </w:rPr>
        <w:t xml:space="preserve">. There is wide regional variation </w:t>
      </w:r>
      <w:r w:rsidRPr="000A7C5F">
        <w:rPr>
          <w:szCs w:val="28"/>
        </w:rPr>
        <w:lastRenderedPageBreak/>
        <w:t>with DDP making up 27% of the population in the North East of England but only 14% in London</w:t>
      </w:r>
      <w:r w:rsidR="009C6A92" w:rsidRPr="000A7C5F">
        <w:rPr>
          <w:rStyle w:val="FootnoteReference"/>
          <w:szCs w:val="28"/>
        </w:rPr>
        <w:footnoteReference w:id="5"/>
      </w:r>
      <w:r w:rsidRPr="000A7C5F">
        <w:rPr>
          <w:szCs w:val="28"/>
        </w:rPr>
        <w:t>.</w:t>
      </w:r>
    </w:p>
    <w:p w14:paraId="2DEDBC13" w14:textId="508710C6" w:rsidR="00AA388E" w:rsidRPr="000A7C5F" w:rsidRDefault="00525250" w:rsidP="0026309F">
      <w:pPr>
        <w:pStyle w:val="ListParagraph"/>
        <w:numPr>
          <w:ilvl w:val="0"/>
          <w:numId w:val="1"/>
        </w:numPr>
        <w:tabs>
          <w:tab w:val="left" w:pos="1843"/>
        </w:tabs>
        <w:spacing w:before="240"/>
        <w:ind w:left="851" w:hanging="567"/>
        <w:contextualSpacing w:val="0"/>
        <w:rPr>
          <w:szCs w:val="28"/>
        </w:rPr>
      </w:pPr>
      <w:proofErr w:type="spellStart"/>
      <w:r w:rsidRPr="000A7C5F">
        <w:rPr>
          <w:szCs w:val="28"/>
        </w:rPr>
        <w:t>WeG</w:t>
      </w:r>
      <w:proofErr w:type="spellEnd"/>
      <w:r w:rsidRPr="000A7C5F">
        <w:rPr>
          <w:szCs w:val="28"/>
        </w:rPr>
        <w:t xml:space="preserve"> also retains “reserved powers” over </w:t>
      </w:r>
      <w:r w:rsidR="005D6783" w:rsidRPr="000A7C5F">
        <w:rPr>
          <w:szCs w:val="28"/>
        </w:rPr>
        <w:t xml:space="preserve">certain areas of </w:t>
      </w:r>
      <w:r w:rsidRPr="000A7C5F">
        <w:rPr>
          <w:szCs w:val="28"/>
        </w:rPr>
        <w:t xml:space="preserve">legislation and policy-making </w:t>
      </w:r>
      <w:r w:rsidR="009C6A92" w:rsidRPr="000A7C5F">
        <w:rPr>
          <w:szCs w:val="28"/>
        </w:rPr>
        <w:t>covering</w:t>
      </w:r>
      <w:r w:rsidRPr="000A7C5F">
        <w:rPr>
          <w:szCs w:val="28"/>
        </w:rPr>
        <w:t xml:space="preserve"> the devolved nations of Northern Ireland, Scotland and Wales. The extent of the</w:t>
      </w:r>
      <w:r w:rsidR="009C6A92" w:rsidRPr="000A7C5F">
        <w:rPr>
          <w:szCs w:val="28"/>
        </w:rPr>
        <w:t>se</w:t>
      </w:r>
      <w:r w:rsidRPr="000A7C5F">
        <w:rPr>
          <w:szCs w:val="28"/>
        </w:rPr>
        <w:t xml:space="preserve"> reserved powers is different </w:t>
      </w:r>
      <w:r w:rsidR="00F619A9" w:rsidRPr="000A7C5F">
        <w:rPr>
          <w:szCs w:val="28"/>
        </w:rPr>
        <w:t>for</w:t>
      </w:r>
      <w:r w:rsidRPr="000A7C5F">
        <w:rPr>
          <w:szCs w:val="28"/>
        </w:rPr>
        <w:t xml:space="preserve"> each nation. </w:t>
      </w:r>
    </w:p>
    <w:p w14:paraId="71950C87" w14:textId="30DDE46E" w:rsidR="00A76A74" w:rsidRPr="000A7C5F" w:rsidRDefault="00525250" w:rsidP="0026309F">
      <w:pPr>
        <w:pStyle w:val="ListParagraph"/>
        <w:numPr>
          <w:ilvl w:val="0"/>
          <w:numId w:val="1"/>
        </w:numPr>
        <w:tabs>
          <w:tab w:val="left" w:pos="1843"/>
        </w:tabs>
        <w:spacing w:before="240"/>
        <w:ind w:left="851" w:hanging="567"/>
        <w:contextualSpacing w:val="0"/>
        <w:rPr>
          <w:szCs w:val="28"/>
        </w:rPr>
      </w:pPr>
      <w:r w:rsidRPr="000A7C5F">
        <w:rPr>
          <w:szCs w:val="28"/>
        </w:rPr>
        <w:t>This report</w:t>
      </w:r>
      <w:r w:rsidR="00E72B8F" w:rsidRPr="000A7C5F">
        <w:rPr>
          <w:szCs w:val="28"/>
        </w:rPr>
        <w:t xml:space="preserve"> does not cover British </w:t>
      </w:r>
      <w:r w:rsidR="005D6783" w:rsidRPr="000A7C5F">
        <w:rPr>
          <w:szCs w:val="28"/>
        </w:rPr>
        <w:t>O</w:t>
      </w:r>
      <w:r w:rsidR="00AF0FCB" w:rsidRPr="000A7C5F">
        <w:rPr>
          <w:szCs w:val="28"/>
        </w:rPr>
        <w:t xml:space="preserve">verseas </w:t>
      </w:r>
      <w:r w:rsidR="005D6783" w:rsidRPr="000A7C5F">
        <w:rPr>
          <w:szCs w:val="28"/>
        </w:rPr>
        <w:t>T</w:t>
      </w:r>
      <w:r w:rsidR="00AF0FCB" w:rsidRPr="000A7C5F">
        <w:rPr>
          <w:szCs w:val="28"/>
        </w:rPr>
        <w:t>erritories</w:t>
      </w:r>
      <w:r w:rsidR="00B8065A" w:rsidRPr="000A7C5F">
        <w:rPr>
          <w:szCs w:val="28"/>
        </w:rPr>
        <w:t>.</w:t>
      </w:r>
      <w:r w:rsidR="00181927" w:rsidRPr="000A7C5F">
        <w:rPr>
          <w:szCs w:val="28"/>
        </w:rPr>
        <w:t xml:space="preserve"> </w:t>
      </w:r>
      <w:r w:rsidR="00393425" w:rsidRPr="000A7C5F">
        <w:rPr>
          <w:szCs w:val="28"/>
        </w:rPr>
        <w:t xml:space="preserve">We </w:t>
      </w:r>
      <w:r w:rsidR="006B0005" w:rsidRPr="000A7C5F">
        <w:rPr>
          <w:szCs w:val="28"/>
        </w:rPr>
        <w:t xml:space="preserve">have no contact with DDP in these areas due to lack of funding and capacity to investigate. We </w:t>
      </w:r>
      <w:r w:rsidR="00393425" w:rsidRPr="000A7C5F">
        <w:rPr>
          <w:szCs w:val="28"/>
        </w:rPr>
        <w:t>are</w:t>
      </w:r>
      <w:r w:rsidR="006B0005" w:rsidRPr="000A7C5F">
        <w:rPr>
          <w:szCs w:val="28"/>
        </w:rPr>
        <w:t xml:space="preserve"> </w:t>
      </w:r>
      <w:r w:rsidR="00393425" w:rsidRPr="000A7C5F">
        <w:rPr>
          <w:szCs w:val="28"/>
        </w:rPr>
        <w:t xml:space="preserve">not aware of any </w:t>
      </w:r>
      <w:r w:rsidR="00C2138B" w:rsidRPr="000A7C5F">
        <w:rPr>
          <w:szCs w:val="28"/>
        </w:rPr>
        <w:t xml:space="preserve">monitoring by </w:t>
      </w:r>
      <w:proofErr w:type="spellStart"/>
      <w:r w:rsidR="009037D2" w:rsidRPr="000A7C5F">
        <w:rPr>
          <w:szCs w:val="28"/>
        </w:rPr>
        <w:t>WeG</w:t>
      </w:r>
      <w:proofErr w:type="spellEnd"/>
      <w:r w:rsidR="00C2138B" w:rsidRPr="000A7C5F">
        <w:rPr>
          <w:szCs w:val="28"/>
        </w:rPr>
        <w:t xml:space="preserve"> regarding compliance with the CRDP</w:t>
      </w:r>
      <w:r w:rsidR="005D6783" w:rsidRPr="000A7C5F">
        <w:rPr>
          <w:szCs w:val="28"/>
        </w:rPr>
        <w:t xml:space="preserve"> and the rights of DDP in the Territories. This situation also applies to the Crown Dependencies of Jersey, Guern</w:t>
      </w:r>
      <w:r w:rsidR="00DC51F7">
        <w:rPr>
          <w:szCs w:val="28"/>
        </w:rPr>
        <w:t>s</w:t>
      </w:r>
      <w:r w:rsidR="005D6783" w:rsidRPr="000A7C5F">
        <w:rPr>
          <w:szCs w:val="28"/>
        </w:rPr>
        <w:t xml:space="preserve">ey and the Isle of Man. This is a concern for us. </w:t>
      </w:r>
      <w:r w:rsidR="00AF0FCB" w:rsidRPr="000A7C5F">
        <w:rPr>
          <w:szCs w:val="28"/>
        </w:rPr>
        <w:t xml:space="preserve"> </w:t>
      </w:r>
    </w:p>
    <w:p w14:paraId="23451204" w14:textId="41F4C01D" w:rsidR="00F619A9" w:rsidRPr="000A7C5F" w:rsidRDefault="00F619A9" w:rsidP="0026309F">
      <w:pPr>
        <w:pStyle w:val="ListParagraph"/>
        <w:numPr>
          <w:ilvl w:val="0"/>
          <w:numId w:val="1"/>
        </w:numPr>
        <w:tabs>
          <w:tab w:val="left" w:pos="1843"/>
        </w:tabs>
        <w:spacing w:before="240"/>
        <w:ind w:left="851" w:hanging="567"/>
        <w:contextualSpacing w:val="0"/>
        <w:rPr>
          <w:szCs w:val="28"/>
        </w:rPr>
      </w:pPr>
      <w:r w:rsidRPr="000A7C5F">
        <w:rPr>
          <w:szCs w:val="28"/>
        </w:rPr>
        <w:t xml:space="preserve">This report is one of four covering implementation of the CRDP by each of the four governments that make up the UK. For submission to the Committee these four reports will be sent as annexes to one single UK-wide report. That UK-wide report will contain a set of questions that DDPOs suggest for the Committee to ask the UK Government. </w:t>
      </w:r>
    </w:p>
    <w:p w14:paraId="2BD0EC36" w14:textId="37247EC9" w:rsidR="00F619A9" w:rsidRPr="000A7C5F" w:rsidRDefault="00F619A9" w:rsidP="0026309F">
      <w:pPr>
        <w:pStyle w:val="ListParagraph"/>
        <w:numPr>
          <w:ilvl w:val="0"/>
          <w:numId w:val="1"/>
        </w:numPr>
        <w:tabs>
          <w:tab w:val="left" w:pos="1843"/>
        </w:tabs>
        <w:spacing w:before="240"/>
        <w:ind w:left="851" w:hanging="567"/>
        <w:contextualSpacing w:val="0"/>
        <w:rPr>
          <w:szCs w:val="28"/>
        </w:rPr>
      </w:pPr>
      <w:r w:rsidRPr="000A7C5F">
        <w:rPr>
          <w:szCs w:val="28"/>
        </w:rPr>
        <w:t xml:space="preserve">The Committee is likely to set its questions – known as a “List of Issues” </w:t>
      </w:r>
      <w:r w:rsidR="00A76A74" w:rsidRPr="000A7C5F">
        <w:rPr>
          <w:szCs w:val="28"/>
        </w:rPr>
        <w:t xml:space="preserve">– for the UK Government </w:t>
      </w:r>
      <w:r w:rsidRPr="000A7C5F">
        <w:rPr>
          <w:szCs w:val="28"/>
        </w:rPr>
        <w:t>at its session in March</w:t>
      </w:r>
      <w:r w:rsidR="00A76A74" w:rsidRPr="000A7C5F">
        <w:rPr>
          <w:szCs w:val="28"/>
        </w:rPr>
        <w:t>/</w:t>
      </w:r>
      <w:r w:rsidRPr="000A7C5F">
        <w:rPr>
          <w:szCs w:val="28"/>
        </w:rPr>
        <w:t>April 2023. The UK Government will have one year to write</w:t>
      </w:r>
      <w:r w:rsidR="00A76A74" w:rsidRPr="000A7C5F">
        <w:rPr>
          <w:szCs w:val="28"/>
        </w:rPr>
        <w:t xml:space="preserve"> its</w:t>
      </w:r>
      <w:r w:rsidRPr="000A7C5F">
        <w:rPr>
          <w:szCs w:val="28"/>
        </w:rPr>
        <w:t xml:space="preserve"> response to those questions. Their answers will then be examined by the Committee. </w:t>
      </w:r>
      <w:r w:rsidR="002031A8" w:rsidRPr="000A7C5F">
        <w:rPr>
          <w:szCs w:val="28"/>
        </w:rPr>
        <w:t xml:space="preserve">At that stage </w:t>
      </w:r>
      <w:r w:rsidRPr="000A7C5F">
        <w:rPr>
          <w:szCs w:val="28"/>
        </w:rPr>
        <w:t xml:space="preserve">DDPOs will </w:t>
      </w:r>
      <w:r w:rsidR="002031A8" w:rsidRPr="000A7C5F">
        <w:rPr>
          <w:szCs w:val="28"/>
        </w:rPr>
        <w:t xml:space="preserve">again </w:t>
      </w:r>
      <w:r w:rsidRPr="000A7C5F">
        <w:rPr>
          <w:szCs w:val="28"/>
        </w:rPr>
        <w:t>have a chance to have our say</w:t>
      </w:r>
      <w:r w:rsidR="002031A8" w:rsidRPr="000A7C5F">
        <w:rPr>
          <w:szCs w:val="28"/>
        </w:rPr>
        <w:t xml:space="preserve">, </w:t>
      </w:r>
      <w:r w:rsidRPr="000A7C5F">
        <w:rPr>
          <w:szCs w:val="28"/>
        </w:rPr>
        <w:t>in response to what the Government has told the Committee.</w:t>
      </w:r>
    </w:p>
    <w:p w14:paraId="4E09E7D2" w14:textId="1824994C" w:rsidR="00A3176C" w:rsidRPr="000A7C5F" w:rsidRDefault="00A3176C" w:rsidP="00E739BB">
      <w:pPr>
        <w:spacing w:before="240"/>
        <w:rPr>
          <w:szCs w:val="28"/>
        </w:rPr>
      </w:pPr>
      <w:r w:rsidRPr="000A7C5F">
        <w:rPr>
          <w:szCs w:val="28"/>
        </w:rPr>
        <w:lastRenderedPageBreak/>
        <w:t>Reservations are where a government is not signed up to full implementation of an Article of the Convention.</w:t>
      </w:r>
    </w:p>
    <w:bookmarkEnd w:id="5"/>
    <w:p w14:paraId="0A71ECC0" w14:textId="255F5774" w:rsidR="004B3B7A" w:rsidRPr="000A7C5F" w:rsidRDefault="004B3B7A" w:rsidP="0026309F">
      <w:pPr>
        <w:pStyle w:val="ListParagraph"/>
        <w:numPr>
          <w:ilvl w:val="0"/>
          <w:numId w:val="1"/>
        </w:numPr>
        <w:spacing w:before="240"/>
        <w:ind w:left="851" w:hanging="567"/>
        <w:contextualSpacing w:val="0"/>
        <w:rPr>
          <w:szCs w:val="28"/>
        </w:rPr>
      </w:pPr>
      <w:r w:rsidRPr="000A7C5F">
        <w:rPr>
          <w:szCs w:val="28"/>
        </w:rPr>
        <w:t xml:space="preserve">DDP and DDPOs represented by this report call on </w:t>
      </w:r>
      <w:proofErr w:type="spellStart"/>
      <w:r w:rsidR="009037D2" w:rsidRPr="000A7C5F">
        <w:rPr>
          <w:szCs w:val="28"/>
        </w:rPr>
        <w:t>WeG</w:t>
      </w:r>
      <w:proofErr w:type="spellEnd"/>
      <w:r w:rsidRPr="000A7C5F">
        <w:rPr>
          <w:szCs w:val="28"/>
        </w:rPr>
        <w:t xml:space="preserve"> to remove its current reservations on Articles 18 (Liberty of Movement and Nationality) and 24 (Education). </w:t>
      </w:r>
      <w:r w:rsidR="00AB4496" w:rsidRPr="000A7C5F">
        <w:rPr>
          <w:szCs w:val="28"/>
        </w:rPr>
        <w:t xml:space="preserve">Reservation 18 means that </w:t>
      </w:r>
      <w:proofErr w:type="spellStart"/>
      <w:r w:rsidR="00AB4496" w:rsidRPr="000A7C5F">
        <w:rPr>
          <w:szCs w:val="28"/>
        </w:rPr>
        <w:t>WeG</w:t>
      </w:r>
      <w:proofErr w:type="spellEnd"/>
      <w:r w:rsidR="00AB4496" w:rsidRPr="000A7C5F">
        <w:rPr>
          <w:szCs w:val="28"/>
        </w:rPr>
        <w:t xml:space="preserve"> has no obligation to uphold rights under the CRDP of </w:t>
      </w:r>
      <w:r w:rsidRPr="000A7C5F">
        <w:rPr>
          <w:szCs w:val="28"/>
        </w:rPr>
        <w:t>DDP w</w:t>
      </w:r>
      <w:r w:rsidR="00AB4496" w:rsidRPr="000A7C5F">
        <w:rPr>
          <w:szCs w:val="28"/>
        </w:rPr>
        <w:t xml:space="preserve">ithout </w:t>
      </w:r>
      <w:r w:rsidR="00380287" w:rsidRPr="000A7C5F">
        <w:rPr>
          <w:szCs w:val="28"/>
        </w:rPr>
        <w:t>settled status</w:t>
      </w:r>
      <w:r w:rsidR="00AB4496" w:rsidRPr="000A7C5F">
        <w:rPr>
          <w:szCs w:val="28"/>
        </w:rPr>
        <w:t>.</w:t>
      </w:r>
      <w:r w:rsidR="00380287" w:rsidRPr="000A7C5F">
        <w:rPr>
          <w:szCs w:val="28"/>
        </w:rPr>
        <w:t xml:space="preserve"> </w:t>
      </w:r>
      <w:r w:rsidR="00C649DF" w:rsidRPr="000A7C5F">
        <w:rPr>
          <w:szCs w:val="28"/>
        </w:rPr>
        <w:t xml:space="preserve">Currently Deaf and Disabled asylum seekers and refugees do not have access to the full range of support they need. People are subject to </w:t>
      </w:r>
      <w:r w:rsidR="00B82084" w:rsidRPr="000A7C5F">
        <w:rPr>
          <w:szCs w:val="28"/>
        </w:rPr>
        <w:t>the disabling impacts of detention centres which exacerbate existing conditions and cause new impairments particularly associated with mental distress</w:t>
      </w:r>
      <w:r w:rsidR="00C649DF" w:rsidRPr="000A7C5F">
        <w:rPr>
          <w:rStyle w:val="FootnoteReference"/>
          <w:szCs w:val="28"/>
        </w:rPr>
        <w:footnoteReference w:id="6"/>
      </w:r>
      <w:r w:rsidR="00C649DF" w:rsidRPr="000A7C5F">
        <w:rPr>
          <w:szCs w:val="28"/>
        </w:rPr>
        <w:t xml:space="preserve">. </w:t>
      </w:r>
      <w:r w:rsidR="00AB4496" w:rsidRPr="000A7C5F">
        <w:rPr>
          <w:szCs w:val="28"/>
        </w:rPr>
        <w:t xml:space="preserve"> </w:t>
      </w:r>
      <w:r w:rsidR="000301AE" w:rsidRPr="000A7C5F">
        <w:rPr>
          <w:szCs w:val="28"/>
        </w:rPr>
        <w:t xml:space="preserve">Similar UK reservations within both the Convention on the Elimination of All Forms of Discrimination Against Women (CEDAW) and Convention on the Rights of the Child </w:t>
      </w:r>
      <w:r w:rsidR="00CF1E50" w:rsidRPr="000A7C5F">
        <w:rPr>
          <w:szCs w:val="28"/>
        </w:rPr>
        <w:t xml:space="preserve">(CRC) </w:t>
      </w:r>
      <w:r w:rsidR="000301AE" w:rsidRPr="000A7C5F">
        <w:rPr>
          <w:szCs w:val="28"/>
        </w:rPr>
        <w:t xml:space="preserve">have been withdrawn. </w:t>
      </w:r>
      <w:r w:rsidR="00AB4496" w:rsidRPr="000A7C5F">
        <w:rPr>
          <w:szCs w:val="28"/>
        </w:rPr>
        <w:t xml:space="preserve">The reservation on Article 24 allows </w:t>
      </w:r>
      <w:proofErr w:type="spellStart"/>
      <w:r w:rsidR="00AB4496" w:rsidRPr="000A7C5F">
        <w:rPr>
          <w:szCs w:val="28"/>
        </w:rPr>
        <w:t>WeG</w:t>
      </w:r>
      <w:proofErr w:type="spellEnd"/>
      <w:r w:rsidR="00AB4496" w:rsidRPr="000A7C5F">
        <w:rPr>
          <w:szCs w:val="28"/>
        </w:rPr>
        <w:t xml:space="preserve"> to continue to expand segregated education provision</w:t>
      </w:r>
      <w:r w:rsidR="00733352" w:rsidRPr="000A7C5F">
        <w:rPr>
          <w:szCs w:val="28"/>
        </w:rPr>
        <w:t xml:space="preserve"> as outlined below</w:t>
      </w:r>
      <w:r w:rsidR="00AB4496" w:rsidRPr="000A7C5F">
        <w:rPr>
          <w:szCs w:val="28"/>
        </w:rPr>
        <w:t>.</w:t>
      </w:r>
      <w:r w:rsidRPr="000A7C5F">
        <w:rPr>
          <w:szCs w:val="28"/>
        </w:rPr>
        <w:t xml:space="preserve"> </w:t>
      </w:r>
    </w:p>
    <w:p w14:paraId="15D4C770" w14:textId="4F942A10" w:rsidR="004B3B7A" w:rsidRPr="000A7C5F" w:rsidRDefault="004B3B7A" w:rsidP="00E739BB">
      <w:pPr>
        <w:pStyle w:val="ListParagraph"/>
        <w:spacing w:before="240"/>
        <w:ind w:left="426"/>
        <w:contextualSpacing w:val="0"/>
        <w:rPr>
          <w:szCs w:val="28"/>
        </w:rPr>
      </w:pPr>
    </w:p>
    <w:p w14:paraId="680B748A" w14:textId="77777777" w:rsidR="004F2E4C" w:rsidRPr="000A7C5F" w:rsidRDefault="004F2E4C" w:rsidP="00E739BB">
      <w:pPr>
        <w:pStyle w:val="ListParagraph"/>
        <w:spacing w:before="240"/>
        <w:ind w:left="1440"/>
        <w:contextualSpacing w:val="0"/>
        <w:rPr>
          <w:szCs w:val="28"/>
        </w:rPr>
      </w:pPr>
    </w:p>
    <w:p w14:paraId="431CFA28" w14:textId="77777777" w:rsidR="00FF7C50" w:rsidRDefault="00FF7C50">
      <w:pPr>
        <w:spacing w:after="160" w:line="259" w:lineRule="auto"/>
        <w:rPr>
          <w:rFonts w:cs="Proxima Nova"/>
          <w:color w:val="004346"/>
          <w:sz w:val="88"/>
          <w:szCs w:val="88"/>
          <w:lang w:val="en-US"/>
        </w:rPr>
      </w:pPr>
      <w:r>
        <w:br w:type="page"/>
      </w:r>
    </w:p>
    <w:p w14:paraId="76D83E69" w14:textId="5F5DA0E6" w:rsidR="00605C25" w:rsidRPr="000A7C5F" w:rsidRDefault="00EA5107" w:rsidP="00BB6A41">
      <w:pPr>
        <w:pStyle w:val="Heading1"/>
      </w:pPr>
      <w:bookmarkStart w:id="9" w:name="_Toc98506549"/>
      <w:r w:rsidRPr="000A7C5F">
        <w:lastRenderedPageBreak/>
        <w:t>R</w:t>
      </w:r>
      <w:r w:rsidR="00FF7C50">
        <w:t>eport</w:t>
      </w:r>
      <w:bookmarkEnd w:id="9"/>
    </w:p>
    <w:p w14:paraId="4453CDA8" w14:textId="51C555BA" w:rsidR="00E25BA6" w:rsidRPr="000A7C5F" w:rsidRDefault="00E25BA6" w:rsidP="00BB6A41">
      <w:pPr>
        <w:pStyle w:val="Heading2"/>
      </w:pPr>
      <w:bookmarkStart w:id="10" w:name="Theme1"/>
      <w:bookmarkStart w:id="11" w:name="_Toc98506550"/>
      <w:bookmarkEnd w:id="10"/>
      <w:r w:rsidRPr="000A7C5F">
        <w:t>Theme 1: Intersectionality</w:t>
      </w:r>
      <w:bookmarkEnd w:id="11"/>
    </w:p>
    <w:p w14:paraId="12F92BD8" w14:textId="6939D65C" w:rsidR="00E25BA6" w:rsidRPr="000A7C5F" w:rsidRDefault="00E25BA6" w:rsidP="00794060">
      <w:pPr>
        <w:pStyle w:val="ListParagraph"/>
        <w:numPr>
          <w:ilvl w:val="0"/>
          <w:numId w:val="3"/>
        </w:numPr>
        <w:ind w:left="851" w:hanging="851"/>
        <w:rPr>
          <w:szCs w:val="28"/>
        </w:rPr>
      </w:pPr>
      <w:r w:rsidRPr="000A7C5F">
        <w:rPr>
          <w:szCs w:val="28"/>
        </w:rPr>
        <w:t xml:space="preserve">DDP experience extra barriers if we have additional protected characteristics. Intersectionality is routinely overlooked in policy planning which heightens the levels of risk that DDP are exposed to. This was a serious omission in </w:t>
      </w:r>
      <w:proofErr w:type="spellStart"/>
      <w:r w:rsidRPr="000A7C5F">
        <w:rPr>
          <w:szCs w:val="28"/>
        </w:rPr>
        <w:t>WeG’s</w:t>
      </w:r>
      <w:proofErr w:type="spellEnd"/>
      <w:r w:rsidRPr="000A7C5F">
        <w:rPr>
          <w:szCs w:val="28"/>
        </w:rPr>
        <w:t xml:space="preserve"> National Disability Strategy (NDS)</w:t>
      </w:r>
      <w:r w:rsidRPr="000A7C5F">
        <w:rPr>
          <w:rStyle w:val="FootnoteReference"/>
          <w:szCs w:val="28"/>
        </w:rPr>
        <w:footnoteReference w:id="7"/>
      </w:r>
      <w:r w:rsidRPr="000A7C5F">
        <w:rPr>
          <w:szCs w:val="28"/>
        </w:rPr>
        <w:t xml:space="preserve">. </w:t>
      </w:r>
    </w:p>
    <w:p w14:paraId="7C13B43D" w14:textId="77777777" w:rsidR="00E25BA6" w:rsidRPr="000A7C5F" w:rsidRDefault="00E25BA6" w:rsidP="00E739BB">
      <w:pPr>
        <w:pStyle w:val="ListParagraph"/>
        <w:ind w:left="735"/>
        <w:rPr>
          <w:szCs w:val="28"/>
        </w:rPr>
      </w:pPr>
    </w:p>
    <w:p w14:paraId="1AF67FE6" w14:textId="34687EDA" w:rsidR="00E25BA6" w:rsidRPr="000A7C5F" w:rsidRDefault="00E25BA6" w:rsidP="00794060">
      <w:pPr>
        <w:pStyle w:val="ListParagraph"/>
        <w:numPr>
          <w:ilvl w:val="0"/>
          <w:numId w:val="3"/>
        </w:numPr>
        <w:ind w:left="851" w:hanging="851"/>
        <w:rPr>
          <w:szCs w:val="28"/>
        </w:rPr>
      </w:pPr>
      <w:r w:rsidRPr="000A7C5F">
        <w:rPr>
          <w:szCs w:val="28"/>
        </w:rPr>
        <w:t>Policy-making to address non-disability equalities issues is generally inadequate in how it includes issues relevant to DDP. The Tackling Violence Against Women and Girls Strategy and Domestic Abuse Act are examples of this</w:t>
      </w:r>
      <w:r w:rsidRPr="000A7C5F">
        <w:rPr>
          <w:rStyle w:val="FootnoteReference"/>
          <w:szCs w:val="28"/>
        </w:rPr>
        <w:footnoteReference w:id="8"/>
      </w:r>
      <w:r w:rsidRPr="000A7C5F">
        <w:rPr>
          <w:szCs w:val="28"/>
        </w:rPr>
        <w:t xml:space="preserve">. Consultations on non-disability specific issues are not automatically accessible and engagement needs to be initiated and pushed by DDPOs. </w:t>
      </w:r>
      <w:r w:rsidR="00D728BC" w:rsidRPr="000A7C5F">
        <w:rPr>
          <w:szCs w:val="28"/>
        </w:rPr>
        <w:t xml:space="preserve">An easy read consultation on the introduction of tenant satisfaction measures was only published following complaints more than a month </w:t>
      </w:r>
      <w:r w:rsidR="00CF1E50" w:rsidRPr="000A7C5F">
        <w:rPr>
          <w:szCs w:val="28"/>
        </w:rPr>
        <w:t>after</w:t>
      </w:r>
      <w:r w:rsidR="00D728BC" w:rsidRPr="000A7C5F">
        <w:rPr>
          <w:szCs w:val="28"/>
        </w:rPr>
        <w:t xml:space="preserve"> the original document</w:t>
      </w:r>
      <w:r w:rsidR="00D728BC" w:rsidRPr="000A7C5F">
        <w:rPr>
          <w:rStyle w:val="FootnoteReference"/>
          <w:szCs w:val="28"/>
        </w:rPr>
        <w:footnoteReference w:id="9"/>
      </w:r>
      <w:r w:rsidR="00D728BC" w:rsidRPr="000A7C5F">
        <w:rPr>
          <w:szCs w:val="28"/>
        </w:rPr>
        <w:t xml:space="preserve">. </w:t>
      </w:r>
      <w:r w:rsidRPr="000A7C5F">
        <w:rPr>
          <w:szCs w:val="28"/>
        </w:rPr>
        <w:t xml:space="preserve">The consultation document for a Bill of </w:t>
      </w:r>
      <w:r w:rsidRPr="000A7C5F">
        <w:rPr>
          <w:szCs w:val="28"/>
        </w:rPr>
        <w:lastRenderedPageBreak/>
        <w:t xml:space="preserve">Rights to replace the Human Rights Act </w:t>
      </w:r>
      <w:r w:rsidR="00CF1E50" w:rsidRPr="000A7C5F">
        <w:rPr>
          <w:szCs w:val="28"/>
        </w:rPr>
        <w:t xml:space="preserve">was only </w:t>
      </w:r>
      <w:r w:rsidRPr="000A7C5F">
        <w:rPr>
          <w:szCs w:val="28"/>
        </w:rPr>
        <w:t xml:space="preserve">published in full easy read </w:t>
      </w:r>
      <w:r w:rsidR="000B51E2">
        <w:rPr>
          <w:szCs w:val="28"/>
        </w:rPr>
        <w:t>twelve days</w:t>
      </w:r>
      <w:r w:rsidRPr="000A7C5F">
        <w:rPr>
          <w:szCs w:val="28"/>
        </w:rPr>
        <w:t xml:space="preserve"> before the closing date and two months </w:t>
      </w:r>
      <w:r w:rsidR="00CF1E50" w:rsidRPr="000A7C5F">
        <w:rPr>
          <w:szCs w:val="28"/>
        </w:rPr>
        <w:t>after</w:t>
      </w:r>
      <w:r w:rsidRPr="000A7C5F">
        <w:rPr>
          <w:szCs w:val="28"/>
        </w:rPr>
        <w:t xml:space="preserve"> it opened</w:t>
      </w:r>
      <w:r w:rsidRPr="000A7C5F">
        <w:rPr>
          <w:rStyle w:val="FootnoteReference"/>
          <w:szCs w:val="28"/>
        </w:rPr>
        <w:footnoteReference w:id="10"/>
      </w:r>
      <w:r w:rsidRPr="000A7C5F">
        <w:rPr>
          <w:szCs w:val="28"/>
        </w:rPr>
        <w:t>. This consultation is of particular concern to all DDP who want to ensure the Bill does not water down existing rights</w:t>
      </w:r>
      <w:r w:rsidRPr="000A7C5F">
        <w:rPr>
          <w:rStyle w:val="FootnoteReference"/>
          <w:szCs w:val="28"/>
        </w:rPr>
        <w:footnoteReference w:id="11"/>
      </w:r>
      <w:r w:rsidRPr="000A7C5F">
        <w:rPr>
          <w:szCs w:val="28"/>
        </w:rPr>
        <w:t>.</w:t>
      </w:r>
    </w:p>
    <w:p w14:paraId="7D955838" w14:textId="77777777" w:rsidR="00E25BA6" w:rsidRPr="000A7C5F" w:rsidRDefault="00E25BA6" w:rsidP="00E739BB">
      <w:pPr>
        <w:pStyle w:val="ListParagraph"/>
        <w:rPr>
          <w:szCs w:val="28"/>
        </w:rPr>
      </w:pPr>
    </w:p>
    <w:p w14:paraId="656648FD" w14:textId="7C3B2097" w:rsidR="00E25BA6" w:rsidRPr="000A7C5F" w:rsidRDefault="00E25BA6" w:rsidP="00794060">
      <w:pPr>
        <w:pStyle w:val="ListParagraph"/>
        <w:numPr>
          <w:ilvl w:val="0"/>
          <w:numId w:val="3"/>
        </w:numPr>
        <w:ind w:left="851" w:hanging="851"/>
        <w:rPr>
          <w:szCs w:val="28"/>
        </w:rPr>
      </w:pPr>
      <w:bookmarkStart w:id="12" w:name="_Hlk97662510"/>
      <w:r w:rsidRPr="000A7C5F">
        <w:rPr>
          <w:szCs w:val="28"/>
        </w:rPr>
        <w:t>Disaggregated disability data is needed</w:t>
      </w:r>
      <w:r w:rsidRPr="000A7C5F">
        <w:rPr>
          <w:rStyle w:val="FootnoteReference"/>
          <w:szCs w:val="28"/>
        </w:rPr>
        <w:footnoteReference w:id="12"/>
      </w:r>
      <w:r w:rsidRPr="000A7C5F">
        <w:rPr>
          <w:szCs w:val="28"/>
        </w:rPr>
        <w:t xml:space="preserve">, for example on sexual violence experienced by women and girls who are Deaf and/or Disabled, numbers of DDP affected by other forms of hate crime, unmet social care needs among </w:t>
      </w:r>
      <w:proofErr w:type="spellStart"/>
      <w:r w:rsidR="00977ED5" w:rsidRPr="00977ED5">
        <w:rPr>
          <w:szCs w:val="28"/>
        </w:rPr>
        <w:t>among</w:t>
      </w:r>
      <w:proofErr w:type="spellEnd"/>
      <w:r w:rsidR="00977ED5" w:rsidRPr="00977ED5">
        <w:rPr>
          <w:szCs w:val="28"/>
        </w:rPr>
        <w:t xml:space="preserve"> Black people and racialised minorities </w:t>
      </w:r>
      <w:r w:rsidRPr="000A7C5F">
        <w:rPr>
          <w:szCs w:val="28"/>
        </w:rPr>
        <w:t>and LGBTQ+ communities</w:t>
      </w:r>
      <w:r w:rsidRPr="000A7C5F">
        <w:rPr>
          <w:rStyle w:val="FootnoteReference"/>
          <w:szCs w:val="28"/>
        </w:rPr>
        <w:footnoteReference w:id="13"/>
      </w:r>
      <w:r w:rsidRPr="000A7C5F">
        <w:rPr>
          <w:szCs w:val="28"/>
        </w:rPr>
        <w:t xml:space="preserve">, </w:t>
      </w:r>
      <w:r w:rsidR="00AB4496" w:rsidRPr="000A7C5F">
        <w:rPr>
          <w:szCs w:val="28"/>
        </w:rPr>
        <w:t xml:space="preserve">on Disabled parents and child protection proceedings, </w:t>
      </w:r>
      <w:r w:rsidRPr="000A7C5F">
        <w:rPr>
          <w:szCs w:val="28"/>
        </w:rPr>
        <w:t>and in relation to modern slavery</w:t>
      </w:r>
      <w:r w:rsidRPr="000A7C5F">
        <w:rPr>
          <w:rStyle w:val="FootnoteReference"/>
          <w:szCs w:val="28"/>
        </w:rPr>
        <w:footnoteReference w:id="14"/>
      </w:r>
      <w:r w:rsidRPr="000A7C5F">
        <w:rPr>
          <w:szCs w:val="28"/>
        </w:rPr>
        <w:t>.</w:t>
      </w:r>
    </w:p>
    <w:bookmarkEnd w:id="12"/>
    <w:p w14:paraId="4786F70D" w14:textId="77777777" w:rsidR="00E25BA6" w:rsidRPr="000A7C5F" w:rsidRDefault="00E25BA6" w:rsidP="00E739BB">
      <w:pPr>
        <w:pStyle w:val="ListParagraph"/>
        <w:ind w:left="851" w:hanging="851"/>
        <w:rPr>
          <w:szCs w:val="28"/>
        </w:rPr>
      </w:pPr>
    </w:p>
    <w:p w14:paraId="5E88E205" w14:textId="53E59906" w:rsidR="00E25BA6" w:rsidRPr="00044230" w:rsidRDefault="00E25BA6" w:rsidP="00044230">
      <w:pPr>
        <w:pStyle w:val="ListParagraph"/>
        <w:numPr>
          <w:ilvl w:val="0"/>
          <w:numId w:val="3"/>
        </w:numPr>
        <w:ind w:left="851" w:hanging="851"/>
        <w:rPr>
          <w:szCs w:val="28"/>
        </w:rPr>
      </w:pPr>
      <w:r w:rsidRPr="000A7C5F">
        <w:rPr>
          <w:szCs w:val="28"/>
        </w:rPr>
        <w:t xml:space="preserve">Intersectional issues included in the evidence we </w:t>
      </w:r>
      <w:r w:rsidR="00CF1E50" w:rsidRPr="000A7C5F">
        <w:rPr>
          <w:szCs w:val="28"/>
        </w:rPr>
        <w:t>received</w:t>
      </w:r>
      <w:r w:rsidRPr="000A7C5F">
        <w:rPr>
          <w:szCs w:val="28"/>
        </w:rPr>
        <w:t xml:space="preserve"> have been incorporated throughout this report</w:t>
      </w:r>
      <w:r w:rsidR="00E805C4" w:rsidRPr="000A7C5F">
        <w:rPr>
          <w:szCs w:val="28"/>
        </w:rPr>
        <w:t xml:space="preserve"> under relevant themes.</w:t>
      </w:r>
      <w:r w:rsidR="00AB4496" w:rsidRPr="000A7C5F">
        <w:rPr>
          <w:szCs w:val="28"/>
        </w:rPr>
        <w:t xml:space="preserve"> Where possible these have been cross-referenced with wider evidence. Where these relate to individual personal testimonies and where there is a lack of research data, this is indicated.</w:t>
      </w:r>
    </w:p>
    <w:p w14:paraId="37A06000" w14:textId="4403ACEC" w:rsidR="00AC2C0C" w:rsidRPr="000A7C5F" w:rsidRDefault="00AC2C0C" w:rsidP="00BB6A41">
      <w:pPr>
        <w:pStyle w:val="Heading2"/>
      </w:pPr>
      <w:bookmarkStart w:id="13" w:name="_Toc98506551"/>
      <w:r w:rsidRPr="000A7C5F">
        <w:lastRenderedPageBreak/>
        <w:t xml:space="preserve">Theme </w:t>
      </w:r>
      <w:r w:rsidR="00E805C4" w:rsidRPr="000A7C5F">
        <w:t>2</w:t>
      </w:r>
      <w:r w:rsidRPr="000A7C5F">
        <w:t>: Continued Retrogression</w:t>
      </w:r>
      <w:bookmarkEnd w:id="13"/>
    </w:p>
    <w:p w14:paraId="6B6110C1" w14:textId="6737381C" w:rsidR="00A76A74" w:rsidRPr="000A7C5F" w:rsidRDefault="001075C5" w:rsidP="00E739BB">
      <w:pPr>
        <w:ind w:left="851" w:hanging="851"/>
        <w:rPr>
          <w:szCs w:val="28"/>
        </w:rPr>
      </w:pPr>
      <w:r w:rsidRPr="000A7C5F">
        <w:rPr>
          <w:szCs w:val="28"/>
        </w:rPr>
        <w:t>19.</w:t>
      </w:r>
      <w:r w:rsidR="00272506" w:rsidRPr="000A7C5F">
        <w:rPr>
          <w:szCs w:val="28"/>
        </w:rPr>
        <w:tab/>
      </w:r>
      <w:r w:rsidR="00061FFA" w:rsidRPr="000A7C5F">
        <w:rPr>
          <w:szCs w:val="28"/>
        </w:rPr>
        <w:t>E</w:t>
      </w:r>
      <w:r w:rsidR="00321C79" w:rsidRPr="000A7C5F">
        <w:rPr>
          <w:szCs w:val="28"/>
        </w:rPr>
        <w:t xml:space="preserve">vidence of further retrogression relates to areas covered by the </w:t>
      </w:r>
      <w:r w:rsidR="00CF1E50" w:rsidRPr="000A7C5F">
        <w:rPr>
          <w:szCs w:val="28"/>
        </w:rPr>
        <w:t>S</w:t>
      </w:r>
      <w:r w:rsidR="00321C79" w:rsidRPr="000A7C5F">
        <w:rPr>
          <w:szCs w:val="28"/>
        </w:rPr>
        <w:t xml:space="preserve">pecial </w:t>
      </w:r>
      <w:r w:rsidR="00CF1E50" w:rsidRPr="000A7C5F">
        <w:rPr>
          <w:szCs w:val="28"/>
        </w:rPr>
        <w:t>I</w:t>
      </w:r>
      <w:r w:rsidR="00321C79" w:rsidRPr="000A7C5F">
        <w:rPr>
          <w:szCs w:val="28"/>
        </w:rPr>
        <w:t>nquiry, namely independent living and being included in the community, work and employment and adequate standard of living and social protection. It also relates to multiple other areas as outlined below.</w:t>
      </w:r>
      <w:r w:rsidR="00DA3315" w:rsidRPr="000A7C5F">
        <w:rPr>
          <w:szCs w:val="28"/>
        </w:rPr>
        <w:t xml:space="preserve"> </w:t>
      </w:r>
    </w:p>
    <w:p w14:paraId="38B0F205" w14:textId="7810D3CE" w:rsidR="00B1444A" w:rsidRPr="000A7C5F" w:rsidRDefault="00A76A74" w:rsidP="00E739BB">
      <w:pPr>
        <w:spacing w:after="240"/>
        <w:ind w:left="851" w:hanging="851"/>
        <w:rPr>
          <w:szCs w:val="28"/>
        </w:rPr>
      </w:pPr>
      <w:r w:rsidRPr="000A7C5F">
        <w:rPr>
          <w:szCs w:val="28"/>
        </w:rPr>
        <w:t xml:space="preserve">20. </w:t>
      </w:r>
      <w:r w:rsidRPr="000A7C5F">
        <w:rPr>
          <w:szCs w:val="28"/>
        </w:rPr>
        <w:tab/>
      </w:r>
      <w:r w:rsidR="00321C79" w:rsidRPr="000A7C5F">
        <w:rPr>
          <w:szCs w:val="28"/>
        </w:rPr>
        <w:t xml:space="preserve">In 2018 the EHRC warned that “Britain’s most at-risk groups of people are in danger of being forgotten and becoming trapped in disadvantage...This inequality risks becoming entrenched for generations to come, creating a two-speed society where these groups are left behind in the journey towards a fair and equal country." These groups consist of Disabled people, some ethnic minorities, and children from poorer backgrounds for whom “Prospects… have worsened in many areas of life."  </w:t>
      </w:r>
      <w:r w:rsidR="00EA5107" w:rsidRPr="000A7C5F">
        <w:rPr>
          <w:szCs w:val="28"/>
        </w:rPr>
        <w:t xml:space="preserve">Disability inequality was becoming entrenched before the pandemic. </w:t>
      </w:r>
      <w:r w:rsidRPr="000A7C5F">
        <w:rPr>
          <w:szCs w:val="28"/>
        </w:rPr>
        <w:t xml:space="preserve">The impacts of the pandemic both exacerbated and were exacerbated by that existing inequality. </w:t>
      </w:r>
    </w:p>
    <w:p w14:paraId="71650ADA" w14:textId="6CC58F25" w:rsidR="00605C25" w:rsidRPr="000A7C5F" w:rsidRDefault="00A76A74" w:rsidP="00794060">
      <w:pPr>
        <w:pStyle w:val="ListParagraph"/>
        <w:numPr>
          <w:ilvl w:val="0"/>
          <w:numId w:val="3"/>
        </w:numPr>
        <w:ind w:left="851" w:hanging="851"/>
        <w:rPr>
          <w:szCs w:val="28"/>
        </w:rPr>
      </w:pPr>
      <w:r w:rsidRPr="000A7C5F">
        <w:rPr>
          <w:szCs w:val="28"/>
        </w:rPr>
        <w:t>S</w:t>
      </w:r>
      <w:r w:rsidR="00DA3315" w:rsidRPr="000A7C5F">
        <w:rPr>
          <w:szCs w:val="28"/>
        </w:rPr>
        <w:t xml:space="preserve">upport for DDP living in the community has </w:t>
      </w:r>
      <w:r w:rsidR="008E7E5F" w:rsidRPr="000A7C5F">
        <w:rPr>
          <w:szCs w:val="28"/>
        </w:rPr>
        <w:t xml:space="preserve">decreased further since 2017. This </w:t>
      </w:r>
      <w:r w:rsidR="00B87759" w:rsidRPr="000A7C5F">
        <w:rPr>
          <w:szCs w:val="28"/>
        </w:rPr>
        <w:t xml:space="preserve">not only reflects further regression under </w:t>
      </w:r>
      <w:r w:rsidR="00CF1E50" w:rsidRPr="000A7C5F">
        <w:rPr>
          <w:szCs w:val="28"/>
        </w:rPr>
        <w:t>a</w:t>
      </w:r>
      <w:r w:rsidR="00B87759" w:rsidRPr="000A7C5F">
        <w:rPr>
          <w:szCs w:val="28"/>
        </w:rPr>
        <w:t>rticle 19 (Living independently and being included in the community) but ha</w:t>
      </w:r>
      <w:r w:rsidR="008E7E5F" w:rsidRPr="000A7C5F">
        <w:rPr>
          <w:szCs w:val="28"/>
        </w:rPr>
        <w:t xml:space="preserve">s now </w:t>
      </w:r>
      <w:r w:rsidR="00B87759" w:rsidRPr="000A7C5F">
        <w:rPr>
          <w:szCs w:val="28"/>
        </w:rPr>
        <w:t xml:space="preserve">led directly to breaches of a number of other </w:t>
      </w:r>
      <w:r w:rsidR="00CF1E50" w:rsidRPr="000A7C5F">
        <w:rPr>
          <w:szCs w:val="28"/>
        </w:rPr>
        <w:t>a</w:t>
      </w:r>
      <w:r w:rsidR="00B87759" w:rsidRPr="000A7C5F">
        <w:rPr>
          <w:szCs w:val="28"/>
        </w:rPr>
        <w:t>rticles</w:t>
      </w:r>
      <w:r w:rsidR="008E7E5F" w:rsidRPr="000A7C5F">
        <w:rPr>
          <w:szCs w:val="28"/>
        </w:rPr>
        <w:t>, including 6</w:t>
      </w:r>
      <w:r w:rsidR="00B87759" w:rsidRPr="000A7C5F">
        <w:rPr>
          <w:szCs w:val="28"/>
        </w:rPr>
        <w:t xml:space="preserve"> (Women)</w:t>
      </w:r>
      <w:r w:rsidR="008E7E5F" w:rsidRPr="000A7C5F">
        <w:rPr>
          <w:szCs w:val="28"/>
        </w:rPr>
        <w:t>, 7</w:t>
      </w:r>
      <w:r w:rsidR="00B87759" w:rsidRPr="000A7C5F">
        <w:rPr>
          <w:szCs w:val="28"/>
        </w:rPr>
        <w:t xml:space="preserve"> (Children)</w:t>
      </w:r>
      <w:r w:rsidR="008E7E5F" w:rsidRPr="000A7C5F">
        <w:rPr>
          <w:szCs w:val="28"/>
        </w:rPr>
        <w:t>, 15</w:t>
      </w:r>
      <w:r w:rsidR="00B87759" w:rsidRPr="000A7C5F">
        <w:rPr>
          <w:szCs w:val="28"/>
        </w:rPr>
        <w:t xml:space="preserve"> (Freedom from torture or cruel, inhuman or degrading treatment or punishment)</w:t>
      </w:r>
      <w:r w:rsidR="008E7E5F" w:rsidRPr="000A7C5F">
        <w:rPr>
          <w:szCs w:val="28"/>
        </w:rPr>
        <w:t>, 16</w:t>
      </w:r>
      <w:r w:rsidR="00B87759" w:rsidRPr="000A7C5F">
        <w:rPr>
          <w:szCs w:val="28"/>
        </w:rPr>
        <w:t xml:space="preserve"> (Freedom from exploitation, violence and abuse)</w:t>
      </w:r>
      <w:r w:rsidR="008E7E5F" w:rsidRPr="000A7C5F">
        <w:rPr>
          <w:szCs w:val="28"/>
        </w:rPr>
        <w:t>, 20</w:t>
      </w:r>
      <w:r w:rsidR="00605C25" w:rsidRPr="000A7C5F">
        <w:rPr>
          <w:szCs w:val="28"/>
        </w:rPr>
        <w:t xml:space="preserve"> (Personal mobility)</w:t>
      </w:r>
      <w:r w:rsidR="008E7E5F" w:rsidRPr="000A7C5F">
        <w:rPr>
          <w:szCs w:val="28"/>
        </w:rPr>
        <w:t>, 21</w:t>
      </w:r>
      <w:r w:rsidR="00605C25" w:rsidRPr="000A7C5F">
        <w:rPr>
          <w:szCs w:val="28"/>
        </w:rPr>
        <w:t xml:space="preserve"> (Freedom of expression and opinion, and access to information)</w:t>
      </w:r>
      <w:r w:rsidR="008E7E5F" w:rsidRPr="000A7C5F">
        <w:rPr>
          <w:szCs w:val="28"/>
        </w:rPr>
        <w:t>, 23</w:t>
      </w:r>
      <w:r w:rsidR="00605C25" w:rsidRPr="000A7C5F">
        <w:rPr>
          <w:szCs w:val="28"/>
        </w:rPr>
        <w:t xml:space="preserve"> (Respect for and the family)</w:t>
      </w:r>
      <w:r w:rsidR="008E7E5F" w:rsidRPr="000A7C5F">
        <w:rPr>
          <w:szCs w:val="28"/>
        </w:rPr>
        <w:t>, 26</w:t>
      </w:r>
      <w:r w:rsidR="00605C25" w:rsidRPr="000A7C5F">
        <w:rPr>
          <w:szCs w:val="28"/>
        </w:rPr>
        <w:t xml:space="preserve"> (</w:t>
      </w:r>
      <w:proofErr w:type="spellStart"/>
      <w:r w:rsidR="00605C25" w:rsidRPr="000A7C5F">
        <w:rPr>
          <w:szCs w:val="28"/>
        </w:rPr>
        <w:t>Habilitation</w:t>
      </w:r>
      <w:proofErr w:type="spellEnd"/>
      <w:r w:rsidR="00605C25" w:rsidRPr="000A7C5F">
        <w:rPr>
          <w:szCs w:val="28"/>
        </w:rPr>
        <w:t xml:space="preserve"> and rehabilitation)</w:t>
      </w:r>
      <w:r w:rsidR="008E7E5F" w:rsidRPr="000A7C5F">
        <w:rPr>
          <w:szCs w:val="28"/>
        </w:rPr>
        <w:t>, 27</w:t>
      </w:r>
      <w:r w:rsidR="00605C25" w:rsidRPr="000A7C5F">
        <w:rPr>
          <w:szCs w:val="28"/>
        </w:rPr>
        <w:t xml:space="preserve"> (Work and employment)</w:t>
      </w:r>
      <w:r w:rsidR="008E7E5F" w:rsidRPr="000A7C5F">
        <w:rPr>
          <w:szCs w:val="28"/>
        </w:rPr>
        <w:t>, 29</w:t>
      </w:r>
      <w:r w:rsidR="00605C25" w:rsidRPr="000A7C5F">
        <w:rPr>
          <w:szCs w:val="28"/>
        </w:rPr>
        <w:t xml:space="preserve"> (Participation in political and public life)</w:t>
      </w:r>
      <w:r w:rsidR="008E7E5F" w:rsidRPr="000A7C5F">
        <w:rPr>
          <w:szCs w:val="28"/>
        </w:rPr>
        <w:t>, and 30</w:t>
      </w:r>
      <w:r w:rsidR="00605C25" w:rsidRPr="000A7C5F">
        <w:rPr>
          <w:szCs w:val="28"/>
        </w:rPr>
        <w:t xml:space="preserve"> (Participation in cultural life, recreation, leisure and sport)</w:t>
      </w:r>
      <w:r w:rsidR="008E7E5F" w:rsidRPr="000A7C5F">
        <w:rPr>
          <w:szCs w:val="28"/>
        </w:rPr>
        <w:t xml:space="preserve">. Without </w:t>
      </w:r>
      <w:r w:rsidR="00605C25" w:rsidRPr="000A7C5F">
        <w:rPr>
          <w:szCs w:val="28"/>
        </w:rPr>
        <w:t xml:space="preserve">adequate </w:t>
      </w:r>
      <w:r w:rsidR="008E7E5F" w:rsidRPr="000A7C5F">
        <w:rPr>
          <w:szCs w:val="28"/>
        </w:rPr>
        <w:t>support</w:t>
      </w:r>
      <w:r w:rsidR="00605C25" w:rsidRPr="000A7C5F">
        <w:rPr>
          <w:szCs w:val="28"/>
        </w:rPr>
        <w:t>,</w:t>
      </w:r>
      <w:r w:rsidR="008E7E5F" w:rsidRPr="000A7C5F">
        <w:rPr>
          <w:szCs w:val="28"/>
        </w:rPr>
        <w:t xml:space="preserve"> many DDP are </w:t>
      </w:r>
      <w:r w:rsidR="00605C25" w:rsidRPr="000A7C5F">
        <w:rPr>
          <w:szCs w:val="28"/>
        </w:rPr>
        <w:t>un</w:t>
      </w:r>
      <w:r w:rsidR="008E7E5F" w:rsidRPr="000A7C5F">
        <w:rPr>
          <w:szCs w:val="28"/>
        </w:rPr>
        <w:t xml:space="preserve">able to participate in </w:t>
      </w:r>
      <w:r w:rsidR="00605C25" w:rsidRPr="000A7C5F">
        <w:rPr>
          <w:szCs w:val="28"/>
        </w:rPr>
        <w:t xml:space="preserve">multiple areas of life covered by </w:t>
      </w:r>
      <w:r w:rsidR="00605C25" w:rsidRPr="000A7C5F">
        <w:rPr>
          <w:szCs w:val="28"/>
        </w:rPr>
        <w:lastRenderedPageBreak/>
        <w:t xml:space="preserve">the CRDP while being at </w:t>
      </w:r>
      <w:r w:rsidR="008E7E5F" w:rsidRPr="000A7C5F">
        <w:rPr>
          <w:szCs w:val="28"/>
        </w:rPr>
        <w:t xml:space="preserve">greater risk of crime, exploitation and abuse. </w:t>
      </w:r>
    </w:p>
    <w:p w14:paraId="5695CD5A" w14:textId="77777777" w:rsidR="00605C25" w:rsidRPr="000A7C5F" w:rsidRDefault="00605C25" w:rsidP="00E739BB">
      <w:pPr>
        <w:pStyle w:val="ListParagraph"/>
        <w:ind w:left="735"/>
        <w:rPr>
          <w:szCs w:val="28"/>
        </w:rPr>
      </w:pPr>
    </w:p>
    <w:p w14:paraId="71051722" w14:textId="2A59559D" w:rsidR="00AD7106" w:rsidRPr="000A7C5F" w:rsidRDefault="00605C25" w:rsidP="00794060">
      <w:pPr>
        <w:pStyle w:val="ListParagraph"/>
        <w:numPr>
          <w:ilvl w:val="0"/>
          <w:numId w:val="3"/>
        </w:numPr>
        <w:ind w:left="851" w:hanging="851"/>
        <w:rPr>
          <w:szCs w:val="28"/>
        </w:rPr>
      </w:pPr>
      <w:proofErr w:type="spellStart"/>
      <w:r w:rsidRPr="000A7C5F">
        <w:rPr>
          <w:szCs w:val="28"/>
        </w:rPr>
        <w:t>WeG</w:t>
      </w:r>
      <w:proofErr w:type="spellEnd"/>
      <w:r w:rsidRPr="000A7C5F">
        <w:rPr>
          <w:szCs w:val="28"/>
        </w:rPr>
        <w:t xml:space="preserve"> effectively delegates responsibility for Article 19 rights to Local Authorities (LAs) but without making sure LAs are aware of those rights and without any monitoring of their implementation. This was picked up by the Committee in 2017</w:t>
      </w:r>
      <w:r w:rsidR="00503C03" w:rsidRPr="000A7C5F">
        <w:rPr>
          <w:rStyle w:val="FootnoteReference"/>
          <w:szCs w:val="28"/>
        </w:rPr>
        <w:footnoteReference w:id="15"/>
      </w:r>
      <w:r w:rsidR="00AD7106" w:rsidRPr="000A7C5F">
        <w:rPr>
          <w:szCs w:val="28"/>
        </w:rPr>
        <w:t xml:space="preserve">, yet </w:t>
      </w:r>
      <w:proofErr w:type="spellStart"/>
      <w:r w:rsidR="00AD7106" w:rsidRPr="000A7C5F">
        <w:rPr>
          <w:szCs w:val="28"/>
        </w:rPr>
        <w:t>WeG</w:t>
      </w:r>
      <w:proofErr w:type="spellEnd"/>
      <w:r w:rsidR="00AD7106" w:rsidRPr="000A7C5F">
        <w:rPr>
          <w:szCs w:val="28"/>
        </w:rPr>
        <w:t xml:space="preserve"> has done nothing to rectify the situation, instead allowing the situation to worsen.</w:t>
      </w:r>
    </w:p>
    <w:p w14:paraId="4036276D" w14:textId="3C70972E" w:rsidR="00AD7106" w:rsidRPr="000A7C5F" w:rsidRDefault="00AD7106" w:rsidP="00BB6A41">
      <w:pPr>
        <w:pStyle w:val="ArticleHeading"/>
      </w:pPr>
      <w:bookmarkStart w:id="14" w:name="Article6DisabledWomen"/>
      <w:bookmarkEnd w:id="14"/>
      <w:r w:rsidRPr="000A7C5F">
        <w:t>Article 6 – Disabled Women</w:t>
      </w:r>
    </w:p>
    <w:p w14:paraId="56BFD1E8" w14:textId="7A25AF0D" w:rsidR="001075C5" w:rsidRPr="000A7C5F" w:rsidRDefault="00D80241" w:rsidP="00794060">
      <w:pPr>
        <w:pStyle w:val="ListParagraph"/>
        <w:numPr>
          <w:ilvl w:val="0"/>
          <w:numId w:val="3"/>
        </w:numPr>
        <w:ind w:left="851" w:hanging="851"/>
        <w:rPr>
          <w:szCs w:val="28"/>
        </w:rPr>
      </w:pPr>
      <w:r w:rsidRPr="000A7C5F">
        <w:rPr>
          <w:szCs w:val="28"/>
        </w:rPr>
        <w:t>Disabled people and w</w:t>
      </w:r>
      <w:r w:rsidR="00FF046D" w:rsidRPr="000A7C5F">
        <w:rPr>
          <w:szCs w:val="28"/>
        </w:rPr>
        <w:t>omen</w:t>
      </w:r>
      <w:r w:rsidRPr="000A7C5F">
        <w:rPr>
          <w:szCs w:val="28"/>
        </w:rPr>
        <w:t xml:space="preserve"> are among the groups who</w:t>
      </w:r>
      <w:r w:rsidR="0079724A" w:rsidRPr="000A7C5F">
        <w:rPr>
          <w:szCs w:val="28"/>
        </w:rPr>
        <w:t xml:space="preserve"> were due to</w:t>
      </w:r>
      <w:r w:rsidR="00FF046D" w:rsidRPr="000A7C5F">
        <w:rPr>
          <w:szCs w:val="28"/>
        </w:rPr>
        <w:t xml:space="preserve"> los</w:t>
      </w:r>
      <w:r w:rsidR="0079724A" w:rsidRPr="000A7C5F">
        <w:rPr>
          <w:szCs w:val="28"/>
        </w:rPr>
        <w:t>e</w:t>
      </w:r>
      <w:r w:rsidR="00FF046D" w:rsidRPr="000A7C5F">
        <w:rPr>
          <w:szCs w:val="28"/>
        </w:rPr>
        <w:t xml:space="preserve"> </w:t>
      </w:r>
      <w:r w:rsidRPr="000A7C5F">
        <w:rPr>
          <w:szCs w:val="28"/>
        </w:rPr>
        <w:t xml:space="preserve">the </w:t>
      </w:r>
      <w:r w:rsidR="00FF046D" w:rsidRPr="000A7C5F">
        <w:rPr>
          <w:szCs w:val="28"/>
        </w:rPr>
        <w:t>mo</w:t>
      </w:r>
      <w:r w:rsidRPr="000A7C5F">
        <w:rPr>
          <w:szCs w:val="28"/>
        </w:rPr>
        <w:t>st</w:t>
      </w:r>
      <w:r w:rsidR="00FF046D" w:rsidRPr="000A7C5F">
        <w:rPr>
          <w:szCs w:val="28"/>
        </w:rPr>
        <w:t xml:space="preserve"> through welfare and tax changes </w:t>
      </w:r>
      <w:r w:rsidRPr="000A7C5F">
        <w:rPr>
          <w:szCs w:val="28"/>
        </w:rPr>
        <w:t xml:space="preserve">between 2010 and </w:t>
      </w:r>
      <w:r w:rsidR="00FF046D" w:rsidRPr="000A7C5F">
        <w:rPr>
          <w:szCs w:val="28"/>
        </w:rPr>
        <w:t>202</w:t>
      </w:r>
      <w:r w:rsidR="0079724A" w:rsidRPr="000A7C5F">
        <w:rPr>
          <w:szCs w:val="28"/>
        </w:rPr>
        <w:t>2</w:t>
      </w:r>
      <w:r w:rsidR="00FF046D" w:rsidRPr="000A7C5F">
        <w:rPr>
          <w:szCs w:val="28"/>
        </w:rPr>
        <w:t xml:space="preserve">. </w:t>
      </w:r>
      <w:r w:rsidRPr="000A7C5F">
        <w:rPr>
          <w:szCs w:val="28"/>
        </w:rPr>
        <w:t>EHRC analysis found that women lose on average considerably more than men</w:t>
      </w:r>
      <w:r w:rsidR="0046390E">
        <w:rPr>
          <w:szCs w:val="28"/>
        </w:rPr>
        <w:t xml:space="preserve"> – </w:t>
      </w:r>
      <w:r w:rsidRPr="000A7C5F">
        <w:rPr>
          <w:szCs w:val="28"/>
        </w:rPr>
        <w:t>about £400 per year on average</w:t>
      </w:r>
      <w:r w:rsidR="0079724A" w:rsidRPr="000A7C5F">
        <w:rPr>
          <w:szCs w:val="28"/>
        </w:rPr>
        <w:t xml:space="preserve"> compared to </w:t>
      </w:r>
      <w:r w:rsidRPr="000A7C5F">
        <w:rPr>
          <w:szCs w:val="28"/>
        </w:rPr>
        <w:t>only</w:t>
      </w:r>
      <w:r w:rsidR="0079724A" w:rsidRPr="000A7C5F">
        <w:rPr>
          <w:szCs w:val="28"/>
        </w:rPr>
        <w:t xml:space="preserve"> £30 for men. </w:t>
      </w:r>
      <w:r w:rsidRPr="000A7C5F">
        <w:rPr>
          <w:szCs w:val="28"/>
        </w:rPr>
        <w:t xml:space="preserve"> </w:t>
      </w:r>
      <w:r w:rsidR="0079724A" w:rsidRPr="000A7C5F">
        <w:rPr>
          <w:szCs w:val="28"/>
        </w:rPr>
        <w:t xml:space="preserve">On average, disabled lone parents with at least one </w:t>
      </w:r>
      <w:r w:rsidR="002856E4" w:rsidRPr="000A7C5F">
        <w:rPr>
          <w:szCs w:val="28"/>
        </w:rPr>
        <w:t>D</w:t>
      </w:r>
      <w:r w:rsidR="0079724A" w:rsidRPr="000A7C5F">
        <w:rPr>
          <w:szCs w:val="28"/>
        </w:rPr>
        <w:t>isabled child fare even worse, with average losses of almost £10,000 per year</w:t>
      </w:r>
      <w:r w:rsidR="00245C35" w:rsidRPr="000A7C5F">
        <w:rPr>
          <w:rStyle w:val="FootnoteReference"/>
          <w:szCs w:val="28"/>
        </w:rPr>
        <w:footnoteReference w:id="16"/>
      </w:r>
      <w:r w:rsidR="0079724A" w:rsidRPr="000A7C5F">
        <w:rPr>
          <w:szCs w:val="28"/>
        </w:rPr>
        <w:t>.</w:t>
      </w:r>
      <w:r w:rsidR="009A7054" w:rsidRPr="000A7C5F">
        <w:rPr>
          <w:szCs w:val="28"/>
        </w:rPr>
        <w:t xml:space="preserve"> </w:t>
      </w:r>
    </w:p>
    <w:p w14:paraId="38495873" w14:textId="77777777" w:rsidR="001075C5" w:rsidRPr="000A7C5F" w:rsidRDefault="001075C5" w:rsidP="00E739BB">
      <w:pPr>
        <w:pStyle w:val="ListParagraph"/>
        <w:ind w:left="851" w:hanging="851"/>
        <w:rPr>
          <w:szCs w:val="28"/>
        </w:rPr>
      </w:pPr>
    </w:p>
    <w:p w14:paraId="65C23709" w14:textId="4BADB80D" w:rsidR="00466085" w:rsidRPr="000A7C5F" w:rsidRDefault="0079724A" w:rsidP="00794060">
      <w:pPr>
        <w:pStyle w:val="ListParagraph"/>
        <w:numPr>
          <w:ilvl w:val="0"/>
          <w:numId w:val="3"/>
        </w:numPr>
        <w:ind w:left="851" w:hanging="851"/>
        <w:rPr>
          <w:szCs w:val="28"/>
        </w:rPr>
      </w:pPr>
      <w:r w:rsidRPr="000A7C5F">
        <w:rPr>
          <w:szCs w:val="28"/>
        </w:rPr>
        <w:lastRenderedPageBreak/>
        <w:t>Under UC, anyone</w:t>
      </w:r>
      <w:r w:rsidR="009216BC" w:rsidRPr="000A7C5F">
        <w:rPr>
          <w:szCs w:val="28"/>
        </w:rPr>
        <w:t xml:space="preserve"> unable to earn enough through paid work </w:t>
      </w:r>
      <w:r w:rsidR="004F55FA" w:rsidRPr="000A7C5F">
        <w:rPr>
          <w:szCs w:val="28"/>
        </w:rPr>
        <w:t>is</w:t>
      </w:r>
      <w:r w:rsidR="009216BC" w:rsidRPr="000A7C5F">
        <w:rPr>
          <w:szCs w:val="28"/>
        </w:rPr>
        <w:t xml:space="preserve"> not entitled to benefits if living with a partner who earns above a certain </w:t>
      </w:r>
      <w:r w:rsidR="004F55FA" w:rsidRPr="000A7C5F">
        <w:rPr>
          <w:szCs w:val="28"/>
        </w:rPr>
        <w:t>threshold</w:t>
      </w:r>
      <w:r w:rsidR="009216BC" w:rsidRPr="000A7C5F">
        <w:rPr>
          <w:szCs w:val="28"/>
        </w:rPr>
        <w:t xml:space="preserve">. This prevents </w:t>
      </w:r>
      <w:r w:rsidR="0097479A" w:rsidRPr="000A7C5F">
        <w:rPr>
          <w:szCs w:val="28"/>
        </w:rPr>
        <w:t>couples from living together and having an equal right to family life</w:t>
      </w:r>
      <w:r w:rsidR="009A7054" w:rsidRPr="000A7C5F">
        <w:rPr>
          <w:rStyle w:val="FootnoteReference"/>
          <w:szCs w:val="28"/>
        </w:rPr>
        <w:footnoteReference w:id="17"/>
      </w:r>
      <w:r w:rsidR="0097479A" w:rsidRPr="000A7C5F">
        <w:rPr>
          <w:szCs w:val="28"/>
        </w:rPr>
        <w:t>. It also has the potential to trap Disabled women within abusive relationships through lack of financial independence</w:t>
      </w:r>
      <w:r w:rsidR="009A7054" w:rsidRPr="000A7C5F">
        <w:rPr>
          <w:rStyle w:val="FootnoteReference"/>
          <w:szCs w:val="28"/>
        </w:rPr>
        <w:footnoteReference w:id="18"/>
      </w:r>
      <w:r w:rsidR="0097479A" w:rsidRPr="000A7C5F">
        <w:rPr>
          <w:szCs w:val="28"/>
        </w:rPr>
        <w:t xml:space="preserve">. </w:t>
      </w:r>
    </w:p>
    <w:p w14:paraId="66C63035" w14:textId="77777777" w:rsidR="00466085" w:rsidRPr="000A7C5F" w:rsidRDefault="00466085" w:rsidP="00E739BB">
      <w:pPr>
        <w:pStyle w:val="ListParagraph"/>
        <w:ind w:left="851" w:hanging="851"/>
        <w:rPr>
          <w:szCs w:val="28"/>
        </w:rPr>
      </w:pPr>
    </w:p>
    <w:p w14:paraId="53F35F43" w14:textId="5C429188" w:rsidR="004B7A0C" w:rsidRPr="000A7C5F" w:rsidRDefault="004B7A0C" w:rsidP="00794060">
      <w:pPr>
        <w:pStyle w:val="ListParagraph"/>
        <w:numPr>
          <w:ilvl w:val="0"/>
          <w:numId w:val="3"/>
        </w:numPr>
        <w:ind w:left="851" w:hanging="851"/>
        <w:rPr>
          <w:szCs w:val="28"/>
        </w:rPr>
      </w:pPr>
      <w:r w:rsidRPr="000A7C5F">
        <w:rPr>
          <w:szCs w:val="28"/>
        </w:rPr>
        <w:t>Disabled women are more likely to experience sexual violence than non-Disabled women</w:t>
      </w:r>
      <w:r w:rsidRPr="000A7C5F">
        <w:rPr>
          <w:rStyle w:val="FootnoteReference"/>
          <w:szCs w:val="28"/>
        </w:rPr>
        <w:footnoteReference w:id="19"/>
      </w:r>
      <w:r w:rsidRPr="000A7C5F">
        <w:rPr>
          <w:szCs w:val="28"/>
        </w:rPr>
        <w:t>. Official figures show that s</w:t>
      </w:r>
      <w:r w:rsidR="00466085" w:rsidRPr="000A7C5F">
        <w:rPr>
          <w:szCs w:val="28"/>
        </w:rPr>
        <w:t>exual violence against Disabled women in England and Wales more than doubled between 2015 and 2021</w:t>
      </w:r>
      <w:r w:rsidR="0020585C" w:rsidRPr="000A7C5F">
        <w:rPr>
          <w:rStyle w:val="FootnoteReference"/>
          <w:szCs w:val="28"/>
        </w:rPr>
        <w:footnoteReference w:id="20"/>
      </w:r>
      <w:r w:rsidR="00BF778D" w:rsidRPr="000A7C5F">
        <w:rPr>
          <w:szCs w:val="28"/>
        </w:rPr>
        <w:t xml:space="preserve"> yet </w:t>
      </w:r>
      <w:r w:rsidRPr="000A7C5F">
        <w:rPr>
          <w:szCs w:val="28"/>
        </w:rPr>
        <w:t xml:space="preserve">overall </w:t>
      </w:r>
      <w:r w:rsidR="00237ABA" w:rsidRPr="000A7C5F">
        <w:rPr>
          <w:szCs w:val="28"/>
        </w:rPr>
        <w:t>prosecution rates</w:t>
      </w:r>
      <w:r w:rsidRPr="000A7C5F">
        <w:rPr>
          <w:szCs w:val="28"/>
        </w:rPr>
        <w:t xml:space="preserve"> for this type of crime</w:t>
      </w:r>
      <w:r w:rsidR="00237ABA" w:rsidRPr="000A7C5F">
        <w:rPr>
          <w:szCs w:val="28"/>
        </w:rPr>
        <w:t xml:space="preserve"> </w:t>
      </w:r>
      <w:r w:rsidR="00466085" w:rsidRPr="000A7C5F">
        <w:rPr>
          <w:szCs w:val="28"/>
        </w:rPr>
        <w:t>have sharply decreased since 2016/17</w:t>
      </w:r>
      <w:r w:rsidR="007A2EF5" w:rsidRPr="000A7C5F">
        <w:rPr>
          <w:rStyle w:val="FootnoteReference"/>
          <w:szCs w:val="28"/>
        </w:rPr>
        <w:footnoteReference w:id="21"/>
      </w:r>
      <w:r w:rsidR="0020585C" w:rsidRPr="000A7C5F">
        <w:rPr>
          <w:szCs w:val="28"/>
        </w:rPr>
        <w:t>.</w:t>
      </w:r>
      <w:r w:rsidR="007A2EF5" w:rsidRPr="000A7C5F">
        <w:rPr>
          <w:szCs w:val="28"/>
        </w:rPr>
        <w:t xml:space="preserve"> The Government itself has described the situation as “totally unacceptable”</w:t>
      </w:r>
      <w:r w:rsidR="007A2EF5" w:rsidRPr="000A7C5F">
        <w:rPr>
          <w:rStyle w:val="FootnoteReference"/>
          <w:szCs w:val="28"/>
        </w:rPr>
        <w:footnoteReference w:id="22"/>
      </w:r>
      <w:r w:rsidR="007A2EF5" w:rsidRPr="000A7C5F">
        <w:rPr>
          <w:szCs w:val="28"/>
        </w:rPr>
        <w:t>.</w:t>
      </w:r>
      <w:r w:rsidRPr="000A7C5F">
        <w:rPr>
          <w:szCs w:val="28"/>
        </w:rPr>
        <w:t xml:space="preserve"> There is a paucity of disaggregated data in this area</w:t>
      </w:r>
      <w:r w:rsidRPr="000A7C5F">
        <w:rPr>
          <w:rStyle w:val="FootnoteReference"/>
          <w:szCs w:val="28"/>
        </w:rPr>
        <w:footnoteReference w:id="23"/>
      </w:r>
      <w:r w:rsidRPr="000A7C5F">
        <w:rPr>
          <w:szCs w:val="28"/>
        </w:rPr>
        <w:t xml:space="preserve">. </w:t>
      </w:r>
    </w:p>
    <w:p w14:paraId="290149F0" w14:textId="77777777" w:rsidR="00466085" w:rsidRPr="000A7C5F" w:rsidRDefault="00466085" w:rsidP="00E739BB">
      <w:pPr>
        <w:pStyle w:val="ListParagraph"/>
        <w:rPr>
          <w:szCs w:val="28"/>
        </w:rPr>
      </w:pPr>
    </w:p>
    <w:p w14:paraId="144A27F4" w14:textId="19C16551" w:rsidR="00E26D75" w:rsidRPr="000A7C5F" w:rsidRDefault="007A2EF5" w:rsidP="00794060">
      <w:pPr>
        <w:pStyle w:val="ListParagraph"/>
        <w:numPr>
          <w:ilvl w:val="0"/>
          <w:numId w:val="3"/>
        </w:numPr>
        <w:ind w:left="851" w:hanging="851"/>
        <w:rPr>
          <w:szCs w:val="28"/>
        </w:rPr>
      </w:pPr>
      <w:r w:rsidRPr="000A7C5F">
        <w:rPr>
          <w:szCs w:val="28"/>
        </w:rPr>
        <w:lastRenderedPageBreak/>
        <w:t xml:space="preserve">DDPOs report </w:t>
      </w:r>
      <w:r w:rsidR="002856E4" w:rsidRPr="000A7C5F">
        <w:rPr>
          <w:szCs w:val="28"/>
        </w:rPr>
        <w:t xml:space="preserve">how </w:t>
      </w:r>
      <w:r w:rsidR="00237ABA" w:rsidRPr="000A7C5F">
        <w:rPr>
          <w:szCs w:val="28"/>
        </w:rPr>
        <w:t xml:space="preserve">police </w:t>
      </w:r>
      <w:r w:rsidRPr="000A7C5F">
        <w:rPr>
          <w:szCs w:val="28"/>
        </w:rPr>
        <w:t xml:space="preserve">fail </w:t>
      </w:r>
      <w:r w:rsidR="00237ABA" w:rsidRPr="000A7C5F">
        <w:rPr>
          <w:szCs w:val="28"/>
        </w:rPr>
        <w:t>to take seriously Disabled women report</w:t>
      </w:r>
      <w:r w:rsidR="0079724A" w:rsidRPr="000A7C5F">
        <w:rPr>
          <w:szCs w:val="28"/>
        </w:rPr>
        <w:t>ing</w:t>
      </w:r>
      <w:r w:rsidR="00237ABA" w:rsidRPr="000A7C5F">
        <w:rPr>
          <w:szCs w:val="28"/>
        </w:rPr>
        <w:t xml:space="preserve"> sex crimes</w:t>
      </w:r>
      <w:r w:rsidR="004B7A0C" w:rsidRPr="000A7C5F">
        <w:rPr>
          <w:rStyle w:val="FootnoteReference"/>
          <w:szCs w:val="28"/>
        </w:rPr>
        <w:footnoteReference w:id="24"/>
      </w:r>
      <w:r w:rsidR="004B7A0C" w:rsidRPr="000A7C5F">
        <w:rPr>
          <w:szCs w:val="28"/>
        </w:rPr>
        <w:t xml:space="preserve">. The Government </w:t>
      </w:r>
      <w:r w:rsidR="00E26D75" w:rsidRPr="000A7C5F">
        <w:rPr>
          <w:szCs w:val="28"/>
        </w:rPr>
        <w:t>recognises that it needs to address lack of</w:t>
      </w:r>
      <w:r w:rsidR="004B7A0C" w:rsidRPr="000A7C5F">
        <w:rPr>
          <w:szCs w:val="28"/>
        </w:rPr>
        <w:t xml:space="preserve"> confidence in the police</w:t>
      </w:r>
      <w:r w:rsidR="00E26D75" w:rsidRPr="000A7C5F">
        <w:rPr>
          <w:szCs w:val="28"/>
        </w:rPr>
        <w:t xml:space="preserve"> and CPS</w:t>
      </w:r>
      <w:r w:rsidR="004B7A0C" w:rsidRPr="000A7C5F">
        <w:rPr>
          <w:szCs w:val="28"/>
        </w:rPr>
        <w:t xml:space="preserve"> among Disabled victims</w:t>
      </w:r>
      <w:r w:rsidR="00E26D75" w:rsidRPr="000A7C5F">
        <w:rPr>
          <w:rStyle w:val="FootnoteReference"/>
          <w:szCs w:val="28"/>
        </w:rPr>
        <w:footnoteReference w:id="25"/>
      </w:r>
      <w:r w:rsidR="004B7A0C" w:rsidRPr="000A7C5F">
        <w:rPr>
          <w:szCs w:val="28"/>
        </w:rPr>
        <w:t>.</w:t>
      </w:r>
    </w:p>
    <w:p w14:paraId="7BEB7A81" w14:textId="77777777" w:rsidR="00E26D75" w:rsidRPr="000A7C5F" w:rsidRDefault="00E26D75" w:rsidP="00E739BB">
      <w:pPr>
        <w:pStyle w:val="ListParagraph"/>
        <w:ind w:left="851" w:hanging="851"/>
        <w:rPr>
          <w:szCs w:val="28"/>
        </w:rPr>
      </w:pPr>
    </w:p>
    <w:p w14:paraId="1A1AA83E" w14:textId="027BAB64" w:rsidR="001075C5" w:rsidRPr="000A7C5F" w:rsidRDefault="00E26D75" w:rsidP="00794060">
      <w:pPr>
        <w:pStyle w:val="ListParagraph"/>
        <w:numPr>
          <w:ilvl w:val="0"/>
          <w:numId w:val="3"/>
        </w:numPr>
        <w:ind w:left="851" w:hanging="851"/>
        <w:rPr>
          <w:szCs w:val="28"/>
        </w:rPr>
      </w:pPr>
      <w:r w:rsidRPr="000A7C5F">
        <w:rPr>
          <w:szCs w:val="28"/>
        </w:rPr>
        <w:t>Disabled women are more likely to experience domestic abuse – according to the ONS in 2018, 16.8% of Disabled women were subjected to domestic abuse compared to 6.3% of non-Disabled women</w:t>
      </w:r>
      <w:r w:rsidR="00DF1E0E" w:rsidRPr="000A7C5F">
        <w:rPr>
          <w:rStyle w:val="FootnoteReference"/>
          <w:szCs w:val="28"/>
        </w:rPr>
        <w:footnoteReference w:id="26"/>
      </w:r>
      <w:r w:rsidRPr="000A7C5F">
        <w:rPr>
          <w:szCs w:val="28"/>
        </w:rPr>
        <w:t xml:space="preserve"> – yet there</w:t>
      </w:r>
      <w:r w:rsidR="00E85D3D" w:rsidRPr="000A7C5F">
        <w:rPr>
          <w:szCs w:val="28"/>
        </w:rPr>
        <w:t xml:space="preserve"> is </w:t>
      </w:r>
      <w:r w:rsidRPr="000A7C5F">
        <w:rPr>
          <w:szCs w:val="28"/>
        </w:rPr>
        <w:t xml:space="preserve">a </w:t>
      </w:r>
      <w:r w:rsidR="00E85D3D" w:rsidRPr="000A7C5F">
        <w:rPr>
          <w:szCs w:val="28"/>
        </w:rPr>
        <w:t>shortage of support exacerbated by cuts</w:t>
      </w:r>
      <w:r w:rsidR="009A7054" w:rsidRPr="000A7C5F">
        <w:rPr>
          <w:rStyle w:val="FootnoteReference"/>
          <w:szCs w:val="28"/>
        </w:rPr>
        <w:footnoteReference w:id="27"/>
      </w:r>
      <w:r w:rsidR="00E85D3D" w:rsidRPr="000A7C5F">
        <w:rPr>
          <w:szCs w:val="28"/>
        </w:rPr>
        <w:t>. Th</w:t>
      </w:r>
      <w:r w:rsidR="009A7054" w:rsidRPr="000A7C5F">
        <w:rPr>
          <w:szCs w:val="28"/>
        </w:rPr>
        <w:t>is inc</w:t>
      </w:r>
      <w:r w:rsidRPr="000A7C5F">
        <w:rPr>
          <w:szCs w:val="28"/>
        </w:rPr>
        <w:t>l</w:t>
      </w:r>
      <w:r w:rsidR="009A7054" w:rsidRPr="000A7C5F">
        <w:rPr>
          <w:szCs w:val="28"/>
        </w:rPr>
        <w:t>udes</w:t>
      </w:r>
      <w:r w:rsidR="00E85D3D" w:rsidRPr="000A7C5F">
        <w:rPr>
          <w:szCs w:val="28"/>
        </w:rPr>
        <w:t xml:space="preserve"> an absence of accessible refuges and safe accommodation and lack of mainstream domestic abuse support services equipped to work with </w:t>
      </w:r>
      <w:r w:rsidR="002856E4" w:rsidRPr="000A7C5F">
        <w:rPr>
          <w:szCs w:val="28"/>
        </w:rPr>
        <w:t>D</w:t>
      </w:r>
      <w:r w:rsidR="00E85D3D" w:rsidRPr="000A7C5F">
        <w:rPr>
          <w:szCs w:val="28"/>
        </w:rPr>
        <w:t>isabled wome</w:t>
      </w:r>
      <w:r w:rsidR="00DF1E0E" w:rsidRPr="000A7C5F">
        <w:rPr>
          <w:szCs w:val="28"/>
        </w:rPr>
        <w:t>n</w:t>
      </w:r>
      <w:r w:rsidR="00E85D3D" w:rsidRPr="000A7C5F">
        <w:rPr>
          <w:szCs w:val="28"/>
        </w:rPr>
        <w:t xml:space="preserve">. </w:t>
      </w:r>
      <w:r w:rsidR="00DF1E0E" w:rsidRPr="000A7C5F">
        <w:rPr>
          <w:szCs w:val="28"/>
        </w:rPr>
        <w:t>A BBC investigation in 2018 found that just one in ten domestic violence refuge spaces in the UK is accessible to Disabled people with physical impairments</w:t>
      </w:r>
      <w:r w:rsidR="00DF1E0E" w:rsidRPr="000A7C5F">
        <w:rPr>
          <w:rStyle w:val="FootnoteReference"/>
          <w:szCs w:val="28"/>
        </w:rPr>
        <w:footnoteReference w:id="28"/>
      </w:r>
      <w:r w:rsidR="00DF1E0E" w:rsidRPr="000A7C5F">
        <w:rPr>
          <w:szCs w:val="28"/>
        </w:rPr>
        <w:t xml:space="preserve">. </w:t>
      </w:r>
    </w:p>
    <w:p w14:paraId="0BB523F9" w14:textId="77777777" w:rsidR="001075C5" w:rsidRPr="000A7C5F" w:rsidRDefault="001075C5" w:rsidP="00E739BB">
      <w:pPr>
        <w:pStyle w:val="ListParagraph"/>
        <w:rPr>
          <w:szCs w:val="28"/>
        </w:rPr>
      </w:pPr>
    </w:p>
    <w:p w14:paraId="1B09F572" w14:textId="6CCB5E8F" w:rsidR="001075C5" w:rsidRPr="000A7C5F" w:rsidRDefault="00DF1E0E" w:rsidP="00794060">
      <w:pPr>
        <w:pStyle w:val="ListParagraph"/>
        <w:numPr>
          <w:ilvl w:val="0"/>
          <w:numId w:val="3"/>
        </w:numPr>
        <w:ind w:left="851" w:hanging="851"/>
        <w:rPr>
          <w:szCs w:val="28"/>
        </w:rPr>
      </w:pPr>
      <w:r w:rsidRPr="000A7C5F">
        <w:rPr>
          <w:szCs w:val="28"/>
        </w:rPr>
        <w:lastRenderedPageBreak/>
        <w:t>A new</w:t>
      </w:r>
      <w:r w:rsidR="0082579A" w:rsidRPr="000A7C5F">
        <w:rPr>
          <w:szCs w:val="28"/>
        </w:rPr>
        <w:t xml:space="preserve"> programme</w:t>
      </w:r>
      <w:r w:rsidR="0064665D" w:rsidRPr="000A7C5F">
        <w:rPr>
          <w:szCs w:val="28"/>
        </w:rPr>
        <w:t xml:space="preserve"> commissioned by LAs and</w:t>
      </w:r>
      <w:r w:rsidRPr="000A7C5F">
        <w:rPr>
          <w:szCs w:val="28"/>
        </w:rPr>
        <w:t xml:space="preserve"> run by the charity “Pause”</w:t>
      </w:r>
      <w:r w:rsidR="00E361B6" w:rsidRPr="000A7C5F">
        <w:rPr>
          <w:rStyle w:val="FootnoteReference"/>
          <w:szCs w:val="28"/>
        </w:rPr>
        <w:footnoteReference w:id="29"/>
      </w:r>
      <w:r w:rsidRPr="000A7C5F">
        <w:rPr>
          <w:szCs w:val="28"/>
        </w:rPr>
        <w:t xml:space="preserve"> </w:t>
      </w:r>
      <w:r w:rsidR="0082579A" w:rsidRPr="000A7C5F">
        <w:rPr>
          <w:szCs w:val="28"/>
        </w:rPr>
        <w:t xml:space="preserve">uses coercion to influence </w:t>
      </w:r>
      <w:r w:rsidRPr="000A7C5F">
        <w:rPr>
          <w:szCs w:val="28"/>
        </w:rPr>
        <w:t>D</w:t>
      </w:r>
      <w:r w:rsidR="0082579A" w:rsidRPr="000A7C5F">
        <w:rPr>
          <w:szCs w:val="28"/>
        </w:rPr>
        <w:t>isabled women’s reproductive choices.</w:t>
      </w:r>
      <w:r w:rsidR="002D4450" w:rsidRPr="000A7C5F">
        <w:rPr>
          <w:rStyle w:val="FootnoteReference"/>
          <w:szCs w:val="28"/>
        </w:rPr>
        <w:footnoteReference w:id="30"/>
      </w:r>
      <w:r w:rsidR="0082579A" w:rsidRPr="000A7C5F">
        <w:rPr>
          <w:szCs w:val="28"/>
        </w:rPr>
        <w:t xml:space="preserve"> </w:t>
      </w:r>
      <w:r w:rsidR="003377E4" w:rsidRPr="000A7C5F">
        <w:rPr>
          <w:szCs w:val="28"/>
        </w:rPr>
        <w:t>The charity website lists 27 different areas within England where they work</w:t>
      </w:r>
      <w:r w:rsidR="003377E4" w:rsidRPr="000A7C5F">
        <w:rPr>
          <w:rStyle w:val="FootnoteReference"/>
          <w:szCs w:val="28"/>
        </w:rPr>
        <w:footnoteReference w:id="31"/>
      </w:r>
      <w:r w:rsidR="003377E4" w:rsidRPr="000A7C5F">
        <w:rPr>
          <w:szCs w:val="28"/>
        </w:rPr>
        <w:t xml:space="preserve">. </w:t>
      </w:r>
      <w:r w:rsidR="0082579A" w:rsidRPr="000A7C5F">
        <w:rPr>
          <w:szCs w:val="28"/>
        </w:rPr>
        <w:t xml:space="preserve">Women experiencing distress </w:t>
      </w:r>
      <w:r w:rsidRPr="000A7C5F">
        <w:rPr>
          <w:szCs w:val="28"/>
        </w:rPr>
        <w:t>receive supp</w:t>
      </w:r>
      <w:r w:rsidR="0082579A" w:rsidRPr="000A7C5F">
        <w:rPr>
          <w:szCs w:val="28"/>
        </w:rPr>
        <w:t>ort condition</w:t>
      </w:r>
      <w:r w:rsidRPr="000A7C5F">
        <w:rPr>
          <w:szCs w:val="28"/>
        </w:rPr>
        <w:t>al</w:t>
      </w:r>
      <w:r w:rsidR="0082579A" w:rsidRPr="000A7C5F">
        <w:rPr>
          <w:szCs w:val="28"/>
        </w:rPr>
        <w:t xml:space="preserve"> o</w:t>
      </w:r>
      <w:r w:rsidRPr="000A7C5F">
        <w:rPr>
          <w:szCs w:val="28"/>
        </w:rPr>
        <w:t>n</w:t>
      </w:r>
      <w:r w:rsidR="0082579A" w:rsidRPr="000A7C5F">
        <w:rPr>
          <w:szCs w:val="28"/>
        </w:rPr>
        <w:t xml:space="preserve"> us</w:t>
      </w:r>
      <w:r w:rsidRPr="000A7C5F">
        <w:rPr>
          <w:szCs w:val="28"/>
        </w:rPr>
        <w:t>e of</w:t>
      </w:r>
      <w:r w:rsidR="0082579A" w:rsidRPr="000A7C5F">
        <w:rPr>
          <w:szCs w:val="28"/>
        </w:rPr>
        <w:t xml:space="preserve"> long-lasting contraception</w:t>
      </w:r>
      <w:r w:rsidR="0064665D" w:rsidRPr="000A7C5F">
        <w:rPr>
          <w:szCs w:val="28"/>
        </w:rPr>
        <w:t xml:space="preserve">. </w:t>
      </w:r>
      <w:r w:rsidR="003377E4" w:rsidRPr="000A7C5F">
        <w:rPr>
          <w:szCs w:val="28"/>
        </w:rPr>
        <w:t>The charity describes its approach as one where they encourage women to “take responsibility for their actions”</w:t>
      </w:r>
      <w:r w:rsidR="003377E4" w:rsidRPr="000A7C5F">
        <w:rPr>
          <w:rStyle w:val="FootnoteReference"/>
          <w:szCs w:val="28"/>
        </w:rPr>
        <w:footnoteReference w:id="32"/>
      </w:r>
      <w:r w:rsidR="003377E4" w:rsidRPr="000A7C5F">
        <w:rPr>
          <w:szCs w:val="28"/>
        </w:rPr>
        <w:t xml:space="preserve">. </w:t>
      </w:r>
      <w:r w:rsidR="0064665D" w:rsidRPr="000A7C5F">
        <w:rPr>
          <w:szCs w:val="28"/>
        </w:rPr>
        <w:t>One woman was told by her social worker she could not have contact with her children unless she agreed to participate in the programme</w:t>
      </w:r>
      <w:r w:rsidR="00E361B6" w:rsidRPr="000A7C5F">
        <w:rPr>
          <w:rStyle w:val="FootnoteReference"/>
          <w:szCs w:val="28"/>
        </w:rPr>
        <w:footnoteReference w:id="33"/>
      </w:r>
      <w:r w:rsidR="00E361B6" w:rsidRPr="000A7C5F">
        <w:rPr>
          <w:szCs w:val="28"/>
        </w:rPr>
        <w:t>.</w:t>
      </w:r>
      <w:r w:rsidR="0064665D" w:rsidRPr="000A7C5F">
        <w:rPr>
          <w:szCs w:val="28"/>
        </w:rPr>
        <w:t xml:space="preserve"> Scottish politicians have voiced opposition to the programme’s extension into Scotland on the grounds that it is contrary to a human rights approach</w:t>
      </w:r>
      <w:r w:rsidR="0064665D" w:rsidRPr="000A7C5F">
        <w:rPr>
          <w:rStyle w:val="FootnoteReference"/>
          <w:szCs w:val="28"/>
        </w:rPr>
        <w:footnoteReference w:id="34"/>
      </w:r>
      <w:r w:rsidR="0064665D" w:rsidRPr="000A7C5F">
        <w:rPr>
          <w:szCs w:val="28"/>
        </w:rPr>
        <w:t>.</w:t>
      </w:r>
    </w:p>
    <w:p w14:paraId="6819D427" w14:textId="77777777" w:rsidR="001075C5" w:rsidRPr="000A7C5F" w:rsidRDefault="001075C5" w:rsidP="00E739BB">
      <w:pPr>
        <w:pStyle w:val="ListParagraph"/>
        <w:rPr>
          <w:szCs w:val="28"/>
        </w:rPr>
      </w:pPr>
    </w:p>
    <w:p w14:paraId="46F5B0E6" w14:textId="6DA7FE3D" w:rsidR="0097165F" w:rsidRPr="0097165F" w:rsidRDefault="00FF046D" w:rsidP="00BB6A41">
      <w:pPr>
        <w:pStyle w:val="ListParagraph"/>
        <w:numPr>
          <w:ilvl w:val="0"/>
          <w:numId w:val="3"/>
        </w:numPr>
        <w:ind w:left="851" w:hanging="851"/>
        <w:rPr>
          <w:szCs w:val="28"/>
        </w:rPr>
      </w:pPr>
      <w:r w:rsidRPr="000A7C5F">
        <w:rPr>
          <w:szCs w:val="28"/>
        </w:rPr>
        <w:t>The UK has signed but not ratified the Istanbul Convention</w:t>
      </w:r>
      <w:r w:rsidRPr="000A7C5F">
        <w:t xml:space="preserve"> </w:t>
      </w:r>
      <w:r w:rsidRPr="000A7C5F">
        <w:rPr>
          <w:szCs w:val="28"/>
        </w:rPr>
        <w:t>(Action against violence against women and domestic violence)</w:t>
      </w:r>
      <w:r w:rsidRPr="000A7C5F">
        <w:rPr>
          <w:rStyle w:val="FootnoteReference"/>
          <w:szCs w:val="28"/>
        </w:rPr>
        <w:t xml:space="preserve"> </w:t>
      </w:r>
      <w:r w:rsidRPr="000A7C5F">
        <w:rPr>
          <w:rStyle w:val="FootnoteReference"/>
          <w:szCs w:val="28"/>
        </w:rPr>
        <w:footnoteReference w:id="35"/>
      </w:r>
      <w:r w:rsidRPr="000A7C5F">
        <w:rPr>
          <w:szCs w:val="28"/>
        </w:rPr>
        <w:t>.</w:t>
      </w:r>
    </w:p>
    <w:p w14:paraId="44FA4981" w14:textId="5D19EF14" w:rsidR="001075C5" w:rsidRPr="000A7C5F" w:rsidRDefault="00C3214F" w:rsidP="00BB6A41">
      <w:pPr>
        <w:pStyle w:val="ArticleHeading"/>
      </w:pPr>
      <w:r w:rsidRPr="000A7C5F">
        <w:lastRenderedPageBreak/>
        <w:t>Article 7</w:t>
      </w:r>
      <w:r w:rsidR="00B93278" w:rsidRPr="000A7C5F">
        <w:t xml:space="preserve"> – Disabled children and young people</w:t>
      </w:r>
      <w:r w:rsidR="002856E4" w:rsidRPr="000A7C5F">
        <w:t xml:space="preserve"> (CYP)</w:t>
      </w:r>
    </w:p>
    <w:p w14:paraId="21C7E5C6" w14:textId="1D31B5CB" w:rsidR="001075C5" w:rsidRPr="000A7C5F" w:rsidRDefault="00E052E5" w:rsidP="00794060">
      <w:pPr>
        <w:pStyle w:val="ListParagraph"/>
        <w:numPr>
          <w:ilvl w:val="0"/>
          <w:numId w:val="3"/>
        </w:numPr>
        <w:ind w:left="851" w:hanging="851"/>
        <w:rPr>
          <w:szCs w:val="28"/>
        </w:rPr>
      </w:pPr>
      <w:r w:rsidRPr="000A7C5F">
        <w:rPr>
          <w:szCs w:val="28"/>
        </w:rPr>
        <w:t>Lack of adequate and accessible services has led to a</w:t>
      </w:r>
      <w:r w:rsidR="00B93278" w:rsidRPr="000A7C5F">
        <w:rPr>
          <w:szCs w:val="28"/>
        </w:rPr>
        <w:t xml:space="preserve"> sharp</w:t>
      </w:r>
      <w:r w:rsidRPr="000A7C5F">
        <w:rPr>
          <w:szCs w:val="28"/>
        </w:rPr>
        <w:t xml:space="preserve"> contrast between the lives of Disabled and non-Disabled </w:t>
      </w:r>
      <w:r w:rsidR="002856E4" w:rsidRPr="000A7C5F">
        <w:rPr>
          <w:szCs w:val="28"/>
        </w:rPr>
        <w:t>CYP</w:t>
      </w:r>
      <w:r w:rsidR="00F13A17" w:rsidRPr="000A7C5F">
        <w:rPr>
          <w:rStyle w:val="FootnoteReference"/>
          <w:szCs w:val="28"/>
        </w:rPr>
        <w:footnoteReference w:id="36"/>
      </w:r>
      <w:r w:rsidRPr="000A7C5F">
        <w:rPr>
          <w:szCs w:val="28"/>
        </w:rPr>
        <w:t xml:space="preserve">. </w:t>
      </w:r>
      <w:r w:rsidR="009B4DB4" w:rsidRPr="000A7C5F">
        <w:rPr>
          <w:szCs w:val="28"/>
        </w:rPr>
        <w:t xml:space="preserve">Pre-pandemic economic analysis showed an annual funding gap of £2.1 billion for health and social care for Disabled </w:t>
      </w:r>
      <w:r w:rsidR="00FB4F94" w:rsidRPr="000A7C5F">
        <w:rPr>
          <w:szCs w:val="28"/>
        </w:rPr>
        <w:t>CYP</w:t>
      </w:r>
      <w:r w:rsidR="009B4DB4" w:rsidRPr="000A7C5F">
        <w:rPr>
          <w:szCs w:val="28"/>
        </w:rPr>
        <w:t xml:space="preserve"> and their families</w:t>
      </w:r>
      <w:r w:rsidR="00F13A17" w:rsidRPr="000A7C5F">
        <w:rPr>
          <w:rStyle w:val="FootnoteReference"/>
          <w:szCs w:val="28"/>
        </w:rPr>
        <w:footnoteReference w:id="37"/>
      </w:r>
      <w:r w:rsidR="009B4DB4" w:rsidRPr="000A7C5F">
        <w:rPr>
          <w:szCs w:val="28"/>
        </w:rPr>
        <w:t xml:space="preserve">. </w:t>
      </w:r>
      <w:r w:rsidR="00503C03" w:rsidRPr="000A7C5F">
        <w:rPr>
          <w:szCs w:val="28"/>
        </w:rPr>
        <w:t>Support s</w:t>
      </w:r>
      <w:r w:rsidRPr="000A7C5F">
        <w:rPr>
          <w:szCs w:val="28"/>
        </w:rPr>
        <w:t>ervices</w:t>
      </w:r>
      <w:r w:rsidR="00503C03" w:rsidRPr="000A7C5F">
        <w:rPr>
          <w:szCs w:val="28"/>
        </w:rPr>
        <w:t xml:space="preserve"> for Disabled CYP and their families</w:t>
      </w:r>
      <w:r w:rsidRPr="000A7C5F">
        <w:rPr>
          <w:szCs w:val="28"/>
        </w:rPr>
        <w:t xml:space="preserve"> stopped or reduced </w:t>
      </w:r>
      <w:r w:rsidR="00503C03" w:rsidRPr="000A7C5F">
        <w:rPr>
          <w:szCs w:val="28"/>
        </w:rPr>
        <w:t xml:space="preserve">during the pandemic </w:t>
      </w:r>
      <w:r w:rsidRPr="000A7C5F">
        <w:rPr>
          <w:szCs w:val="28"/>
        </w:rPr>
        <w:t xml:space="preserve">and </w:t>
      </w:r>
      <w:r w:rsidR="00503C03" w:rsidRPr="000A7C5F">
        <w:rPr>
          <w:szCs w:val="28"/>
        </w:rPr>
        <w:t xml:space="preserve">were </w:t>
      </w:r>
      <w:r w:rsidRPr="000A7C5F">
        <w:rPr>
          <w:szCs w:val="28"/>
        </w:rPr>
        <w:t>slow to return</w:t>
      </w:r>
      <w:r w:rsidR="009B4DB4" w:rsidRPr="000A7C5F">
        <w:rPr>
          <w:rStyle w:val="FootnoteReference"/>
          <w:szCs w:val="28"/>
        </w:rPr>
        <w:footnoteReference w:id="38"/>
      </w:r>
      <w:r w:rsidRPr="000A7C5F">
        <w:rPr>
          <w:szCs w:val="28"/>
        </w:rPr>
        <w:t xml:space="preserve">. </w:t>
      </w:r>
      <w:r w:rsidR="00B93278" w:rsidRPr="000A7C5F">
        <w:rPr>
          <w:szCs w:val="28"/>
        </w:rPr>
        <w:t xml:space="preserve">This included services run and commissioned by LAs as well as charities, and was impacted by easements to the Children and Families Act introduced by </w:t>
      </w:r>
      <w:proofErr w:type="spellStart"/>
      <w:r w:rsidR="00B93278" w:rsidRPr="000A7C5F">
        <w:rPr>
          <w:szCs w:val="28"/>
        </w:rPr>
        <w:t>WeG</w:t>
      </w:r>
      <w:proofErr w:type="spellEnd"/>
      <w:r w:rsidR="00B93278" w:rsidRPr="000A7C5F">
        <w:rPr>
          <w:szCs w:val="28"/>
        </w:rPr>
        <w:t>.</w:t>
      </w:r>
      <w:r w:rsidR="00B93278" w:rsidRPr="000A7C5F">
        <w:rPr>
          <w:rStyle w:val="FootnoteReference"/>
          <w:szCs w:val="28"/>
        </w:rPr>
        <w:footnoteReference w:id="39"/>
      </w:r>
    </w:p>
    <w:p w14:paraId="3B4DB88B" w14:textId="77777777" w:rsidR="001075C5" w:rsidRPr="000A7C5F" w:rsidRDefault="001075C5" w:rsidP="00E739BB">
      <w:pPr>
        <w:pStyle w:val="ListParagraph"/>
        <w:ind w:left="851" w:hanging="851"/>
        <w:rPr>
          <w:szCs w:val="28"/>
        </w:rPr>
      </w:pPr>
    </w:p>
    <w:p w14:paraId="76910425" w14:textId="0CC6A251" w:rsidR="000B23E1" w:rsidRPr="000A7C5F" w:rsidRDefault="00E052E5" w:rsidP="00794060">
      <w:pPr>
        <w:pStyle w:val="ListParagraph"/>
        <w:numPr>
          <w:ilvl w:val="0"/>
          <w:numId w:val="3"/>
        </w:numPr>
        <w:ind w:left="851" w:hanging="851"/>
        <w:rPr>
          <w:szCs w:val="28"/>
        </w:rPr>
      </w:pPr>
      <w:r w:rsidRPr="000A7C5F">
        <w:rPr>
          <w:szCs w:val="28"/>
        </w:rPr>
        <w:t>Disabled children and their families are hit by similar issues to adults in terms of burdensome benefit re/assessments and loss of entitlements due to harsh application of eligibility criteria.</w:t>
      </w:r>
      <w:r w:rsidRPr="000A7C5F">
        <w:rPr>
          <w:rStyle w:val="FootnoteReference"/>
          <w:szCs w:val="28"/>
        </w:rPr>
        <w:footnoteReference w:id="40"/>
      </w:r>
      <w:r w:rsidRPr="000A7C5F">
        <w:rPr>
          <w:szCs w:val="28"/>
        </w:rPr>
        <w:t xml:space="preserve"> </w:t>
      </w:r>
    </w:p>
    <w:p w14:paraId="3CE93795" w14:textId="3B1E484A" w:rsidR="00E052E5" w:rsidRPr="000A7C5F" w:rsidRDefault="00E052E5" w:rsidP="00BB6A41">
      <w:pPr>
        <w:pStyle w:val="ArticleHeading"/>
      </w:pPr>
      <w:r w:rsidRPr="000A7C5F">
        <w:t>Article 9</w:t>
      </w:r>
      <w:r w:rsidR="00B93278" w:rsidRPr="000A7C5F">
        <w:t xml:space="preserve"> </w:t>
      </w:r>
      <w:r w:rsidR="00560018">
        <w:t>–</w:t>
      </w:r>
      <w:r w:rsidR="00B93278" w:rsidRPr="000A7C5F">
        <w:t xml:space="preserve"> Accessibility</w:t>
      </w:r>
    </w:p>
    <w:p w14:paraId="472FD20A" w14:textId="0B5184A8" w:rsidR="004E4AFC" w:rsidRPr="000A7C5F" w:rsidRDefault="00031192" w:rsidP="00794060">
      <w:pPr>
        <w:pStyle w:val="ListParagraph"/>
        <w:numPr>
          <w:ilvl w:val="0"/>
          <w:numId w:val="3"/>
        </w:numPr>
        <w:ind w:left="851" w:hanging="851"/>
        <w:rPr>
          <w:szCs w:val="28"/>
        </w:rPr>
      </w:pPr>
      <w:r w:rsidRPr="000A7C5F">
        <w:rPr>
          <w:szCs w:val="28"/>
        </w:rPr>
        <w:t>Digital exclusion</w:t>
      </w:r>
      <w:r w:rsidR="00716F1A" w:rsidRPr="000A7C5F">
        <w:rPr>
          <w:szCs w:val="28"/>
        </w:rPr>
        <w:t xml:space="preserve"> remains a significant issue for DDP</w:t>
      </w:r>
      <w:r w:rsidR="009A7286" w:rsidRPr="000A7C5F">
        <w:rPr>
          <w:rStyle w:val="FootnoteReference"/>
          <w:szCs w:val="28"/>
        </w:rPr>
        <w:footnoteReference w:id="41"/>
      </w:r>
      <w:r w:rsidR="00716F1A" w:rsidRPr="000A7C5F">
        <w:rPr>
          <w:szCs w:val="28"/>
        </w:rPr>
        <w:t xml:space="preserve">. This is a growing barrier across all areas of life including bill payments, </w:t>
      </w:r>
      <w:r w:rsidR="00716F1A" w:rsidRPr="000A7C5F">
        <w:rPr>
          <w:szCs w:val="28"/>
        </w:rPr>
        <w:lastRenderedPageBreak/>
        <w:t>medical te</w:t>
      </w:r>
      <w:r w:rsidR="009A7286" w:rsidRPr="000A7C5F">
        <w:rPr>
          <w:szCs w:val="28"/>
        </w:rPr>
        <w:t>st</w:t>
      </w:r>
      <w:r w:rsidR="00716F1A" w:rsidRPr="000A7C5F">
        <w:rPr>
          <w:szCs w:val="28"/>
        </w:rPr>
        <w:t xml:space="preserve">s, </w:t>
      </w:r>
      <w:r w:rsidR="004E4AFC" w:rsidRPr="000A7C5F">
        <w:rPr>
          <w:szCs w:val="28"/>
        </w:rPr>
        <w:t>parking charges as well as the benefit</w:t>
      </w:r>
      <w:r w:rsidR="00FB4F94" w:rsidRPr="000A7C5F">
        <w:rPr>
          <w:szCs w:val="28"/>
        </w:rPr>
        <w:t>s</w:t>
      </w:r>
      <w:r w:rsidR="004E4AFC" w:rsidRPr="000A7C5F">
        <w:rPr>
          <w:szCs w:val="28"/>
        </w:rPr>
        <w:t xml:space="preserve"> system</w:t>
      </w:r>
      <w:r w:rsidR="004E4AFC" w:rsidRPr="000A7C5F">
        <w:rPr>
          <w:rStyle w:val="FootnoteReference"/>
          <w:szCs w:val="28"/>
        </w:rPr>
        <w:footnoteReference w:id="42"/>
      </w:r>
      <w:r w:rsidR="004E4AFC" w:rsidRPr="000A7C5F">
        <w:rPr>
          <w:szCs w:val="28"/>
        </w:rPr>
        <w:t xml:space="preserve">. The cost </w:t>
      </w:r>
      <w:r w:rsidR="00D83EA7" w:rsidRPr="000A7C5F">
        <w:rPr>
          <w:szCs w:val="28"/>
        </w:rPr>
        <w:t xml:space="preserve">of </w:t>
      </w:r>
      <w:r w:rsidR="004E4AFC" w:rsidRPr="000A7C5F">
        <w:rPr>
          <w:szCs w:val="28"/>
        </w:rPr>
        <w:t xml:space="preserve">digital technology for those on benefits and low incomes is one aspect of this, lack of support to use technology is another. Initiatives such as digital skills training are unable to help groups of people who require </w:t>
      </w:r>
      <w:r w:rsidR="00FB4F94" w:rsidRPr="000A7C5F">
        <w:rPr>
          <w:szCs w:val="28"/>
        </w:rPr>
        <w:t>ongoing</w:t>
      </w:r>
      <w:r w:rsidR="009A7286" w:rsidRPr="000A7C5F">
        <w:rPr>
          <w:szCs w:val="28"/>
        </w:rPr>
        <w:t xml:space="preserve"> </w:t>
      </w:r>
      <w:r w:rsidR="004E4AFC" w:rsidRPr="000A7C5F">
        <w:rPr>
          <w:szCs w:val="28"/>
        </w:rPr>
        <w:t>physical, mental or cognitive support</w:t>
      </w:r>
      <w:r w:rsidR="009A7286" w:rsidRPr="000A7C5F">
        <w:rPr>
          <w:szCs w:val="28"/>
        </w:rPr>
        <w:t xml:space="preserve"> when navigating the internet</w:t>
      </w:r>
      <w:r w:rsidR="004E4AFC" w:rsidRPr="000A7C5F">
        <w:rPr>
          <w:szCs w:val="28"/>
        </w:rPr>
        <w:t>.</w:t>
      </w:r>
      <w:r w:rsidR="009A7286" w:rsidRPr="000A7C5F">
        <w:rPr>
          <w:szCs w:val="28"/>
        </w:rPr>
        <w:t xml:space="preserve"> There is also regional variation with the North East of England having the highest proportion of internet non-users in the country, standing at 12.1% for the region in 2018</w:t>
      </w:r>
      <w:r w:rsidR="009A7286" w:rsidRPr="000A7C5F">
        <w:rPr>
          <w:rStyle w:val="FootnoteReference"/>
          <w:szCs w:val="28"/>
        </w:rPr>
        <w:footnoteReference w:id="43"/>
      </w:r>
      <w:r w:rsidR="009A7286" w:rsidRPr="000A7C5F">
        <w:rPr>
          <w:szCs w:val="28"/>
        </w:rPr>
        <w:t>.</w:t>
      </w:r>
      <w:r w:rsidR="009A7286" w:rsidRPr="000A7C5F">
        <w:t xml:space="preserve"> </w:t>
      </w:r>
      <w:r w:rsidR="004E4AFC" w:rsidRPr="000A7C5F">
        <w:rPr>
          <w:szCs w:val="28"/>
        </w:rPr>
        <w:t xml:space="preserve"> </w:t>
      </w:r>
      <w:r w:rsidR="000E5593" w:rsidRPr="000A7C5F">
        <w:rPr>
          <w:szCs w:val="28"/>
        </w:rPr>
        <w:t>DDP in rural areas face additional barriers due to patchy broadband availability and distance from public library provision</w:t>
      </w:r>
      <w:r w:rsidR="003C4231" w:rsidRPr="000A7C5F">
        <w:rPr>
          <w:rStyle w:val="FootnoteReference"/>
          <w:szCs w:val="28"/>
        </w:rPr>
        <w:footnoteReference w:id="44"/>
      </w:r>
      <w:r w:rsidR="000E5593" w:rsidRPr="000A7C5F">
        <w:rPr>
          <w:szCs w:val="28"/>
        </w:rPr>
        <w:t>.</w:t>
      </w:r>
      <w:r w:rsidR="004E4AFC" w:rsidRPr="000A7C5F">
        <w:rPr>
          <w:szCs w:val="28"/>
        </w:rPr>
        <w:t xml:space="preserve"> </w:t>
      </w:r>
    </w:p>
    <w:p w14:paraId="6EC865A8" w14:textId="77777777" w:rsidR="004E4AFC" w:rsidRPr="000A7C5F" w:rsidRDefault="004E4AFC" w:rsidP="00E739BB">
      <w:pPr>
        <w:pStyle w:val="ListParagraph"/>
        <w:ind w:left="851" w:hanging="851"/>
        <w:rPr>
          <w:szCs w:val="28"/>
        </w:rPr>
      </w:pPr>
    </w:p>
    <w:p w14:paraId="5ED786FF" w14:textId="4886C48C" w:rsidR="00031192" w:rsidRPr="000A7C5F" w:rsidRDefault="00716F1A" w:rsidP="00794060">
      <w:pPr>
        <w:pStyle w:val="ListParagraph"/>
        <w:numPr>
          <w:ilvl w:val="0"/>
          <w:numId w:val="3"/>
        </w:numPr>
        <w:ind w:left="851" w:hanging="851"/>
        <w:rPr>
          <w:szCs w:val="28"/>
        </w:rPr>
      </w:pPr>
      <w:r w:rsidRPr="000A7C5F">
        <w:rPr>
          <w:szCs w:val="28"/>
        </w:rPr>
        <w:t>Before the pandemic 6</w:t>
      </w:r>
      <w:r w:rsidR="00DB579C" w:rsidRPr="000A7C5F">
        <w:rPr>
          <w:szCs w:val="28"/>
        </w:rPr>
        <w:t>7</w:t>
      </w:r>
      <w:r w:rsidRPr="000A7C5F">
        <w:rPr>
          <w:szCs w:val="28"/>
        </w:rPr>
        <w:t>% of benefit claimants</w:t>
      </w:r>
      <w:r w:rsidR="004E4AFC" w:rsidRPr="000A7C5F">
        <w:rPr>
          <w:rStyle w:val="FootnoteReference"/>
          <w:szCs w:val="28"/>
        </w:rPr>
        <w:footnoteReference w:id="45"/>
      </w:r>
      <w:r w:rsidRPr="000A7C5F">
        <w:rPr>
          <w:szCs w:val="28"/>
        </w:rPr>
        <w:t xml:space="preserve"> were Deaf or Disabled yet Universal Credit </w:t>
      </w:r>
      <w:r w:rsidR="00FB4F94" w:rsidRPr="000A7C5F">
        <w:rPr>
          <w:szCs w:val="28"/>
        </w:rPr>
        <w:t xml:space="preserve">(UC) </w:t>
      </w:r>
      <w:r w:rsidRPr="000A7C5F">
        <w:rPr>
          <w:szCs w:val="28"/>
        </w:rPr>
        <w:t xml:space="preserve">was designed to be digital by default. </w:t>
      </w:r>
      <w:proofErr w:type="spellStart"/>
      <w:r w:rsidRPr="000A7C5F">
        <w:rPr>
          <w:szCs w:val="28"/>
        </w:rPr>
        <w:t>WeG</w:t>
      </w:r>
      <w:proofErr w:type="spellEnd"/>
      <w:r w:rsidRPr="000A7C5F">
        <w:rPr>
          <w:szCs w:val="28"/>
        </w:rPr>
        <w:t xml:space="preserve"> </w:t>
      </w:r>
      <w:r w:rsidR="00D65ECB" w:rsidRPr="000A7C5F">
        <w:rPr>
          <w:szCs w:val="28"/>
        </w:rPr>
        <w:t>never considered how many</w:t>
      </w:r>
      <w:r w:rsidRPr="000A7C5F">
        <w:rPr>
          <w:szCs w:val="28"/>
        </w:rPr>
        <w:t xml:space="preserve"> </w:t>
      </w:r>
      <w:r w:rsidR="00D65ECB" w:rsidRPr="000A7C5F">
        <w:rPr>
          <w:szCs w:val="28"/>
        </w:rPr>
        <w:t xml:space="preserve">DDP would be disadvantaged by this and might </w:t>
      </w:r>
      <w:r w:rsidRPr="000A7C5F">
        <w:rPr>
          <w:szCs w:val="28"/>
        </w:rPr>
        <w:t xml:space="preserve">require reasonable adjustments or support to </w:t>
      </w:r>
      <w:r w:rsidR="00D65ECB" w:rsidRPr="000A7C5F">
        <w:rPr>
          <w:szCs w:val="28"/>
        </w:rPr>
        <w:t xml:space="preserve">be able to </w:t>
      </w:r>
      <w:r w:rsidRPr="000A7C5F">
        <w:rPr>
          <w:szCs w:val="28"/>
        </w:rPr>
        <w:t>navigate the digital system</w:t>
      </w:r>
      <w:r w:rsidR="004E4AFC" w:rsidRPr="000A7C5F">
        <w:rPr>
          <w:rStyle w:val="FootnoteReference"/>
          <w:szCs w:val="28"/>
        </w:rPr>
        <w:footnoteReference w:id="46"/>
      </w:r>
      <w:r w:rsidRPr="000A7C5F">
        <w:rPr>
          <w:szCs w:val="28"/>
        </w:rPr>
        <w:t xml:space="preserve">. </w:t>
      </w:r>
      <w:r w:rsidR="00FB4F94" w:rsidRPr="000A7C5F">
        <w:rPr>
          <w:szCs w:val="28"/>
        </w:rPr>
        <w:lastRenderedPageBreak/>
        <w:t xml:space="preserve">Inaccessibility and digital by default were issues examined by the UN’s Special Rapporteur on Poverty in a report dismissed by </w:t>
      </w:r>
      <w:proofErr w:type="spellStart"/>
      <w:r w:rsidR="00FB4F94" w:rsidRPr="000A7C5F">
        <w:rPr>
          <w:szCs w:val="28"/>
        </w:rPr>
        <w:t>WeG</w:t>
      </w:r>
      <w:proofErr w:type="spellEnd"/>
      <w:r w:rsidR="00FB4F94" w:rsidRPr="000A7C5F">
        <w:rPr>
          <w:szCs w:val="28"/>
        </w:rPr>
        <w:t xml:space="preserve"> in 2018</w:t>
      </w:r>
      <w:r w:rsidR="00347AB5" w:rsidRPr="000A7C5F">
        <w:rPr>
          <w:rStyle w:val="FootnoteReference"/>
          <w:szCs w:val="28"/>
        </w:rPr>
        <w:footnoteReference w:id="47"/>
      </w:r>
      <w:r w:rsidR="00FB4F94" w:rsidRPr="000A7C5F">
        <w:rPr>
          <w:szCs w:val="28"/>
        </w:rPr>
        <w:t xml:space="preserve">. </w:t>
      </w:r>
      <w:hyperlink w:anchor="_Appendix_7:_Summary" w:history="1">
        <w:r w:rsidR="00826F6F" w:rsidRPr="00662F3B">
          <w:rPr>
            <w:rStyle w:val="Hyperlink"/>
            <w:szCs w:val="28"/>
          </w:rPr>
          <w:t>Appendix 7</w:t>
        </w:r>
      </w:hyperlink>
      <w:r w:rsidR="00826F6F" w:rsidRPr="000A7C5F">
        <w:rPr>
          <w:rStyle w:val="FootnoteReference"/>
          <w:szCs w:val="28"/>
        </w:rPr>
        <w:footnoteReference w:id="48"/>
      </w:r>
      <w:r w:rsidR="00826F6F" w:rsidRPr="000A7C5F">
        <w:rPr>
          <w:szCs w:val="28"/>
        </w:rPr>
        <w:t xml:space="preserve"> summarises information from the Independent Case Examiner (ICE) concerning </w:t>
      </w:r>
      <w:r w:rsidR="00FB4F94" w:rsidRPr="000A7C5F">
        <w:rPr>
          <w:szCs w:val="28"/>
        </w:rPr>
        <w:t xml:space="preserve">incidences where the </w:t>
      </w:r>
      <w:r w:rsidR="00826F6F" w:rsidRPr="000A7C5F">
        <w:rPr>
          <w:szCs w:val="28"/>
        </w:rPr>
        <w:t xml:space="preserve">digital by default system </w:t>
      </w:r>
      <w:r w:rsidR="00FB4F94" w:rsidRPr="000A7C5F">
        <w:rPr>
          <w:szCs w:val="28"/>
        </w:rPr>
        <w:t>has created difficulties</w:t>
      </w:r>
      <w:r w:rsidR="00826F6F" w:rsidRPr="000A7C5F">
        <w:rPr>
          <w:szCs w:val="28"/>
        </w:rPr>
        <w:t>.</w:t>
      </w:r>
    </w:p>
    <w:p w14:paraId="2B05B606" w14:textId="77777777" w:rsidR="004E4AFC" w:rsidRPr="000A7C5F" w:rsidRDefault="004E4AFC" w:rsidP="00E739BB">
      <w:pPr>
        <w:pStyle w:val="ListParagraph"/>
        <w:rPr>
          <w:szCs w:val="28"/>
        </w:rPr>
      </w:pPr>
    </w:p>
    <w:p w14:paraId="2AC6E32B" w14:textId="2C6717A3" w:rsidR="004E4AFC" w:rsidRPr="000A7C5F" w:rsidRDefault="004E4AFC" w:rsidP="00794060">
      <w:pPr>
        <w:pStyle w:val="ListParagraph"/>
        <w:numPr>
          <w:ilvl w:val="0"/>
          <w:numId w:val="3"/>
        </w:numPr>
        <w:ind w:left="851" w:hanging="851"/>
        <w:rPr>
          <w:szCs w:val="28"/>
        </w:rPr>
      </w:pPr>
      <w:r w:rsidRPr="000A7C5F">
        <w:rPr>
          <w:szCs w:val="28"/>
        </w:rPr>
        <w:t xml:space="preserve">There has been no progress in improving access to communication support for Deaf BSL users. </w:t>
      </w:r>
      <w:r w:rsidR="00705393" w:rsidRPr="000A7C5F">
        <w:rPr>
          <w:szCs w:val="28"/>
        </w:rPr>
        <w:t>This impacts negatively on Deaf people’s education, employability, ability to access complaints procedures and to participate in the community</w:t>
      </w:r>
      <w:r w:rsidR="00705393" w:rsidRPr="000A7C5F">
        <w:rPr>
          <w:rStyle w:val="FootnoteReference"/>
          <w:szCs w:val="28"/>
        </w:rPr>
        <w:footnoteReference w:id="49"/>
      </w:r>
      <w:r w:rsidR="00705393" w:rsidRPr="000A7C5F">
        <w:rPr>
          <w:szCs w:val="28"/>
        </w:rPr>
        <w:t xml:space="preserve">. </w:t>
      </w:r>
      <w:r w:rsidRPr="000A7C5F">
        <w:rPr>
          <w:szCs w:val="28"/>
        </w:rPr>
        <w:t xml:space="preserve">A new private members’ </w:t>
      </w:r>
      <w:r w:rsidR="00D83EA7" w:rsidRPr="000A7C5F">
        <w:rPr>
          <w:szCs w:val="28"/>
        </w:rPr>
        <w:t xml:space="preserve">British Sign Language </w:t>
      </w:r>
      <w:r w:rsidRPr="000A7C5F">
        <w:rPr>
          <w:szCs w:val="28"/>
        </w:rPr>
        <w:t>bill</w:t>
      </w:r>
      <w:r w:rsidR="00D83EA7" w:rsidRPr="000A7C5F">
        <w:rPr>
          <w:szCs w:val="28"/>
        </w:rPr>
        <w:t xml:space="preserve"> currently going through Parliament promises new guidance on the “promotion and facilitation” of BSL but not </w:t>
      </w:r>
      <w:r w:rsidR="00347AB5" w:rsidRPr="000A7C5F">
        <w:rPr>
          <w:szCs w:val="28"/>
        </w:rPr>
        <w:t>a</w:t>
      </w:r>
      <w:r w:rsidR="00D83EA7" w:rsidRPr="000A7C5F">
        <w:rPr>
          <w:szCs w:val="28"/>
        </w:rPr>
        <w:t xml:space="preserve"> right to BSL that Deaf campaigners have fought for. It will not address the shortage of BSL interpreters</w:t>
      </w:r>
      <w:r w:rsidR="00CA6A29">
        <w:rPr>
          <w:szCs w:val="28"/>
        </w:rPr>
        <w:t>,</w:t>
      </w:r>
      <w:r w:rsidR="00D83EA7" w:rsidRPr="000A7C5F">
        <w:rPr>
          <w:szCs w:val="28"/>
        </w:rPr>
        <w:t xml:space="preserve"> </w:t>
      </w:r>
      <w:r w:rsidR="00CA6A29">
        <w:rPr>
          <w:szCs w:val="28"/>
        </w:rPr>
        <w:t xml:space="preserve">the adverse impact of national framework agreements and closures of Deaf clubs on the BSL profession that are necessary for </w:t>
      </w:r>
      <w:r w:rsidR="00CA6A29" w:rsidRPr="000A7C5F">
        <w:rPr>
          <w:szCs w:val="28"/>
        </w:rPr>
        <w:t>BSL’s users’ rights under the CRDP are to be met</w:t>
      </w:r>
      <w:r w:rsidR="00D83EA7" w:rsidRPr="000A7C5F">
        <w:rPr>
          <w:rStyle w:val="FootnoteReference"/>
          <w:szCs w:val="28"/>
        </w:rPr>
        <w:footnoteReference w:id="50"/>
      </w:r>
      <w:r w:rsidR="00CA6A29">
        <w:rPr>
          <w:rStyle w:val="FootnoteReference"/>
          <w:szCs w:val="28"/>
        </w:rPr>
        <w:footnoteReference w:id="51"/>
      </w:r>
      <w:r w:rsidR="00D83EA7" w:rsidRPr="000A7C5F">
        <w:rPr>
          <w:szCs w:val="28"/>
        </w:rPr>
        <w:t>.</w:t>
      </w:r>
    </w:p>
    <w:p w14:paraId="2676AACB" w14:textId="77777777" w:rsidR="00DD2037" w:rsidRPr="000A7C5F" w:rsidRDefault="00DD2037" w:rsidP="00E739BB">
      <w:pPr>
        <w:pStyle w:val="ListParagraph"/>
        <w:ind w:left="851" w:hanging="851"/>
        <w:rPr>
          <w:szCs w:val="28"/>
        </w:rPr>
      </w:pPr>
    </w:p>
    <w:p w14:paraId="540A33EB" w14:textId="398EF6A5" w:rsidR="00DD2037" w:rsidRPr="000A7C5F" w:rsidRDefault="00DD2037" w:rsidP="00794060">
      <w:pPr>
        <w:pStyle w:val="ListParagraph"/>
        <w:numPr>
          <w:ilvl w:val="0"/>
          <w:numId w:val="3"/>
        </w:numPr>
        <w:ind w:left="851" w:hanging="851"/>
        <w:rPr>
          <w:szCs w:val="28"/>
        </w:rPr>
      </w:pPr>
      <w:r w:rsidRPr="000A7C5F">
        <w:rPr>
          <w:szCs w:val="28"/>
        </w:rPr>
        <w:lastRenderedPageBreak/>
        <w:t>Individuals who are neurodivergent experience poor awareness of their access needs within both the private and public sector and by employers</w:t>
      </w:r>
      <w:r w:rsidR="0018316B" w:rsidRPr="000A7C5F">
        <w:rPr>
          <w:rStyle w:val="FootnoteReference"/>
          <w:szCs w:val="28"/>
        </w:rPr>
        <w:footnoteReference w:id="52"/>
      </w:r>
      <w:r w:rsidR="0022715D" w:rsidRPr="000A7C5F">
        <w:rPr>
          <w:szCs w:val="28"/>
        </w:rPr>
        <w:t xml:space="preserve">. </w:t>
      </w:r>
    </w:p>
    <w:p w14:paraId="6A436EC1" w14:textId="77777777" w:rsidR="00DD2037" w:rsidRPr="000A7C5F" w:rsidRDefault="00DD2037" w:rsidP="00E739BB">
      <w:pPr>
        <w:pStyle w:val="ListParagraph"/>
        <w:rPr>
          <w:szCs w:val="28"/>
        </w:rPr>
      </w:pPr>
    </w:p>
    <w:p w14:paraId="4E140B51" w14:textId="31E5F4D4" w:rsidR="003277CB" w:rsidRPr="000A7C5F" w:rsidRDefault="00F50FCD" w:rsidP="00794060">
      <w:pPr>
        <w:pStyle w:val="ListParagraph"/>
        <w:numPr>
          <w:ilvl w:val="0"/>
          <w:numId w:val="3"/>
        </w:numPr>
        <w:ind w:left="851" w:hanging="851"/>
        <w:rPr>
          <w:szCs w:val="28"/>
        </w:rPr>
      </w:pPr>
      <w:r w:rsidRPr="000A7C5F">
        <w:rPr>
          <w:szCs w:val="28"/>
        </w:rPr>
        <w:t>There are</w:t>
      </w:r>
      <w:r w:rsidR="00B93278" w:rsidRPr="000A7C5F">
        <w:rPr>
          <w:szCs w:val="28"/>
        </w:rPr>
        <w:t xml:space="preserve"> </w:t>
      </w:r>
      <w:r w:rsidR="00E215D0" w:rsidRPr="000A7C5F">
        <w:rPr>
          <w:szCs w:val="28"/>
        </w:rPr>
        <w:t xml:space="preserve">ongoing </w:t>
      </w:r>
      <w:r w:rsidRPr="000A7C5F">
        <w:rPr>
          <w:szCs w:val="28"/>
        </w:rPr>
        <w:t xml:space="preserve">barriers to accessing </w:t>
      </w:r>
      <w:r w:rsidR="00E215D0" w:rsidRPr="000A7C5F">
        <w:rPr>
          <w:szCs w:val="28"/>
        </w:rPr>
        <w:t>public transport and the built environment with insufficient engagement of DDP and DDPOs.</w:t>
      </w:r>
      <w:r w:rsidRPr="000A7C5F">
        <w:rPr>
          <w:rStyle w:val="FootnoteReference"/>
          <w:szCs w:val="28"/>
        </w:rPr>
        <w:footnoteReference w:id="53"/>
      </w:r>
      <w:r w:rsidR="00604ED6" w:rsidRPr="000A7C5F">
        <w:rPr>
          <w:szCs w:val="28"/>
        </w:rPr>
        <w:t xml:space="preserve"> </w:t>
      </w:r>
      <w:r w:rsidR="00E215D0" w:rsidRPr="000A7C5F">
        <w:rPr>
          <w:szCs w:val="28"/>
        </w:rPr>
        <w:t>The Equality Act 2010 is inadequate as a means of protecting DDP rights to access as it relies on individuals to enforce.</w:t>
      </w:r>
      <w:r w:rsidR="00E215D0" w:rsidRPr="000A7C5F">
        <w:rPr>
          <w:rStyle w:val="FootnoteReference"/>
          <w:szCs w:val="28"/>
        </w:rPr>
        <w:footnoteReference w:id="54"/>
      </w:r>
      <w:r w:rsidR="003277CB" w:rsidRPr="000A7C5F">
        <w:rPr>
          <w:szCs w:val="28"/>
        </w:rPr>
        <w:t xml:space="preserve"> </w:t>
      </w:r>
      <w:r w:rsidR="00347AB5" w:rsidRPr="000A7C5F">
        <w:rPr>
          <w:szCs w:val="28"/>
        </w:rPr>
        <w:t>DDP report that p</w:t>
      </w:r>
      <w:r w:rsidR="003277CB" w:rsidRPr="000A7C5F">
        <w:rPr>
          <w:szCs w:val="28"/>
        </w:rPr>
        <w:t xml:space="preserve">arking designated for use by Disabled people is not enforced as strictly as </w:t>
      </w:r>
      <w:r w:rsidR="00347AB5" w:rsidRPr="000A7C5F">
        <w:rPr>
          <w:szCs w:val="28"/>
        </w:rPr>
        <w:t xml:space="preserve">in </w:t>
      </w:r>
      <w:r w:rsidR="003277CB" w:rsidRPr="000A7C5F">
        <w:rPr>
          <w:szCs w:val="28"/>
        </w:rPr>
        <w:t>other countries and British police will not intervene</w:t>
      </w:r>
      <w:r w:rsidR="003277CB" w:rsidRPr="000A7C5F">
        <w:rPr>
          <w:rStyle w:val="FootnoteReference"/>
          <w:szCs w:val="28"/>
        </w:rPr>
        <w:footnoteReference w:id="55"/>
      </w:r>
      <w:r w:rsidR="003277CB" w:rsidRPr="000A7C5F">
        <w:rPr>
          <w:szCs w:val="28"/>
        </w:rPr>
        <w:t xml:space="preserve">. Anecdotally the British approach is followed </w:t>
      </w:r>
      <w:r w:rsidR="000D2C4A" w:rsidRPr="000A7C5F">
        <w:rPr>
          <w:szCs w:val="28"/>
        </w:rPr>
        <w:t>withi</w:t>
      </w:r>
      <w:r w:rsidR="003277CB" w:rsidRPr="000A7C5F">
        <w:rPr>
          <w:szCs w:val="28"/>
        </w:rPr>
        <w:t xml:space="preserve">n </w:t>
      </w:r>
      <w:r w:rsidR="000D2C4A" w:rsidRPr="000A7C5F">
        <w:rPr>
          <w:szCs w:val="28"/>
        </w:rPr>
        <w:t xml:space="preserve">British Overseas Territories such as </w:t>
      </w:r>
      <w:r w:rsidR="003277CB" w:rsidRPr="000A7C5F">
        <w:rPr>
          <w:szCs w:val="28"/>
        </w:rPr>
        <w:t>B</w:t>
      </w:r>
      <w:r w:rsidR="00892186" w:rsidRPr="000A7C5F">
        <w:rPr>
          <w:szCs w:val="28"/>
        </w:rPr>
        <w:t>ermuda</w:t>
      </w:r>
      <w:r w:rsidR="003277CB" w:rsidRPr="000A7C5F">
        <w:rPr>
          <w:rStyle w:val="FootnoteReference"/>
          <w:szCs w:val="28"/>
        </w:rPr>
        <w:footnoteReference w:id="56"/>
      </w:r>
      <w:r w:rsidR="003277CB" w:rsidRPr="000A7C5F">
        <w:rPr>
          <w:szCs w:val="28"/>
        </w:rPr>
        <w:t>.</w:t>
      </w:r>
    </w:p>
    <w:p w14:paraId="59D18377" w14:textId="77777777" w:rsidR="001075C5" w:rsidRPr="000A7C5F" w:rsidRDefault="001075C5" w:rsidP="00E739BB">
      <w:pPr>
        <w:pStyle w:val="ListParagraph"/>
        <w:ind w:left="851" w:hanging="851"/>
        <w:rPr>
          <w:szCs w:val="28"/>
        </w:rPr>
      </w:pPr>
    </w:p>
    <w:p w14:paraId="0F1D32EF" w14:textId="5F737DF3" w:rsidR="00321272" w:rsidRPr="000A7C5F" w:rsidRDefault="00321272" w:rsidP="00794060">
      <w:pPr>
        <w:pStyle w:val="ListParagraph"/>
        <w:numPr>
          <w:ilvl w:val="0"/>
          <w:numId w:val="3"/>
        </w:numPr>
        <w:ind w:left="851" w:hanging="851"/>
        <w:rPr>
          <w:szCs w:val="28"/>
        </w:rPr>
      </w:pPr>
      <w:r w:rsidRPr="000A7C5F">
        <w:rPr>
          <w:szCs w:val="28"/>
        </w:rPr>
        <w:t>Rail passengers who use wheelchairs have voiced health and safety concerns over assistance to board trains</w:t>
      </w:r>
      <w:r w:rsidR="00653314" w:rsidRPr="000A7C5F">
        <w:rPr>
          <w:rStyle w:val="FootnoteReference"/>
          <w:szCs w:val="28"/>
        </w:rPr>
        <w:footnoteReference w:id="57"/>
      </w:r>
      <w:r w:rsidRPr="000A7C5F">
        <w:rPr>
          <w:szCs w:val="28"/>
        </w:rPr>
        <w:t xml:space="preserve">. </w:t>
      </w:r>
      <w:r w:rsidR="00653314" w:rsidRPr="000A7C5F">
        <w:rPr>
          <w:szCs w:val="28"/>
        </w:rPr>
        <w:t xml:space="preserve">Many rail stations lack step free access and passenger assistance is </w:t>
      </w:r>
      <w:r w:rsidR="00653314" w:rsidRPr="000A7C5F">
        <w:rPr>
          <w:szCs w:val="28"/>
        </w:rPr>
        <w:lastRenderedPageBreak/>
        <w:t xml:space="preserve">notoriously </w:t>
      </w:r>
      <w:r w:rsidR="00347AB5" w:rsidRPr="000A7C5F">
        <w:rPr>
          <w:szCs w:val="28"/>
        </w:rPr>
        <w:t>unreliable</w:t>
      </w:r>
      <w:r w:rsidR="00653314" w:rsidRPr="000A7C5F">
        <w:rPr>
          <w:szCs w:val="28"/>
        </w:rPr>
        <w:t>. Rail operators have said that “substantial” government investment is needed to make train stations accessible</w:t>
      </w:r>
      <w:r w:rsidR="00F50FCD" w:rsidRPr="000A7C5F">
        <w:rPr>
          <w:szCs w:val="28"/>
        </w:rPr>
        <w:t>.</w:t>
      </w:r>
      <w:r w:rsidR="00653314" w:rsidRPr="000A7C5F">
        <w:rPr>
          <w:rStyle w:val="FootnoteReference"/>
          <w:szCs w:val="28"/>
        </w:rPr>
        <w:footnoteReference w:id="58"/>
      </w:r>
      <w:r w:rsidR="00D46F58">
        <w:rPr>
          <w:szCs w:val="28"/>
        </w:rPr>
        <w:t xml:space="preserve"> </w:t>
      </w:r>
      <w:r w:rsidR="00AE6D74" w:rsidRPr="00AE6D74">
        <w:rPr>
          <w:szCs w:val="28"/>
        </w:rPr>
        <w:t>Many smaller stations now lack platform staff to provide rail assistance while railway companies are moving towards Driver Only Operated trains without guards, leading to more stations becoming inaccessible to passengers who require assistance to board and dismount from trains</w:t>
      </w:r>
      <w:r w:rsidR="00AE6D74">
        <w:rPr>
          <w:szCs w:val="28"/>
        </w:rPr>
        <w:t>.</w:t>
      </w:r>
      <w:r w:rsidR="00AE6D74">
        <w:rPr>
          <w:rStyle w:val="FootnoteReference"/>
          <w:szCs w:val="28"/>
        </w:rPr>
        <w:footnoteReference w:id="59"/>
      </w:r>
    </w:p>
    <w:p w14:paraId="60227A17" w14:textId="77777777" w:rsidR="007C1E44" w:rsidRPr="000A7C5F" w:rsidRDefault="007C1E44" w:rsidP="00E739BB">
      <w:pPr>
        <w:pStyle w:val="ListParagraph"/>
        <w:rPr>
          <w:szCs w:val="28"/>
        </w:rPr>
      </w:pPr>
    </w:p>
    <w:p w14:paraId="05CD424A" w14:textId="795EC0C8" w:rsidR="003277CB" w:rsidRPr="000A7C5F" w:rsidRDefault="007C1E44" w:rsidP="00794060">
      <w:pPr>
        <w:pStyle w:val="ListParagraph"/>
        <w:numPr>
          <w:ilvl w:val="0"/>
          <w:numId w:val="3"/>
        </w:numPr>
        <w:ind w:left="851" w:hanging="851"/>
        <w:rPr>
          <w:szCs w:val="28"/>
        </w:rPr>
      </w:pPr>
      <w:r w:rsidRPr="000A7C5F">
        <w:rPr>
          <w:szCs w:val="28"/>
        </w:rPr>
        <w:t>DDP report barriers in using other forms of public and specialist transport provision.  Only one wheelchair user can travel on a bus at a time</w:t>
      </w:r>
      <w:r w:rsidR="00CA6A29">
        <w:rPr>
          <w:rStyle w:val="FootnoteReference"/>
          <w:szCs w:val="28"/>
        </w:rPr>
        <w:footnoteReference w:id="60"/>
      </w:r>
      <w:r w:rsidR="00347AB5" w:rsidRPr="000A7C5F">
        <w:rPr>
          <w:szCs w:val="28"/>
        </w:rPr>
        <w:t>. T</w:t>
      </w:r>
      <w:r w:rsidRPr="000A7C5F">
        <w:rPr>
          <w:szCs w:val="28"/>
        </w:rPr>
        <w:t xml:space="preserve">he supreme court ruled </w:t>
      </w:r>
      <w:r w:rsidR="00347AB5" w:rsidRPr="000A7C5F">
        <w:rPr>
          <w:szCs w:val="28"/>
        </w:rPr>
        <w:t xml:space="preserve">that </w:t>
      </w:r>
      <w:r w:rsidRPr="000A7C5F">
        <w:rPr>
          <w:szCs w:val="28"/>
        </w:rPr>
        <w:t>wheelchairs take priority over prams</w:t>
      </w:r>
      <w:r w:rsidRPr="000A7C5F">
        <w:rPr>
          <w:rStyle w:val="FootnoteReference"/>
          <w:szCs w:val="28"/>
        </w:rPr>
        <w:footnoteReference w:id="61"/>
      </w:r>
      <w:r w:rsidRPr="000A7C5F">
        <w:rPr>
          <w:szCs w:val="28"/>
        </w:rPr>
        <w:t>,</w:t>
      </w:r>
      <w:r w:rsidR="008F4330" w:rsidRPr="000A7C5F">
        <w:rPr>
          <w:szCs w:val="28"/>
        </w:rPr>
        <w:t xml:space="preserve"> but</w:t>
      </w:r>
      <w:r w:rsidRPr="000A7C5F">
        <w:rPr>
          <w:szCs w:val="28"/>
        </w:rPr>
        <w:t xml:space="preserve"> this is difficult to enforce in practice</w:t>
      </w:r>
      <w:r w:rsidRPr="000A7C5F">
        <w:rPr>
          <w:rStyle w:val="FootnoteReference"/>
          <w:szCs w:val="28"/>
        </w:rPr>
        <w:footnoteReference w:id="62"/>
      </w:r>
      <w:r w:rsidRPr="000A7C5F">
        <w:rPr>
          <w:szCs w:val="28"/>
        </w:rPr>
        <w:t>. Dial-a-Ride can be unreliable and limit where they will take passengers</w:t>
      </w:r>
      <w:r w:rsidRPr="000A7C5F">
        <w:rPr>
          <w:rStyle w:val="FootnoteReference"/>
          <w:szCs w:val="28"/>
        </w:rPr>
        <w:footnoteReference w:id="63"/>
      </w:r>
      <w:r w:rsidRPr="000A7C5F">
        <w:rPr>
          <w:szCs w:val="28"/>
        </w:rPr>
        <w:t>. Taxi-cards provide eligible DDP with a set number of reduced price journeys per month but the number is dependent upon individual LAs and is subject to a postcode lottery</w:t>
      </w:r>
      <w:r w:rsidRPr="000A7C5F">
        <w:rPr>
          <w:rStyle w:val="FootnoteReference"/>
          <w:szCs w:val="28"/>
        </w:rPr>
        <w:footnoteReference w:id="64"/>
      </w:r>
      <w:r w:rsidRPr="000A7C5F">
        <w:rPr>
          <w:szCs w:val="28"/>
        </w:rPr>
        <w:t xml:space="preserve">.  DDP report mixed experiences using taxis with individual reports of taxi drivers not </w:t>
      </w:r>
      <w:r w:rsidRPr="000A7C5F">
        <w:rPr>
          <w:szCs w:val="28"/>
        </w:rPr>
        <w:lastRenderedPageBreak/>
        <w:t>using health and safety procedures for transporting wheelchair users and of unwillingness to take</w:t>
      </w:r>
      <w:r w:rsidR="003277CB" w:rsidRPr="000A7C5F">
        <w:rPr>
          <w:szCs w:val="28"/>
        </w:rPr>
        <w:t xml:space="preserve"> Di</w:t>
      </w:r>
      <w:r w:rsidRPr="000A7C5F">
        <w:rPr>
          <w:szCs w:val="28"/>
        </w:rPr>
        <w:t>sabled passengers</w:t>
      </w:r>
      <w:r w:rsidRPr="000A7C5F">
        <w:rPr>
          <w:rStyle w:val="FootnoteReference"/>
          <w:szCs w:val="28"/>
        </w:rPr>
        <w:footnoteReference w:id="65"/>
      </w:r>
      <w:r w:rsidRPr="000A7C5F">
        <w:rPr>
          <w:szCs w:val="28"/>
        </w:rPr>
        <w:t>.</w:t>
      </w:r>
      <w:r w:rsidR="003277CB" w:rsidRPr="000A7C5F">
        <w:rPr>
          <w:szCs w:val="28"/>
        </w:rPr>
        <w:t xml:space="preserve"> </w:t>
      </w:r>
    </w:p>
    <w:p w14:paraId="291601D9" w14:textId="77777777" w:rsidR="00B02A1E" w:rsidRPr="000A7C5F" w:rsidRDefault="00B02A1E" w:rsidP="00E739BB">
      <w:pPr>
        <w:pStyle w:val="ListParagraph"/>
        <w:ind w:left="851" w:hanging="851"/>
        <w:rPr>
          <w:szCs w:val="28"/>
        </w:rPr>
      </w:pPr>
    </w:p>
    <w:p w14:paraId="3499A7F5" w14:textId="02C1B8A1" w:rsidR="003277CB" w:rsidRPr="000A7C5F" w:rsidRDefault="00B02A1E" w:rsidP="00794060">
      <w:pPr>
        <w:pStyle w:val="ListParagraph"/>
        <w:numPr>
          <w:ilvl w:val="0"/>
          <w:numId w:val="3"/>
        </w:numPr>
        <w:ind w:left="851" w:hanging="851"/>
        <w:rPr>
          <w:szCs w:val="28"/>
        </w:rPr>
      </w:pPr>
      <w:r w:rsidRPr="000A7C5F">
        <w:rPr>
          <w:szCs w:val="28"/>
        </w:rPr>
        <w:t>Emotional assistance animals do not have any legal recognition or standing in the UK unlike the US</w:t>
      </w:r>
      <w:r w:rsidRPr="000A7C5F">
        <w:rPr>
          <w:rStyle w:val="FootnoteReference"/>
          <w:szCs w:val="28"/>
        </w:rPr>
        <w:footnoteReference w:id="66"/>
      </w:r>
      <w:r w:rsidRPr="000A7C5F">
        <w:rPr>
          <w:szCs w:val="28"/>
        </w:rPr>
        <w:t>. For example, Under the USA's federal Fair Housing Act (FHA), an emotional support animal is viewed as a "reasonable accommodation" in a housing unit that has a "no pets" rule for its residents</w:t>
      </w:r>
      <w:r w:rsidRPr="000A7C5F">
        <w:rPr>
          <w:rStyle w:val="FootnoteReference"/>
          <w:szCs w:val="28"/>
        </w:rPr>
        <w:footnoteReference w:id="67"/>
      </w:r>
      <w:r w:rsidRPr="000A7C5F">
        <w:rPr>
          <w:szCs w:val="28"/>
        </w:rPr>
        <w:t>.</w:t>
      </w:r>
    </w:p>
    <w:p w14:paraId="4060E448" w14:textId="313C2779" w:rsidR="007C1E44" w:rsidRPr="000A7C5F" w:rsidRDefault="007C1E44" w:rsidP="00E739BB">
      <w:pPr>
        <w:pStyle w:val="ListParagraph"/>
        <w:ind w:left="851" w:hanging="851"/>
        <w:rPr>
          <w:szCs w:val="28"/>
        </w:rPr>
      </w:pPr>
    </w:p>
    <w:p w14:paraId="394FEB03" w14:textId="4DF54434" w:rsidR="00F50FCD" w:rsidRPr="000A7C5F" w:rsidRDefault="00F50FCD" w:rsidP="00794060">
      <w:pPr>
        <w:pStyle w:val="ListParagraph"/>
        <w:numPr>
          <w:ilvl w:val="0"/>
          <w:numId w:val="3"/>
        </w:numPr>
        <w:ind w:left="851" w:hanging="851"/>
        <w:rPr>
          <w:szCs w:val="28"/>
        </w:rPr>
      </w:pPr>
      <w:r w:rsidRPr="000A7C5F">
        <w:rPr>
          <w:szCs w:val="28"/>
        </w:rPr>
        <w:t xml:space="preserve">Access was negatively impacted by </w:t>
      </w:r>
      <w:r w:rsidR="00C006F0" w:rsidRPr="000A7C5F">
        <w:rPr>
          <w:szCs w:val="28"/>
        </w:rPr>
        <w:t>COVID</w:t>
      </w:r>
      <w:r w:rsidRPr="000A7C5F">
        <w:rPr>
          <w:szCs w:val="28"/>
        </w:rPr>
        <w:t xml:space="preserve"> through </w:t>
      </w:r>
      <w:r w:rsidR="007428FC" w:rsidRPr="000A7C5F">
        <w:rPr>
          <w:szCs w:val="28"/>
        </w:rPr>
        <w:t xml:space="preserve">the outside dining areas on pavement and the </w:t>
      </w:r>
      <w:r w:rsidRPr="000A7C5F">
        <w:rPr>
          <w:szCs w:val="28"/>
        </w:rPr>
        <w:t>suspension of Blue Badge parking.</w:t>
      </w:r>
      <w:r w:rsidRPr="000A7C5F">
        <w:rPr>
          <w:rStyle w:val="FootnoteReference"/>
          <w:szCs w:val="28"/>
        </w:rPr>
        <w:footnoteReference w:id="68"/>
      </w:r>
      <w:r w:rsidRPr="000A7C5F">
        <w:rPr>
          <w:szCs w:val="28"/>
        </w:rPr>
        <w:t xml:space="preserve"> </w:t>
      </w:r>
      <w:r w:rsidR="007428FC" w:rsidRPr="000A7C5F">
        <w:rPr>
          <w:szCs w:val="28"/>
        </w:rPr>
        <w:t xml:space="preserve">There are </w:t>
      </w:r>
      <w:r w:rsidR="008F4330" w:rsidRPr="000A7C5F">
        <w:rPr>
          <w:szCs w:val="28"/>
        </w:rPr>
        <w:t xml:space="preserve">also </w:t>
      </w:r>
      <w:r w:rsidR="007428FC" w:rsidRPr="000A7C5F">
        <w:rPr>
          <w:szCs w:val="28"/>
        </w:rPr>
        <w:t xml:space="preserve">examples where the pandemic has been used to </w:t>
      </w:r>
      <w:r w:rsidR="008F4330" w:rsidRPr="000A7C5F">
        <w:rPr>
          <w:szCs w:val="28"/>
        </w:rPr>
        <w:t xml:space="preserve">permanently </w:t>
      </w:r>
      <w:r w:rsidR="007428FC" w:rsidRPr="000A7C5F">
        <w:rPr>
          <w:szCs w:val="28"/>
        </w:rPr>
        <w:t xml:space="preserve">take forward retrogressive measures. </w:t>
      </w:r>
      <w:r w:rsidRPr="000A7C5F">
        <w:rPr>
          <w:szCs w:val="28"/>
        </w:rPr>
        <w:t>A temporary access exclusion for DDP to York city centre has been made permanent</w:t>
      </w:r>
      <w:r w:rsidRPr="000A7C5F">
        <w:rPr>
          <w:rStyle w:val="FootnoteReference"/>
          <w:szCs w:val="28"/>
        </w:rPr>
        <w:footnoteReference w:id="69"/>
      </w:r>
      <w:r w:rsidR="008F4330" w:rsidRPr="000A7C5F">
        <w:rPr>
          <w:szCs w:val="28"/>
        </w:rPr>
        <w:t xml:space="preserve">. This is being challenged in the high court. </w:t>
      </w:r>
    </w:p>
    <w:p w14:paraId="13976EDC" w14:textId="77777777" w:rsidR="00C629F4" w:rsidRPr="000A7C5F" w:rsidRDefault="00C629F4" w:rsidP="00E739BB">
      <w:pPr>
        <w:pStyle w:val="ListParagraph"/>
        <w:rPr>
          <w:szCs w:val="28"/>
        </w:rPr>
      </w:pPr>
    </w:p>
    <w:p w14:paraId="1676E98A" w14:textId="6A62664E" w:rsidR="00C629F4" w:rsidRPr="000A7C5F" w:rsidRDefault="00C629F4" w:rsidP="00794060">
      <w:pPr>
        <w:pStyle w:val="ListParagraph"/>
        <w:numPr>
          <w:ilvl w:val="0"/>
          <w:numId w:val="3"/>
        </w:numPr>
        <w:ind w:left="851" w:hanging="851"/>
        <w:rPr>
          <w:szCs w:val="28"/>
        </w:rPr>
      </w:pPr>
      <w:r w:rsidRPr="000A7C5F">
        <w:rPr>
          <w:szCs w:val="28"/>
        </w:rPr>
        <w:t>The pandemic caused isolation for many DDP</w:t>
      </w:r>
      <w:r w:rsidR="003C4231" w:rsidRPr="000A7C5F">
        <w:rPr>
          <w:rStyle w:val="FootnoteReference"/>
          <w:szCs w:val="28"/>
        </w:rPr>
        <w:footnoteReference w:id="70"/>
      </w:r>
      <w:r w:rsidRPr="000A7C5F">
        <w:rPr>
          <w:szCs w:val="28"/>
        </w:rPr>
        <w:t>, particularly those who are digitally excluded. For others, mainstream adoption of remote technology led to an unprecedented degree of inclusion</w:t>
      </w:r>
      <w:r w:rsidR="00321527" w:rsidRPr="000A7C5F">
        <w:rPr>
          <w:szCs w:val="28"/>
        </w:rPr>
        <w:t xml:space="preserve"> for certain groups of DDP</w:t>
      </w:r>
      <w:r w:rsidRPr="000A7C5F">
        <w:rPr>
          <w:szCs w:val="28"/>
        </w:rPr>
        <w:t xml:space="preserve"> in areas including education and study </w:t>
      </w:r>
      <w:r w:rsidRPr="000A7C5F">
        <w:rPr>
          <w:szCs w:val="28"/>
        </w:rPr>
        <w:lastRenderedPageBreak/>
        <w:t>(</w:t>
      </w:r>
      <w:r w:rsidR="00321527" w:rsidRPr="000A7C5F">
        <w:rPr>
          <w:szCs w:val="28"/>
        </w:rPr>
        <w:t>a</w:t>
      </w:r>
      <w:r w:rsidRPr="000A7C5F">
        <w:rPr>
          <w:szCs w:val="28"/>
        </w:rPr>
        <w:t>rticle 24)</w:t>
      </w:r>
      <w:r w:rsidRPr="000A7C5F">
        <w:rPr>
          <w:rStyle w:val="FootnoteReference"/>
          <w:szCs w:val="28"/>
        </w:rPr>
        <w:footnoteReference w:id="71"/>
      </w:r>
      <w:r w:rsidRPr="000A7C5F">
        <w:rPr>
          <w:szCs w:val="28"/>
        </w:rPr>
        <w:t xml:space="preserve">, </w:t>
      </w:r>
      <w:r w:rsidR="00321527" w:rsidRPr="000A7C5F">
        <w:rPr>
          <w:szCs w:val="28"/>
        </w:rPr>
        <w:t>medical appointments and health (25)</w:t>
      </w:r>
      <w:r w:rsidR="00321527" w:rsidRPr="000A7C5F">
        <w:rPr>
          <w:rStyle w:val="FootnoteReference"/>
          <w:szCs w:val="28"/>
        </w:rPr>
        <w:footnoteReference w:id="72"/>
      </w:r>
      <w:r w:rsidR="00321527" w:rsidRPr="000A7C5F">
        <w:rPr>
          <w:szCs w:val="28"/>
        </w:rPr>
        <w:t xml:space="preserve">, </w:t>
      </w:r>
      <w:r w:rsidRPr="000A7C5F">
        <w:rPr>
          <w:szCs w:val="28"/>
        </w:rPr>
        <w:t>work (27)</w:t>
      </w:r>
      <w:r w:rsidRPr="000A7C5F">
        <w:rPr>
          <w:rStyle w:val="FootnoteReference"/>
          <w:szCs w:val="28"/>
        </w:rPr>
        <w:footnoteReference w:id="73"/>
      </w:r>
      <w:r w:rsidRPr="000A7C5F">
        <w:rPr>
          <w:szCs w:val="28"/>
        </w:rPr>
        <w:t xml:space="preserve">, </w:t>
      </w:r>
      <w:r w:rsidR="004D4DF8">
        <w:rPr>
          <w:szCs w:val="28"/>
        </w:rPr>
        <w:t>benefit assessments and tribunals (28)</w:t>
      </w:r>
      <w:r w:rsidR="004D4DF8">
        <w:rPr>
          <w:rStyle w:val="FootnoteReference"/>
          <w:szCs w:val="28"/>
        </w:rPr>
        <w:footnoteReference w:id="74"/>
      </w:r>
      <w:r w:rsidR="004D4DF8">
        <w:rPr>
          <w:szCs w:val="28"/>
        </w:rPr>
        <w:t xml:space="preserve">, </w:t>
      </w:r>
      <w:r w:rsidRPr="000A7C5F">
        <w:rPr>
          <w:szCs w:val="28"/>
        </w:rPr>
        <w:t>participation in politics and public life (29)</w:t>
      </w:r>
      <w:r w:rsidRPr="000A7C5F">
        <w:rPr>
          <w:rStyle w:val="FootnoteReference"/>
          <w:szCs w:val="28"/>
        </w:rPr>
        <w:footnoteReference w:id="75"/>
      </w:r>
      <w:r w:rsidRPr="000A7C5F">
        <w:rPr>
          <w:szCs w:val="28"/>
        </w:rPr>
        <w:t xml:space="preserve">, </w:t>
      </w:r>
      <w:r w:rsidR="00321527" w:rsidRPr="000A7C5F">
        <w:rPr>
          <w:szCs w:val="28"/>
        </w:rPr>
        <w:t xml:space="preserve">and </w:t>
      </w:r>
      <w:r w:rsidRPr="000A7C5F">
        <w:rPr>
          <w:szCs w:val="28"/>
        </w:rPr>
        <w:t>culture and leisure activities (30)</w:t>
      </w:r>
      <w:r w:rsidRPr="000A7C5F">
        <w:rPr>
          <w:rStyle w:val="FootnoteReference"/>
          <w:szCs w:val="28"/>
        </w:rPr>
        <w:footnoteReference w:id="76"/>
      </w:r>
      <w:r w:rsidRPr="000A7C5F">
        <w:rPr>
          <w:szCs w:val="28"/>
        </w:rPr>
        <w:t xml:space="preserve">. </w:t>
      </w:r>
      <w:r w:rsidR="005D11F8" w:rsidRPr="000A7C5F">
        <w:rPr>
          <w:szCs w:val="28"/>
        </w:rPr>
        <w:t xml:space="preserve">The ELCI community </w:t>
      </w:r>
      <w:r w:rsidR="00321527" w:rsidRPr="000A7C5F">
        <w:rPr>
          <w:szCs w:val="28"/>
        </w:rPr>
        <w:t xml:space="preserve">particularly </w:t>
      </w:r>
      <w:r w:rsidR="005D11F8" w:rsidRPr="000A7C5F">
        <w:rPr>
          <w:szCs w:val="28"/>
        </w:rPr>
        <w:t>benefited. Pre-pandemic 72% of survey respondents with ELCI reported having had remote access requests denied</w:t>
      </w:r>
      <w:r w:rsidR="005D11F8" w:rsidRPr="000A7C5F">
        <w:rPr>
          <w:rStyle w:val="FootnoteReference"/>
          <w:szCs w:val="28"/>
        </w:rPr>
        <w:footnoteReference w:id="77"/>
      </w:r>
      <w:r w:rsidR="005D11F8" w:rsidRPr="000A7C5F">
        <w:rPr>
          <w:szCs w:val="28"/>
        </w:rPr>
        <w:t xml:space="preserve">. </w:t>
      </w:r>
      <w:r w:rsidRPr="000A7C5F">
        <w:rPr>
          <w:szCs w:val="28"/>
        </w:rPr>
        <w:t>DDP report that this level of access has not been adopted as a ‘new normal’, rather the gains are now being removed</w:t>
      </w:r>
      <w:r w:rsidRPr="000A7C5F">
        <w:rPr>
          <w:rStyle w:val="FootnoteReference"/>
          <w:szCs w:val="28"/>
        </w:rPr>
        <w:footnoteReference w:id="78"/>
      </w:r>
      <w:r w:rsidRPr="000A7C5F">
        <w:rPr>
          <w:szCs w:val="28"/>
        </w:rPr>
        <w:t xml:space="preserve">. </w:t>
      </w:r>
    </w:p>
    <w:p w14:paraId="57158472" w14:textId="77777777" w:rsidR="0002289A" w:rsidRPr="000A7C5F" w:rsidRDefault="0002289A" w:rsidP="00E739BB">
      <w:pPr>
        <w:pStyle w:val="ListParagraph"/>
        <w:ind w:left="851" w:hanging="851"/>
        <w:rPr>
          <w:szCs w:val="28"/>
        </w:rPr>
      </w:pPr>
    </w:p>
    <w:p w14:paraId="7E31C9BE" w14:textId="0EA7AD7A" w:rsidR="0002289A" w:rsidRPr="000A7C5F" w:rsidRDefault="0002289A" w:rsidP="00794060">
      <w:pPr>
        <w:pStyle w:val="ListParagraph"/>
        <w:numPr>
          <w:ilvl w:val="0"/>
          <w:numId w:val="3"/>
        </w:numPr>
        <w:ind w:left="851" w:hanging="851"/>
        <w:rPr>
          <w:szCs w:val="28"/>
        </w:rPr>
      </w:pPr>
      <w:r w:rsidRPr="000A7C5F">
        <w:rPr>
          <w:szCs w:val="28"/>
        </w:rPr>
        <w:t xml:space="preserve">The implementation of ‘colourful crossings’ in an attempt to attract customers back to urban centres </w:t>
      </w:r>
      <w:r w:rsidR="00321527" w:rsidRPr="000A7C5F">
        <w:rPr>
          <w:szCs w:val="28"/>
        </w:rPr>
        <w:t xml:space="preserve">post-pandemic </w:t>
      </w:r>
      <w:r w:rsidRPr="000A7C5F">
        <w:rPr>
          <w:szCs w:val="28"/>
        </w:rPr>
        <w:t>renders pedestrian crossings inaccessible to certain groups including those who are visually impaired. DDPOs were not consulted beforehand</w:t>
      </w:r>
      <w:r w:rsidR="00EA0839" w:rsidRPr="000A7C5F">
        <w:rPr>
          <w:rStyle w:val="FootnoteReference"/>
          <w:szCs w:val="28"/>
        </w:rPr>
        <w:footnoteReference w:id="79"/>
      </w:r>
      <w:r w:rsidRPr="000A7C5F">
        <w:rPr>
          <w:szCs w:val="28"/>
        </w:rPr>
        <w:t xml:space="preserve">. In response to campaigning, the Mayor of London imposed a moratorium upon installation of the crossings on routes controlled by Transport for London and requested London LAs do </w:t>
      </w:r>
      <w:r w:rsidRPr="000A7C5F">
        <w:rPr>
          <w:szCs w:val="28"/>
        </w:rPr>
        <w:lastRenderedPageBreak/>
        <w:t>the same</w:t>
      </w:r>
      <w:r w:rsidR="00EA0839" w:rsidRPr="000A7C5F">
        <w:rPr>
          <w:rStyle w:val="FootnoteReference"/>
          <w:szCs w:val="28"/>
        </w:rPr>
        <w:footnoteReference w:id="80"/>
      </w:r>
      <w:r w:rsidRPr="000A7C5F">
        <w:rPr>
          <w:szCs w:val="28"/>
        </w:rPr>
        <w:t xml:space="preserve">. </w:t>
      </w:r>
      <w:proofErr w:type="spellStart"/>
      <w:r w:rsidRPr="000A7C5F">
        <w:rPr>
          <w:szCs w:val="28"/>
        </w:rPr>
        <w:t>WeG’s</w:t>
      </w:r>
      <w:proofErr w:type="spellEnd"/>
      <w:r w:rsidRPr="000A7C5F">
        <w:rPr>
          <w:szCs w:val="28"/>
        </w:rPr>
        <w:t xml:space="preserve"> Department of Transport </w:t>
      </w:r>
      <w:r w:rsidR="00EA0839" w:rsidRPr="000A7C5F">
        <w:rPr>
          <w:szCs w:val="28"/>
        </w:rPr>
        <w:t xml:space="preserve">chose not to </w:t>
      </w:r>
      <w:r w:rsidR="00321527" w:rsidRPr="000A7C5F">
        <w:rPr>
          <w:szCs w:val="28"/>
        </w:rPr>
        <w:t xml:space="preserve">make similar requests of </w:t>
      </w:r>
      <w:r w:rsidR="00EA0839" w:rsidRPr="000A7C5F">
        <w:rPr>
          <w:szCs w:val="28"/>
        </w:rPr>
        <w:t>LAs o</w:t>
      </w:r>
      <w:r w:rsidR="00321527" w:rsidRPr="000A7C5F">
        <w:rPr>
          <w:szCs w:val="28"/>
        </w:rPr>
        <w:t>utside London</w:t>
      </w:r>
      <w:r w:rsidR="00EA0839" w:rsidRPr="000A7C5F">
        <w:rPr>
          <w:rStyle w:val="FootnoteReference"/>
          <w:szCs w:val="28"/>
        </w:rPr>
        <w:footnoteReference w:id="81"/>
      </w:r>
      <w:r w:rsidRPr="000A7C5F">
        <w:rPr>
          <w:szCs w:val="28"/>
        </w:rPr>
        <w:t>.</w:t>
      </w:r>
    </w:p>
    <w:p w14:paraId="7B67D641" w14:textId="7C9D5791" w:rsidR="00E14370" w:rsidRPr="000A7C5F" w:rsidRDefault="00E14370" w:rsidP="00BB6A41">
      <w:pPr>
        <w:pStyle w:val="ArticleHeading"/>
      </w:pPr>
      <w:r w:rsidRPr="000A7C5F">
        <w:t>Article 16</w:t>
      </w:r>
      <w:r w:rsidR="00F50FCD" w:rsidRPr="000A7C5F">
        <w:t xml:space="preserve"> </w:t>
      </w:r>
      <w:r w:rsidR="00560018">
        <w:t>–</w:t>
      </w:r>
      <w:r w:rsidR="00F50FCD" w:rsidRPr="000A7C5F">
        <w:t xml:space="preserve"> Freedom from exploitation, violence and abuse</w:t>
      </w:r>
    </w:p>
    <w:p w14:paraId="22A5CCFB" w14:textId="4F12D87D" w:rsidR="007428FC" w:rsidRPr="000A7C5F" w:rsidRDefault="007428FC" w:rsidP="00794060">
      <w:pPr>
        <w:pStyle w:val="ListParagraph"/>
        <w:numPr>
          <w:ilvl w:val="0"/>
          <w:numId w:val="3"/>
        </w:numPr>
        <w:ind w:left="851" w:hanging="851"/>
        <w:rPr>
          <w:szCs w:val="28"/>
        </w:rPr>
      </w:pPr>
      <w:r w:rsidRPr="000A7C5F">
        <w:rPr>
          <w:szCs w:val="28"/>
        </w:rPr>
        <w:t>Disability hate crime has risen both on- and off-line</w:t>
      </w:r>
      <w:r w:rsidR="00321527" w:rsidRPr="000A7C5F">
        <w:rPr>
          <w:szCs w:val="28"/>
        </w:rPr>
        <w:t>.</w:t>
      </w:r>
      <w:r w:rsidRPr="000A7C5F">
        <w:rPr>
          <w:szCs w:val="28"/>
        </w:rPr>
        <w:t xml:space="preserve"> </w:t>
      </w:r>
      <w:r w:rsidR="00321527" w:rsidRPr="000A7C5F">
        <w:rPr>
          <w:szCs w:val="28"/>
        </w:rPr>
        <w:t>P</w:t>
      </w:r>
      <w:r w:rsidRPr="000A7C5F">
        <w:rPr>
          <w:szCs w:val="28"/>
        </w:rPr>
        <w:t xml:space="preserve">rosecutions are infrequent and organisations supporting </w:t>
      </w:r>
      <w:r w:rsidR="00321527" w:rsidRPr="000A7C5F">
        <w:rPr>
          <w:szCs w:val="28"/>
        </w:rPr>
        <w:t xml:space="preserve">Deaf and </w:t>
      </w:r>
      <w:r w:rsidRPr="000A7C5F">
        <w:rPr>
          <w:szCs w:val="28"/>
        </w:rPr>
        <w:t>Disabled victims report poor responses from the police.</w:t>
      </w:r>
    </w:p>
    <w:p w14:paraId="53FC2404" w14:textId="77777777" w:rsidR="00732222" w:rsidRPr="000A7C5F" w:rsidRDefault="00732222" w:rsidP="00E739BB">
      <w:pPr>
        <w:pStyle w:val="ListParagraph"/>
        <w:ind w:left="851" w:hanging="851"/>
        <w:rPr>
          <w:szCs w:val="28"/>
        </w:rPr>
      </w:pPr>
    </w:p>
    <w:p w14:paraId="4FF6C188" w14:textId="2C164191" w:rsidR="001075C5" w:rsidRPr="000A7C5F" w:rsidRDefault="004E3C2F" w:rsidP="00794060">
      <w:pPr>
        <w:pStyle w:val="ListParagraph"/>
        <w:numPr>
          <w:ilvl w:val="0"/>
          <w:numId w:val="3"/>
        </w:numPr>
        <w:ind w:left="851" w:hanging="851"/>
        <w:rPr>
          <w:szCs w:val="28"/>
        </w:rPr>
      </w:pPr>
      <w:r w:rsidRPr="000A7C5F">
        <w:rPr>
          <w:szCs w:val="28"/>
        </w:rPr>
        <w:t>Reports of disability hate crime rose by 9% between 2019 and 2020</w:t>
      </w:r>
      <w:r w:rsidR="00177027" w:rsidRPr="000A7C5F">
        <w:rPr>
          <w:rStyle w:val="FootnoteReference"/>
          <w:szCs w:val="28"/>
        </w:rPr>
        <w:footnoteReference w:id="82"/>
      </w:r>
      <w:r w:rsidR="00177027" w:rsidRPr="000A7C5F">
        <w:rPr>
          <w:szCs w:val="28"/>
        </w:rPr>
        <w:t xml:space="preserve"> </w:t>
      </w:r>
      <w:r w:rsidRPr="000A7C5F">
        <w:rPr>
          <w:szCs w:val="28"/>
        </w:rPr>
        <w:t>and by 14% from 2017 – 2019</w:t>
      </w:r>
      <w:r w:rsidRPr="000A7C5F">
        <w:rPr>
          <w:rStyle w:val="FootnoteReference"/>
          <w:szCs w:val="28"/>
        </w:rPr>
        <w:footnoteReference w:id="83"/>
      </w:r>
      <w:r w:rsidRPr="000A7C5F">
        <w:rPr>
          <w:szCs w:val="28"/>
        </w:rPr>
        <w:t xml:space="preserve">. </w:t>
      </w:r>
      <w:r w:rsidR="004601B8" w:rsidRPr="000A7C5F">
        <w:rPr>
          <w:szCs w:val="28"/>
        </w:rPr>
        <w:t>Disability h</w:t>
      </w:r>
      <w:r w:rsidR="00A2731C" w:rsidRPr="000A7C5F">
        <w:rPr>
          <w:szCs w:val="28"/>
        </w:rPr>
        <w:t>ate crime in London soared</w:t>
      </w:r>
      <w:r w:rsidR="009B5D78" w:rsidRPr="000A7C5F">
        <w:rPr>
          <w:szCs w:val="28"/>
        </w:rPr>
        <w:t xml:space="preserve"> by 20% in 2019/2020 with around half classified as violence</w:t>
      </w:r>
      <w:r w:rsidR="002C4656" w:rsidRPr="000A7C5F">
        <w:rPr>
          <w:rStyle w:val="FootnoteReference"/>
          <w:szCs w:val="28"/>
        </w:rPr>
        <w:footnoteReference w:id="84"/>
      </w:r>
      <w:r w:rsidR="009B5D78" w:rsidRPr="000A7C5F">
        <w:rPr>
          <w:szCs w:val="28"/>
        </w:rPr>
        <w:t xml:space="preserve">. </w:t>
      </w:r>
      <w:r w:rsidR="00AD2526" w:rsidRPr="000A7C5F">
        <w:rPr>
          <w:szCs w:val="28"/>
        </w:rPr>
        <w:t xml:space="preserve">One in four DDP feel unsafe to travel on public </w:t>
      </w:r>
      <w:r w:rsidR="00AD2526" w:rsidRPr="000A7C5F">
        <w:rPr>
          <w:szCs w:val="28"/>
        </w:rPr>
        <w:lastRenderedPageBreak/>
        <w:t>transport due to negative attitudes from other passengers</w:t>
      </w:r>
      <w:r w:rsidR="00AD2526" w:rsidRPr="000A7C5F">
        <w:rPr>
          <w:rStyle w:val="FootnoteReference"/>
          <w:szCs w:val="28"/>
        </w:rPr>
        <w:footnoteReference w:id="85"/>
      </w:r>
      <w:r w:rsidR="00AD2526" w:rsidRPr="000A7C5F">
        <w:rPr>
          <w:szCs w:val="28"/>
        </w:rPr>
        <w:t xml:space="preserve">. </w:t>
      </w:r>
      <w:r w:rsidR="0035043E" w:rsidRPr="000A7C5F">
        <w:rPr>
          <w:szCs w:val="28"/>
        </w:rPr>
        <w:t>A Parliamentary inquiry into online hate crime against Disabled people heard how DDP were leaving social media due to abuse and found that “Self-regulation of social media has failed disabled people”</w:t>
      </w:r>
      <w:r w:rsidR="0035043E" w:rsidRPr="000A7C5F">
        <w:rPr>
          <w:rStyle w:val="FootnoteReference"/>
          <w:szCs w:val="28"/>
        </w:rPr>
        <w:footnoteReference w:id="86"/>
      </w:r>
      <w:r w:rsidR="0035043E" w:rsidRPr="000A7C5F">
        <w:rPr>
          <w:szCs w:val="28"/>
        </w:rPr>
        <w:t>.</w:t>
      </w:r>
    </w:p>
    <w:p w14:paraId="58B23FBB" w14:textId="77777777" w:rsidR="001075C5" w:rsidRPr="000A7C5F" w:rsidRDefault="001075C5" w:rsidP="00E739BB">
      <w:pPr>
        <w:pStyle w:val="ListParagraph"/>
        <w:ind w:left="851" w:hanging="851"/>
        <w:rPr>
          <w:szCs w:val="28"/>
        </w:rPr>
      </w:pPr>
    </w:p>
    <w:p w14:paraId="3240AA14" w14:textId="01B5CE49" w:rsidR="001075C5" w:rsidRPr="000A7C5F" w:rsidRDefault="00403EF3" w:rsidP="00794060">
      <w:pPr>
        <w:pStyle w:val="ListParagraph"/>
        <w:numPr>
          <w:ilvl w:val="0"/>
          <w:numId w:val="3"/>
        </w:numPr>
        <w:ind w:left="851" w:hanging="851"/>
        <w:rPr>
          <w:szCs w:val="28"/>
        </w:rPr>
      </w:pPr>
      <w:r w:rsidRPr="000A7C5F">
        <w:rPr>
          <w:szCs w:val="28"/>
        </w:rPr>
        <w:t>O</w:t>
      </w:r>
      <w:r w:rsidR="004601B8" w:rsidRPr="000A7C5F">
        <w:rPr>
          <w:szCs w:val="28"/>
        </w:rPr>
        <w:t>nly one in 62 cases of disability hate crime received a charge in 2019 – 2020</w:t>
      </w:r>
      <w:r w:rsidR="004601B8" w:rsidRPr="000A7C5F">
        <w:rPr>
          <w:rStyle w:val="FootnoteReference"/>
          <w:szCs w:val="28"/>
        </w:rPr>
        <w:footnoteReference w:id="87"/>
      </w:r>
      <w:r w:rsidR="004601B8" w:rsidRPr="000A7C5F">
        <w:rPr>
          <w:szCs w:val="28"/>
        </w:rPr>
        <w:t xml:space="preserve">. </w:t>
      </w:r>
      <w:r w:rsidR="006A7368" w:rsidRPr="000A7C5F">
        <w:rPr>
          <w:szCs w:val="28"/>
        </w:rPr>
        <w:t>DDPO</w:t>
      </w:r>
      <w:r w:rsidR="004601B8" w:rsidRPr="000A7C5F">
        <w:rPr>
          <w:szCs w:val="28"/>
        </w:rPr>
        <w:t xml:space="preserve">s supporting victims </w:t>
      </w:r>
      <w:r w:rsidRPr="000A7C5F">
        <w:rPr>
          <w:szCs w:val="28"/>
        </w:rPr>
        <w:t>report</w:t>
      </w:r>
      <w:r w:rsidR="004601B8" w:rsidRPr="000A7C5F">
        <w:rPr>
          <w:szCs w:val="28"/>
        </w:rPr>
        <w:t xml:space="preserve"> poor response</w:t>
      </w:r>
      <w:r w:rsidRPr="000A7C5F">
        <w:rPr>
          <w:szCs w:val="28"/>
        </w:rPr>
        <w:t>s</w:t>
      </w:r>
      <w:r w:rsidR="004601B8" w:rsidRPr="000A7C5F">
        <w:rPr>
          <w:szCs w:val="28"/>
        </w:rPr>
        <w:t xml:space="preserve"> from the Metropolitan Police </w:t>
      </w:r>
      <w:r w:rsidRPr="000A7C5F">
        <w:rPr>
          <w:szCs w:val="28"/>
        </w:rPr>
        <w:t>across London</w:t>
      </w:r>
      <w:r w:rsidR="001265C8" w:rsidRPr="000A7C5F">
        <w:rPr>
          <w:szCs w:val="28"/>
        </w:rPr>
        <w:t xml:space="preserve"> which</w:t>
      </w:r>
      <w:r w:rsidRPr="000A7C5F">
        <w:rPr>
          <w:szCs w:val="28"/>
        </w:rPr>
        <w:t xml:space="preserve"> reflects experiences reported across the UK</w:t>
      </w:r>
      <w:r w:rsidRPr="000A7C5F">
        <w:rPr>
          <w:rStyle w:val="FootnoteReference"/>
          <w:szCs w:val="28"/>
        </w:rPr>
        <w:footnoteReference w:id="88"/>
      </w:r>
      <w:r w:rsidR="004601B8" w:rsidRPr="000A7C5F">
        <w:rPr>
          <w:szCs w:val="28"/>
        </w:rPr>
        <w:t>.</w:t>
      </w:r>
    </w:p>
    <w:p w14:paraId="75C99F39" w14:textId="77777777" w:rsidR="001075C5" w:rsidRPr="000A7C5F" w:rsidRDefault="001075C5" w:rsidP="00E739BB">
      <w:pPr>
        <w:pStyle w:val="ListParagraph"/>
        <w:ind w:left="851" w:hanging="851"/>
        <w:rPr>
          <w:szCs w:val="28"/>
        </w:rPr>
      </w:pPr>
    </w:p>
    <w:p w14:paraId="166BCADC" w14:textId="5794008E" w:rsidR="00E14370" w:rsidRPr="000A7C5F" w:rsidRDefault="006A7368" w:rsidP="00794060">
      <w:pPr>
        <w:pStyle w:val="ListParagraph"/>
        <w:numPr>
          <w:ilvl w:val="0"/>
          <w:numId w:val="3"/>
        </w:numPr>
        <w:ind w:left="851" w:hanging="851"/>
        <w:rPr>
          <w:szCs w:val="28"/>
        </w:rPr>
      </w:pPr>
      <w:r w:rsidRPr="000A7C5F">
        <w:rPr>
          <w:szCs w:val="28"/>
        </w:rPr>
        <w:t xml:space="preserve">Hate </w:t>
      </w:r>
      <w:r w:rsidR="00140D35" w:rsidRPr="000A7C5F">
        <w:rPr>
          <w:szCs w:val="28"/>
        </w:rPr>
        <w:t xml:space="preserve">crime did not stop with </w:t>
      </w:r>
      <w:r w:rsidRPr="000A7C5F">
        <w:rPr>
          <w:szCs w:val="28"/>
        </w:rPr>
        <w:t>the pandemic</w:t>
      </w:r>
      <w:r w:rsidR="00140D35" w:rsidRPr="000A7C5F">
        <w:rPr>
          <w:szCs w:val="28"/>
        </w:rPr>
        <w:t>.</w:t>
      </w:r>
      <w:r w:rsidRPr="000A7C5F">
        <w:rPr>
          <w:szCs w:val="28"/>
        </w:rPr>
        <w:t xml:space="preserve"> </w:t>
      </w:r>
      <w:r w:rsidR="00140D35" w:rsidRPr="000A7C5F">
        <w:rPr>
          <w:szCs w:val="28"/>
        </w:rPr>
        <w:t>T</w:t>
      </w:r>
      <w:r w:rsidR="009B5D78" w:rsidRPr="000A7C5F">
        <w:rPr>
          <w:szCs w:val="28"/>
        </w:rPr>
        <w:t xml:space="preserve">here were 420 disability hate crimes recorded in Cheshire 2020-2021, which </w:t>
      </w:r>
      <w:r w:rsidR="009B5D78" w:rsidRPr="000A7C5F">
        <w:rPr>
          <w:szCs w:val="28"/>
        </w:rPr>
        <w:lastRenderedPageBreak/>
        <w:t>represents a 22% increase</w:t>
      </w:r>
      <w:r w:rsidR="009B5D78" w:rsidRPr="000A7C5F">
        <w:rPr>
          <w:rStyle w:val="FootnoteReference"/>
          <w:szCs w:val="28"/>
        </w:rPr>
        <w:footnoteReference w:id="89"/>
      </w:r>
      <w:r w:rsidR="009B5D78" w:rsidRPr="000A7C5F">
        <w:rPr>
          <w:szCs w:val="28"/>
        </w:rPr>
        <w:t>. Almost a fifth of victims were aged under 15.</w:t>
      </w:r>
      <w:r w:rsidR="002C4656" w:rsidRPr="000A7C5F">
        <w:rPr>
          <w:szCs w:val="28"/>
        </w:rPr>
        <w:t xml:space="preserve"> There was also a significant rise in </w:t>
      </w:r>
      <w:r w:rsidR="00757E9A" w:rsidRPr="000A7C5F">
        <w:rPr>
          <w:szCs w:val="28"/>
        </w:rPr>
        <w:t>online hate crime towards DDP</w:t>
      </w:r>
      <w:r w:rsidR="0035043E" w:rsidRPr="000A7C5F">
        <w:rPr>
          <w:szCs w:val="28"/>
        </w:rPr>
        <w:t xml:space="preserve"> and concerns in particular about</w:t>
      </w:r>
      <w:r w:rsidR="00757E9A" w:rsidRPr="000A7C5F">
        <w:rPr>
          <w:szCs w:val="28"/>
        </w:rPr>
        <w:t xml:space="preserve"> a form </w:t>
      </w:r>
      <w:r w:rsidR="0035043E" w:rsidRPr="000A7C5F">
        <w:rPr>
          <w:szCs w:val="28"/>
        </w:rPr>
        <w:t xml:space="preserve">of hate crime </w:t>
      </w:r>
      <w:r w:rsidR="00757E9A" w:rsidRPr="000A7C5F">
        <w:rPr>
          <w:szCs w:val="28"/>
        </w:rPr>
        <w:t>known as “</w:t>
      </w:r>
      <w:proofErr w:type="spellStart"/>
      <w:r w:rsidR="00757E9A" w:rsidRPr="000A7C5F">
        <w:rPr>
          <w:szCs w:val="28"/>
        </w:rPr>
        <w:t>doxxing</w:t>
      </w:r>
      <w:proofErr w:type="spellEnd"/>
      <w:r w:rsidR="00757E9A" w:rsidRPr="000A7C5F">
        <w:rPr>
          <w:szCs w:val="28"/>
        </w:rPr>
        <w:t>”</w:t>
      </w:r>
      <w:r w:rsidR="00757E9A" w:rsidRPr="000A7C5F">
        <w:rPr>
          <w:rStyle w:val="FootnoteReference"/>
          <w:szCs w:val="28"/>
        </w:rPr>
        <w:footnoteReference w:id="90"/>
      </w:r>
      <w:r w:rsidR="00757E9A" w:rsidRPr="000A7C5F">
        <w:rPr>
          <w:szCs w:val="28"/>
        </w:rPr>
        <w:t>.</w:t>
      </w:r>
    </w:p>
    <w:p w14:paraId="71AC8E8C" w14:textId="77777777" w:rsidR="00F1277B" w:rsidRPr="000A7C5F" w:rsidRDefault="00F1277B" w:rsidP="00E739BB">
      <w:pPr>
        <w:pStyle w:val="ListParagraph"/>
        <w:rPr>
          <w:szCs w:val="28"/>
        </w:rPr>
      </w:pPr>
    </w:p>
    <w:p w14:paraId="6D22FB8D" w14:textId="49A5A18E" w:rsidR="00D6278E" w:rsidRPr="000A7C5F" w:rsidRDefault="00D6278E" w:rsidP="00794060">
      <w:pPr>
        <w:pStyle w:val="ListParagraph"/>
        <w:numPr>
          <w:ilvl w:val="0"/>
          <w:numId w:val="3"/>
        </w:numPr>
        <w:ind w:left="851" w:hanging="851"/>
        <w:rPr>
          <w:szCs w:val="28"/>
        </w:rPr>
      </w:pPr>
      <w:r w:rsidRPr="000A7C5F">
        <w:rPr>
          <w:szCs w:val="28"/>
        </w:rPr>
        <w:t>D</w:t>
      </w:r>
      <w:r w:rsidR="00733352" w:rsidRPr="000A7C5F">
        <w:rPr>
          <w:szCs w:val="28"/>
        </w:rPr>
        <w:t>DP with identities under more than one protected characteristic are subject to harassment a</w:t>
      </w:r>
      <w:r w:rsidR="00140D35" w:rsidRPr="000A7C5F">
        <w:rPr>
          <w:szCs w:val="28"/>
        </w:rPr>
        <w:t>n</w:t>
      </w:r>
      <w:r w:rsidR="00733352" w:rsidRPr="000A7C5F">
        <w:rPr>
          <w:szCs w:val="28"/>
        </w:rPr>
        <w:t>d hostility on multiple and intersecting levels</w:t>
      </w:r>
      <w:r w:rsidRPr="000A7C5F">
        <w:rPr>
          <w:szCs w:val="28"/>
        </w:rPr>
        <w:t>.</w:t>
      </w:r>
      <w:r w:rsidR="00733352" w:rsidRPr="000A7C5F">
        <w:rPr>
          <w:szCs w:val="28"/>
        </w:rPr>
        <w:t xml:space="preserve"> </w:t>
      </w:r>
      <w:r w:rsidR="009640BC" w:rsidRPr="000A7C5F">
        <w:rPr>
          <w:szCs w:val="28"/>
        </w:rPr>
        <w:t>In the evidence we received w</w:t>
      </w:r>
      <w:r w:rsidRPr="000A7C5F">
        <w:rPr>
          <w:szCs w:val="28"/>
        </w:rPr>
        <w:t xml:space="preserve">e heard about bullying </w:t>
      </w:r>
      <w:r w:rsidR="00140D35" w:rsidRPr="000A7C5F">
        <w:rPr>
          <w:szCs w:val="28"/>
        </w:rPr>
        <w:t xml:space="preserve">of </w:t>
      </w:r>
      <w:r w:rsidRPr="000A7C5F">
        <w:rPr>
          <w:szCs w:val="28"/>
        </w:rPr>
        <w:t>CYP from GRT communities</w:t>
      </w:r>
      <w:r w:rsidR="00140D35" w:rsidRPr="000A7C5F">
        <w:rPr>
          <w:szCs w:val="28"/>
        </w:rPr>
        <w:t xml:space="preserve"> at school</w:t>
      </w:r>
      <w:r w:rsidRPr="000A7C5F">
        <w:rPr>
          <w:rStyle w:val="FootnoteReference"/>
          <w:szCs w:val="28"/>
        </w:rPr>
        <w:footnoteReference w:id="91"/>
      </w:r>
      <w:r w:rsidRPr="000A7C5F">
        <w:rPr>
          <w:szCs w:val="28"/>
        </w:rPr>
        <w:t xml:space="preserve"> and </w:t>
      </w:r>
      <w:r w:rsidR="00140D35" w:rsidRPr="000A7C5F">
        <w:rPr>
          <w:szCs w:val="28"/>
        </w:rPr>
        <w:t xml:space="preserve">about </w:t>
      </w:r>
      <w:r w:rsidR="009640BC" w:rsidRPr="000A7C5F">
        <w:rPr>
          <w:szCs w:val="28"/>
        </w:rPr>
        <w:t xml:space="preserve">hostility experienced by </w:t>
      </w:r>
      <w:r w:rsidR="00140D35" w:rsidRPr="000A7C5F">
        <w:rPr>
          <w:szCs w:val="28"/>
        </w:rPr>
        <w:t>DDP who are asylum seekers and refugees</w:t>
      </w:r>
      <w:r w:rsidR="00140D35" w:rsidRPr="000A7C5F">
        <w:rPr>
          <w:rStyle w:val="FootnoteReference"/>
          <w:szCs w:val="28"/>
        </w:rPr>
        <w:footnoteReference w:id="92"/>
      </w:r>
      <w:r w:rsidR="00140D35" w:rsidRPr="000A7C5F">
        <w:rPr>
          <w:szCs w:val="28"/>
        </w:rPr>
        <w:t xml:space="preserve"> and from </w:t>
      </w:r>
      <w:r w:rsidRPr="000A7C5F">
        <w:rPr>
          <w:szCs w:val="28"/>
        </w:rPr>
        <w:t>GRT communities</w:t>
      </w:r>
      <w:r w:rsidR="00733352" w:rsidRPr="000A7C5F">
        <w:rPr>
          <w:rStyle w:val="FootnoteReference"/>
          <w:szCs w:val="28"/>
        </w:rPr>
        <w:footnoteReference w:id="93"/>
      </w:r>
      <w:r w:rsidR="00140D35" w:rsidRPr="000A7C5F">
        <w:rPr>
          <w:szCs w:val="28"/>
        </w:rPr>
        <w:t xml:space="preserve">. </w:t>
      </w:r>
      <w:r w:rsidR="00733352" w:rsidRPr="000A7C5F">
        <w:rPr>
          <w:szCs w:val="28"/>
        </w:rPr>
        <w:t>There is no offence in law of intersectional hate crime</w:t>
      </w:r>
      <w:r w:rsidR="00733352" w:rsidRPr="000A7C5F">
        <w:rPr>
          <w:rStyle w:val="FootnoteReference"/>
          <w:szCs w:val="28"/>
        </w:rPr>
        <w:footnoteReference w:id="94"/>
      </w:r>
      <w:r w:rsidR="00733352" w:rsidRPr="000A7C5F">
        <w:rPr>
          <w:szCs w:val="28"/>
        </w:rPr>
        <w:t>.</w:t>
      </w:r>
    </w:p>
    <w:p w14:paraId="36F6E762" w14:textId="77777777" w:rsidR="00733352" w:rsidRPr="000A7C5F" w:rsidRDefault="00733352" w:rsidP="00E739BB">
      <w:pPr>
        <w:pStyle w:val="ListParagraph"/>
        <w:rPr>
          <w:szCs w:val="28"/>
        </w:rPr>
      </w:pPr>
    </w:p>
    <w:p w14:paraId="78D5D784" w14:textId="7B4E4FEA" w:rsidR="001A7E57" w:rsidRPr="0097165F" w:rsidRDefault="00733352" w:rsidP="0097165F">
      <w:pPr>
        <w:pStyle w:val="ListParagraph"/>
        <w:numPr>
          <w:ilvl w:val="0"/>
          <w:numId w:val="3"/>
        </w:numPr>
        <w:ind w:left="851" w:hanging="851"/>
        <w:rPr>
          <w:szCs w:val="28"/>
        </w:rPr>
      </w:pPr>
      <w:r w:rsidRPr="000A7C5F">
        <w:rPr>
          <w:szCs w:val="28"/>
        </w:rPr>
        <w:t>DDP continue to see a link between increased experiences of hostility and government rhetoric and media representations concerning benefit cheats</w:t>
      </w:r>
      <w:r w:rsidR="001D6EF7" w:rsidRPr="000A7C5F">
        <w:rPr>
          <w:rStyle w:val="FootnoteReference"/>
          <w:szCs w:val="28"/>
        </w:rPr>
        <w:footnoteReference w:id="95"/>
      </w:r>
      <w:r w:rsidRPr="000A7C5F">
        <w:rPr>
          <w:szCs w:val="28"/>
        </w:rPr>
        <w:t xml:space="preserve">. </w:t>
      </w:r>
      <w:r w:rsidR="001D6EF7" w:rsidRPr="000A7C5F">
        <w:rPr>
          <w:szCs w:val="28"/>
        </w:rPr>
        <w:t xml:space="preserve">DDP experienced a new layer of demonisation during the pandemic when “the vulnerable” were blamed for the economic harm caused by lockdowns within political messaging (implicitly) and public debate (more </w:t>
      </w:r>
      <w:r w:rsidR="001D6EF7" w:rsidRPr="000A7C5F">
        <w:rPr>
          <w:szCs w:val="28"/>
        </w:rPr>
        <w:lastRenderedPageBreak/>
        <w:t>explicitly)</w:t>
      </w:r>
      <w:r w:rsidR="001D6EF7" w:rsidRPr="000A7C5F">
        <w:rPr>
          <w:rStyle w:val="FootnoteReference"/>
          <w:szCs w:val="28"/>
        </w:rPr>
        <w:footnoteReference w:id="96"/>
      </w:r>
      <w:r w:rsidR="001D6EF7" w:rsidRPr="000A7C5F">
        <w:rPr>
          <w:szCs w:val="28"/>
        </w:rPr>
        <w:t xml:space="preserve">. </w:t>
      </w:r>
      <w:r w:rsidRPr="000A7C5F">
        <w:rPr>
          <w:szCs w:val="28"/>
        </w:rPr>
        <w:t>Positive media campaigns relating to disability tend to focus on the Paralympics and individual achievements in “overcoming challenges” to succeed in society</w:t>
      </w:r>
      <w:r w:rsidR="001D6EF7" w:rsidRPr="000A7C5F">
        <w:rPr>
          <w:rStyle w:val="FootnoteReference"/>
          <w:szCs w:val="28"/>
        </w:rPr>
        <w:footnoteReference w:id="97"/>
      </w:r>
      <w:r w:rsidRPr="000A7C5F">
        <w:rPr>
          <w:szCs w:val="28"/>
        </w:rPr>
        <w:t xml:space="preserve">, rather than </w:t>
      </w:r>
      <w:r w:rsidR="001D6EF7" w:rsidRPr="000A7C5F">
        <w:rPr>
          <w:szCs w:val="28"/>
        </w:rPr>
        <w:t>promoting a positive image of disability linked to the realities of our daily lives which, despite progress</w:t>
      </w:r>
      <w:r w:rsidR="0046390E">
        <w:rPr>
          <w:szCs w:val="28"/>
        </w:rPr>
        <w:t xml:space="preserve"> – </w:t>
      </w:r>
      <w:r w:rsidR="001D6EF7" w:rsidRPr="000A7C5F">
        <w:rPr>
          <w:szCs w:val="28"/>
        </w:rPr>
        <w:t>some of which can be linked to the pandemic-</w:t>
      </w:r>
      <w:r w:rsidR="001D6EF7" w:rsidRPr="000A7C5F">
        <w:rPr>
          <w:rStyle w:val="FootnoteReference"/>
          <w:szCs w:val="28"/>
        </w:rPr>
        <w:footnoteReference w:id="98"/>
      </w:r>
      <w:r w:rsidR="001D6EF7" w:rsidRPr="000A7C5F">
        <w:rPr>
          <w:szCs w:val="28"/>
        </w:rPr>
        <w:t xml:space="preserve">, remain largely misunderstood. </w:t>
      </w:r>
    </w:p>
    <w:p w14:paraId="7A4CA46B" w14:textId="092F1ED9" w:rsidR="00327ABF" w:rsidRPr="000A7C5F" w:rsidRDefault="00327ABF" w:rsidP="00BB6A41">
      <w:pPr>
        <w:pStyle w:val="ArticleHeading"/>
      </w:pPr>
      <w:r w:rsidRPr="000A7C5F">
        <w:t>Article 19</w:t>
      </w:r>
      <w:r w:rsidR="005F6115" w:rsidRPr="000A7C5F">
        <w:t xml:space="preserve"> </w:t>
      </w:r>
      <w:r w:rsidR="00560018">
        <w:t>–</w:t>
      </w:r>
      <w:r w:rsidR="005F6115" w:rsidRPr="000A7C5F">
        <w:t xml:space="preserve"> Living independently and being included in the community</w:t>
      </w:r>
    </w:p>
    <w:p w14:paraId="325FC8DD" w14:textId="14723CCC" w:rsidR="008B02C5" w:rsidRPr="00A85AF5" w:rsidRDefault="008B02C5" w:rsidP="00E739BB">
      <w:pPr>
        <w:pStyle w:val="Heading3"/>
      </w:pPr>
      <w:bookmarkStart w:id="15" w:name="_Toc98504895"/>
      <w:bookmarkStart w:id="16" w:name="SocialCareSection"/>
      <w:r w:rsidRPr="00A85AF5">
        <w:t>Social Care</w:t>
      </w:r>
      <w:bookmarkEnd w:id="15"/>
    </w:p>
    <w:p w14:paraId="0FA52F04" w14:textId="62A24E4C" w:rsidR="00705393" w:rsidRPr="000A7C5F" w:rsidRDefault="005F6115" w:rsidP="00794060">
      <w:pPr>
        <w:pStyle w:val="ListParagraph"/>
        <w:numPr>
          <w:ilvl w:val="0"/>
          <w:numId w:val="3"/>
        </w:numPr>
        <w:ind w:left="851" w:hanging="851"/>
        <w:rPr>
          <w:szCs w:val="28"/>
        </w:rPr>
      </w:pPr>
      <w:r w:rsidRPr="000A7C5F">
        <w:rPr>
          <w:szCs w:val="28"/>
        </w:rPr>
        <w:t>T</w:t>
      </w:r>
      <w:r w:rsidR="00327ABF" w:rsidRPr="000A7C5F">
        <w:rPr>
          <w:szCs w:val="28"/>
        </w:rPr>
        <w:t xml:space="preserve">he crisis in social care </w:t>
      </w:r>
      <w:r w:rsidRPr="000A7C5F">
        <w:rPr>
          <w:szCs w:val="28"/>
        </w:rPr>
        <w:t xml:space="preserve">funding and provision continues to have an </w:t>
      </w:r>
      <w:r w:rsidR="00327ABF" w:rsidRPr="000A7C5F">
        <w:rPr>
          <w:szCs w:val="28"/>
        </w:rPr>
        <w:t xml:space="preserve">adverse impact on DDP’s right to </w:t>
      </w:r>
      <w:r w:rsidR="002379B4" w:rsidRPr="000A7C5F">
        <w:rPr>
          <w:szCs w:val="28"/>
        </w:rPr>
        <w:t>independent living</w:t>
      </w:r>
      <w:r w:rsidR="00327ABF" w:rsidRPr="000A7C5F">
        <w:rPr>
          <w:szCs w:val="28"/>
        </w:rPr>
        <w:t xml:space="preserve">. </w:t>
      </w:r>
      <w:r w:rsidR="005B63EB" w:rsidRPr="000A7C5F">
        <w:rPr>
          <w:szCs w:val="28"/>
        </w:rPr>
        <w:t>Real-terms LA spending on social care was £700 million below what it was in 2010/11.</w:t>
      </w:r>
      <w:r w:rsidR="005B63EB" w:rsidRPr="000A7C5F">
        <w:rPr>
          <w:rStyle w:val="FootnoteReference"/>
          <w:szCs w:val="28"/>
        </w:rPr>
        <w:footnoteReference w:id="99"/>
      </w:r>
      <w:r w:rsidR="005B63EB" w:rsidRPr="000A7C5F">
        <w:rPr>
          <w:szCs w:val="28"/>
        </w:rPr>
        <w:t xml:space="preserve"> </w:t>
      </w:r>
      <w:r w:rsidR="00BE2396" w:rsidRPr="000A7C5F">
        <w:rPr>
          <w:szCs w:val="28"/>
        </w:rPr>
        <w:t xml:space="preserve">The EHRC warned that funding caps to social care support </w:t>
      </w:r>
      <w:r w:rsidR="00140D35" w:rsidRPr="000A7C5F">
        <w:rPr>
          <w:szCs w:val="28"/>
        </w:rPr>
        <w:t>could force</w:t>
      </w:r>
      <w:r w:rsidR="00BE2396" w:rsidRPr="000A7C5F">
        <w:rPr>
          <w:szCs w:val="28"/>
        </w:rPr>
        <w:t xml:space="preserve"> Disabled people into care homes in potential breach of their human rights</w:t>
      </w:r>
      <w:r w:rsidR="00690986" w:rsidRPr="000A7C5F">
        <w:rPr>
          <w:rStyle w:val="FootnoteReference"/>
          <w:szCs w:val="28"/>
        </w:rPr>
        <w:footnoteReference w:id="100"/>
      </w:r>
      <w:r w:rsidR="00BE2396" w:rsidRPr="000A7C5F">
        <w:rPr>
          <w:szCs w:val="28"/>
        </w:rPr>
        <w:t xml:space="preserve">. </w:t>
      </w:r>
      <w:r w:rsidR="00690986" w:rsidRPr="000A7C5F">
        <w:rPr>
          <w:szCs w:val="28"/>
        </w:rPr>
        <w:t xml:space="preserve">NHS organisations revised their </w:t>
      </w:r>
      <w:r w:rsidR="00690986" w:rsidRPr="000A7C5F">
        <w:rPr>
          <w:szCs w:val="28"/>
        </w:rPr>
        <w:lastRenderedPageBreak/>
        <w:t>policies in response to threats of legal action</w:t>
      </w:r>
      <w:r w:rsidR="00690986" w:rsidRPr="000A7C5F">
        <w:rPr>
          <w:rStyle w:val="FootnoteReference"/>
          <w:szCs w:val="28"/>
        </w:rPr>
        <w:footnoteReference w:id="101"/>
      </w:r>
      <w:r w:rsidR="00690986" w:rsidRPr="000A7C5F">
        <w:rPr>
          <w:szCs w:val="28"/>
        </w:rPr>
        <w:t xml:space="preserve"> but individual support packages funded by both LAs and the NHS are still subject to cuts and decisions in breach of Article 19 rights. </w:t>
      </w:r>
      <w:r w:rsidR="00E82391" w:rsidRPr="000A7C5F">
        <w:rPr>
          <w:szCs w:val="28"/>
        </w:rPr>
        <w:t xml:space="preserve">Anecdotal reports </w:t>
      </w:r>
      <w:r w:rsidR="002379B4" w:rsidRPr="000A7C5F">
        <w:rPr>
          <w:szCs w:val="28"/>
        </w:rPr>
        <w:t xml:space="preserve">have increased </w:t>
      </w:r>
      <w:r w:rsidR="00E82391" w:rsidRPr="000A7C5F">
        <w:rPr>
          <w:szCs w:val="28"/>
        </w:rPr>
        <w:t>of DDP’s</w:t>
      </w:r>
      <w:r w:rsidR="00625189" w:rsidRPr="000A7C5F">
        <w:rPr>
          <w:szCs w:val="28"/>
        </w:rPr>
        <w:t xml:space="preserve"> </w:t>
      </w:r>
      <w:r w:rsidR="00E82391" w:rsidRPr="000A7C5F">
        <w:rPr>
          <w:szCs w:val="28"/>
        </w:rPr>
        <w:t xml:space="preserve">threatened </w:t>
      </w:r>
      <w:r w:rsidR="00625189" w:rsidRPr="000A7C5F">
        <w:rPr>
          <w:szCs w:val="28"/>
        </w:rPr>
        <w:t>with</w:t>
      </w:r>
      <w:r w:rsidR="00E82391" w:rsidRPr="000A7C5F">
        <w:rPr>
          <w:szCs w:val="28"/>
        </w:rPr>
        <w:t xml:space="preserve"> move</w:t>
      </w:r>
      <w:r w:rsidR="00625189" w:rsidRPr="000A7C5F">
        <w:rPr>
          <w:szCs w:val="28"/>
        </w:rPr>
        <w:t>s</w:t>
      </w:r>
      <w:r w:rsidR="00E82391" w:rsidRPr="000A7C5F">
        <w:rPr>
          <w:szCs w:val="28"/>
        </w:rPr>
        <w:t xml:space="preserve"> </w:t>
      </w:r>
      <w:r w:rsidR="00625189" w:rsidRPr="000A7C5F">
        <w:rPr>
          <w:szCs w:val="28"/>
        </w:rPr>
        <w:t>to</w:t>
      </w:r>
      <w:r w:rsidR="00E82391" w:rsidRPr="000A7C5F">
        <w:rPr>
          <w:szCs w:val="28"/>
        </w:rPr>
        <w:t xml:space="preserve"> residential </w:t>
      </w:r>
      <w:r w:rsidR="00625189" w:rsidRPr="000A7C5F">
        <w:rPr>
          <w:szCs w:val="28"/>
        </w:rPr>
        <w:t xml:space="preserve">care </w:t>
      </w:r>
      <w:r w:rsidR="00E82391" w:rsidRPr="000A7C5F">
        <w:rPr>
          <w:szCs w:val="28"/>
        </w:rPr>
        <w:t xml:space="preserve">against their wishes due to costs of </w:t>
      </w:r>
      <w:r w:rsidR="00625189" w:rsidRPr="000A7C5F">
        <w:rPr>
          <w:szCs w:val="28"/>
        </w:rPr>
        <w:t xml:space="preserve">community-living </w:t>
      </w:r>
      <w:r w:rsidR="00E82391" w:rsidRPr="000A7C5F">
        <w:rPr>
          <w:szCs w:val="28"/>
        </w:rPr>
        <w:t>support</w:t>
      </w:r>
      <w:r w:rsidRPr="000A7C5F">
        <w:rPr>
          <w:rStyle w:val="FootnoteReference"/>
          <w:szCs w:val="28"/>
        </w:rPr>
        <w:footnoteReference w:id="102"/>
      </w:r>
      <w:r w:rsidR="00E82391" w:rsidRPr="000A7C5F">
        <w:rPr>
          <w:szCs w:val="28"/>
        </w:rPr>
        <w:t>.</w:t>
      </w:r>
    </w:p>
    <w:p w14:paraId="35EE5C6B" w14:textId="77777777" w:rsidR="00705393" w:rsidRPr="000A7C5F" w:rsidRDefault="00705393" w:rsidP="00E739BB">
      <w:pPr>
        <w:pStyle w:val="ListParagraph"/>
        <w:ind w:left="735"/>
        <w:rPr>
          <w:szCs w:val="28"/>
        </w:rPr>
      </w:pPr>
    </w:p>
    <w:p w14:paraId="5997BEEC" w14:textId="17FD152E" w:rsidR="00625189" w:rsidRPr="000A7C5F" w:rsidRDefault="00C17D6A" w:rsidP="00794060">
      <w:pPr>
        <w:pStyle w:val="ListParagraph"/>
        <w:numPr>
          <w:ilvl w:val="0"/>
          <w:numId w:val="3"/>
        </w:numPr>
        <w:ind w:left="851" w:hanging="851"/>
        <w:rPr>
          <w:szCs w:val="28"/>
        </w:rPr>
      </w:pPr>
      <w:r w:rsidRPr="000A7C5F">
        <w:rPr>
          <w:szCs w:val="28"/>
        </w:rPr>
        <w:t>Hundreds of thousands of DDP are not getting the support they need</w:t>
      </w:r>
      <w:r w:rsidR="00BE2396" w:rsidRPr="000A7C5F">
        <w:rPr>
          <w:szCs w:val="28"/>
        </w:rPr>
        <w:t xml:space="preserve"> due to cuts, delays and lack of entitlement.</w:t>
      </w:r>
      <w:r w:rsidRPr="000A7C5F">
        <w:rPr>
          <w:szCs w:val="28"/>
        </w:rPr>
        <w:t xml:space="preserve"> </w:t>
      </w:r>
      <w:r w:rsidR="00BE2396" w:rsidRPr="000A7C5F">
        <w:rPr>
          <w:szCs w:val="28"/>
        </w:rPr>
        <w:t>In November 2021 a survey by the Association of Directors of Adult Services found that: almost 400,000 people are now waiting for an assessment of their needs or service</w:t>
      </w:r>
      <w:r w:rsidR="00BE2396" w:rsidRPr="000A7C5F">
        <w:rPr>
          <w:rStyle w:val="FootnoteReference"/>
          <w:szCs w:val="28"/>
        </w:rPr>
        <w:footnoteReference w:id="103"/>
      </w:r>
      <w:r w:rsidR="00BE2396" w:rsidRPr="000A7C5F">
        <w:rPr>
          <w:szCs w:val="28"/>
        </w:rPr>
        <w:t xml:space="preserve">. </w:t>
      </w:r>
      <w:r w:rsidR="001C2686" w:rsidRPr="000A7C5F">
        <w:rPr>
          <w:szCs w:val="28"/>
        </w:rPr>
        <w:t xml:space="preserve">Age UK has estimated that 1.5 million </w:t>
      </w:r>
      <w:r w:rsidRPr="000A7C5F">
        <w:rPr>
          <w:szCs w:val="28"/>
        </w:rPr>
        <w:t xml:space="preserve">disabled </w:t>
      </w:r>
      <w:r w:rsidR="001C2686" w:rsidRPr="000A7C5F">
        <w:rPr>
          <w:szCs w:val="28"/>
        </w:rPr>
        <w:t>older people in England are not getting the social care support they need</w:t>
      </w:r>
      <w:r w:rsidR="001C2686" w:rsidRPr="000A7C5F">
        <w:rPr>
          <w:rStyle w:val="FootnoteReference"/>
          <w:szCs w:val="28"/>
        </w:rPr>
        <w:footnoteReference w:id="104"/>
      </w:r>
      <w:r w:rsidR="001C2686" w:rsidRPr="000A7C5F">
        <w:rPr>
          <w:szCs w:val="28"/>
        </w:rPr>
        <w:t xml:space="preserve">. </w:t>
      </w:r>
      <w:r w:rsidR="002379B4" w:rsidRPr="000A7C5F">
        <w:rPr>
          <w:szCs w:val="28"/>
        </w:rPr>
        <w:t>Between 2015/16 and 2019/20, 120,000 more people requested social care support but around 14,000 fewer people received either long- or short-term support</w:t>
      </w:r>
      <w:r w:rsidR="005B63EB" w:rsidRPr="000A7C5F">
        <w:rPr>
          <w:szCs w:val="28"/>
        </w:rPr>
        <w:t>.</w:t>
      </w:r>
      <w:r w:rsidR="005B63EB" w:rsidRPr="000A7C5F">
        <w:rPr>
          <w:rStyle w:val="FootnoteReference"/>
          <w:szCs w:val="28"/>
        </w:rPr>
        <w:footnoteReference w:id="105"/>
      </w:r>
      <w:r w:rsidR="005B63EB" w:rsidRPr="000A7C5F">
        <w:rPr>
          <w:szCs w:val="28"/>
        </w:rPr>
        <w:t xml:space="preserve"> </w:t>
      </w:r>
      <w:r w:rsidR="00625189" w:rsidRPr="000A7C5F">
        <w:rPr>
          <w:szCs w:val="28"/>
        </w:rPr>
        <w:t xml:space="preserve">Inadequate social care provision has led to the phenomenon of “bed-blocking” within the NHS, where patients well enough for discharge have to stay in hospital until social care support can be </w:t>
      </w:r>
      <w:r w:rsidR="00625189" w:rsidRPr="000A7C5F">
        <w:rPr>
          <w:szCs w:val="28"/>
        </w:rPr>
        <w:lastRenderedPageBreak/>
        <w:t>agreed and set up</w:t>
      </w:r>
      <w:r w:rsidR="00625189" w:rsidRPr="000A7C5F">
        <w:rPr>
          <w:rStyle w:val="FootnoteReference"/>
          <w:szCs w:val="28"/>
        </w:rPr>
        <w:footnoteReference w:id="106"/>
      </w:r>
      <w:r w:rsidR="00625189" w:rsidRPr="000A7C5F">
        <w:rPr>
          <w:szCs w:val="28"/>
        </w:rPr>
        <w:t>. It was estimated that lack of social care provision led to 2.5 million lost bed days over the course of 917 days from 8 June 2017 and 12 December 2019, and at a cost of £587m to the NHS</w:t>
      </w:r>
      <w:r w:rsidR="00AF6372" w:rsidRPr="000A7C5F">
        <w:rPr>
          <w:rStyle w:val="FootnoteReference"/>
          <w:szCs w:val="28"/>
        </w:rPr>
        <w:footnoteReference w:id="107"/>
      </w:r>
      <w:r w:rsidR="00625189" w:rsidRPr="000A7C5F">
        <w:rPr>
          <w:szCs w:val="28"/>
        </w:rPr>
        <w:t>.</w:t>
      </w:r>
      <w:r w:rsidR="00EB080B" w:rsidRPr="000A7C5F">
        <w:rPr>
          <w:szCs w:val="28"/>
        </w:rPr>
        <w:t xml:space="preserve"> Key reasons for delayed discharge from institutional units reported in monthly NHS digital Assuring Transformation data are lack of social care and lack of suitable housing</w:t>
      </w:r>
      <w:r w:rsidR="00EB080B" w:rsidRPr="000A7C5F">
        <w:rPr>
          <w:rStyle w:val="FootnoteReference"/>
          <w:szCs w:val="28"/>
        </w:rPr>
        <w:footnoteReference w:id="108"/>
      </w:r>
      <w:r w:rsidR="00EB080B" w:rsidRPr="000A7C5F">
        <w:rPr>
          <w:szCs w:val="28"/>
        </w:rPr>
        <w:t>.</w:t>
      </w:r>
    </w:p>
    <w:p w14:paraId="2D844EF5" w14:textId="77777777" w:rsidR="00625189" w:rsidRPr="000A7C5F" w:rsidRDefault="00625189" w:rsidP="00E739BB">
      <w:pPr>
        <w:pStyle w:val="ListParagraph"/>
        <w:rPr>
          <w:szCs w:val="28"/>
        </w:rPr>
      </w:pPr>
    </w:p>
    <w:p w14:paraId="7B0AD267" w14:textId="2189AF70" w:rsidR="0018316B" w:rsidRPr="000A7C5F" w:rsidRDefault="004253D2" w:rsidP="00794060">
      <w:pPr>
        <w:pStyle w:val="ListParagraph"/>
        <w:numPr>
          <w:ilvl w:val="0"/>
          <w:numId w:val="3"/>
        </w:numPr>
        <w:ind w:left="851" w:hanging="851"/>
        <w:rPr>
          <w:szCs w:val="28"/>
        </w:rPr>
      </w:pPr>
      <w:r w:rsidRPr="000A7C5F">
        <w:rPr>
          <w:szCs w:val="28"/>
        </w:rPr>
        <w:t xml:space="preserve">There </w:t>
      </w:r>
      <w:r w:rsidR="00BE2396" w:rsidRPr="000A7C5F">
        <w:rPr>
          <w:szCs w:val="28"/>
        </w:rPr>
        <w:t xml:space="preserve">are </w:t>
      </w:r>
      <w:r w:rsidRPr="000A7C5F">
        <w:rPr>
          <w:szCs w:val="28"/>
        </w:rPr>
        <w:t xml:space="preserve">a number of groups of DDP who are not covered by the way entitlement for social care support is decided, for example </w:t>
      </w:r>
      <w:r w:rsidR="004D4DF8">
        <w:rPr>
          <w:szCs w:val="28"/>
        </w:rPr>
        <w:t>disabled parents</w:t>
      </w:r>
      <w:r w:rsidR="00700417" w:rsidRPr="000A7C5F">
        <w:rPr>
          <w:rStyle w:val="FootnoteReference"/>
          <w:szCs w:val="28"/>
        </w:rPr>
        <w:footnoteReference w:id="109"/>
      </w:r>
      <w:r w:rsidR="00360C50">
        <w:rPr>
          <w:szCs w:val="28"/>
        </w:rPr>
        <w:t xml:space="preserve"> and people who are neurodivergent</w:t>
      </w:r>
      <w:r w:rsidR="00360C50">
        <w:rPr>
          <w:rStyle w:val="FootnoteReference"/>
          <w:szCs w:val="28"/>
        </w:rPr>
        <w:footnoteReference w:id="110"/>
      </w:r>
      <w:r w:rsidR="005861C7" w:rsidRPr="000A7C5F">
        <w:rPr>
          <w:szCs w:val="28"/>
        </w:rPr>
        <w:t xml:space="preserve">. As a consequence they have </w:t>
      </w:r>
      <w:r w:rsidR="00DD2037" w:rsidRPr="000A7C5F">
        <w:rPr>
          <w:szCs w:val="28"/>
        </w:rPr>
        <w:t>significant unmet needs.</w:t>
      </w:r>
      <w:r w:rsidRPr="000A7C5F">
        <w:rPr>
          <w:szCs w:val="28"/>
        </w:rPr>
        <w:t xml:space="preserve"> </w:t>
      </w:r>
      <w:r w:rsidR="0018316B" w:rsidRPr="000A7C5F">
        <w:rPr>
          <w:szCs w:val="28"/>
        </w:rPr>
        <w:t>Support from both the NHS and LAs often falls short of the Autism Act 2009</w:t>
      </w:r>
      <w:r w:rsidR="0018316B" w:rsidRPr="000A7C5F">
        <w:rPr>
          <w:rStyle w:val="FootnoteReference"/>
          <w:szCs w:val="28"/>
        </w:rPr>
        <w:footnoteReference w:id="111"/>
      </w:r>
      <w:r w:rsidR="0018316B" w:rsidRPr="000A7C5F">
        <w:rPr>
          <w:szCs w:val="28"/>
        </w:rPr>
        <w:t>. People who need access to A</w:t>
      </w:r>
      <w:r w:rsidR="005861C7" w:rsidRPr="000A7C5F">
        <w:rPr>
          <w:szCs w:val="28"/>
        </w:rPr>
        <w:t xml:space="preserve">ugmentative and </w:t>
      </w:r>
      <w:r w:rsidR="0018316B" w:rsidRPr="000A7C5F">
        <w:rPr>
          <w:szCs w:val="28"/>
        </w:rPr>
        <w:t>A</w:t>
      </w:r>
      <w:r w:rsidR="005861C7" w:rsidRPr="000A7C5F">
        <w:rPr>
          <w:szCs w:val="28"/>
        </w:rPr>
        <w:t>lternative Communication (AAC)</w:t>
      </w:r>
      <w:r w:rsidR="0018316B" w:rsidRPr="000A7C5F">
        <w:rPr>
          <w:szCs w:val="28"/>
        </w:rPr>
        <w:t xml:space="preserve"> are calling for a fully funded, easy to understand system for acquiring AAC</w:t>
      </w:r>
      <w:r w:rsidR="005861C7" w:rsidRPr="000A7C5F">
        <w:rPr>
          <w:szCs w:val="28"/>
        </w:rPr>
        <w:t xml:space="preserve"> technology</w:t>
      </w:r>
      <w:r w:rsidR="0018316B" w:rsidRPr="000A7C5F">
        <w:rPr>
          <w:szCs w:val="28"/>
        </w:rPr>
        <w:t xml:space="preserve"> </w:t>
      </w:r>
      <w:r w:rsidR="005861C7" w:rsidRPr="000A7C5F">
        <w:rPr>
          <w:szCs w:val="28"/>
        </w:rPr>
        <w:t>together with</w:t>
      </w:r>
      <w:r w:rsidR="0018316B" w:rsidRPr="000A7C5F">
        <w:rPr>
          <w:szCs w:val="28"/>
        </w:rPr>
        <w:t xml:space="preserve"> comprehensive teaching on how </w:t>
      </w:r>
      <w:r w:rsidR="005861C7" w:rsidRPr="000A7C5F">
        <w:rPr>
          <w:szCs w:val="28"/>
        </w:rPr>
        <w:t>it</w:t>
      </w:r>
      <w:r w:rsidR="00882E18" w:rsidRPr="000A7C5F">
        <w:rPr>
          <w:rStyle w:val="FootnoteReference"/>
          <w:szCs w:val="28"/>
        </w:rPr>
        <w:footnoteReference w:id="112"/>
      </w:r>
      <w:r w:rsidR="0018316B" w:rsidRPr="000A7C5F">
        <w:rPr>
          <w:szCs w:val="28"/>
        </w:rPr>
        <w:t>.</w:t>
      </w:r>
      <w:r w:rsidR="005861C7" w:rsidRPr="000A7C5F">
        <w:rPr>
          <w:szCs w:val="28"/>
        </w:rPr>
        <w:t xml:space="preserve"> People with learning difficulties should not be denied access to AAC based on </w:t>
      </w:r>
      <w:r w:rsidR="00700417" w:rsidRPr="000A7C5F">
        <w:rPr>
          <w:szCs w:val="28"/>
        </w:rPr>
        <w:t>pre-judgements that they can’t learn to use it</w:t>
      </w:r>
      <w:r w:rsidR="00700417" w:rsidRPr="000A7C5F">
        <w:rPr>
          <w:rStyle w:val="FootnoteReference"/>
          <w:szCs w:val="28"/>
        </w:rPr>
        <w:footnoteReference w:id="113"/>
      </w:r>
      <w:r w:rsidR="00700417" w:rsidRPr="000A7C5F">
        <w:rPr>
          <w:szCs w:val="28"/>
        </w:rPr>
        <w:t>.</w:t>
      </w:r>
    </w:p>
    <w:p w14:paraId="6E2F76AB" w14:textId="77777777" w:rsidR="00771FD0" w:rsidRPr="000A7C5F" w:rsidRDefault="00771FD0" w:rsidP="00E739BB">
      <w:pPr>
        <w:pStyle w:val="ListParagraph"/>
        <w:ind w:left="851" w:hanging="851"/>
        <w:rPr>
          <w:szCs w:val="28"/>
        </w:rPr>
      </w:pPr>
    </w:p>
    <w:p w14:paraId="6F2F8057" w14:textId="66CF4BDB" w:rsidR="001075C5" w:rsidRPr="000A7C5F" w:rsidRDefault="00F35691" w:rsidP="00794060">
      <w:pPr>
        <w:pStyle w:val="ListParagraph"/>
        <w:numPr>
          <w:ilvl w:val="0"/>
          <w:numId w:val="3"/>
        </w:numPr>
        <w:ind w:left="851" w:hanging="851"/>
        <w:rPr>
          <w:szCs w:val="28"/>
        </w:rPr>
      </w:pPr>
      <w:bookmarkStart w:id="17" w:name="IndependentLivingSupport"/>
      <w:bookmarkEnd w:id="17"/>
      <w:r w:rsidRPr="000A7C5F">
        <w:rPr>
          <w:szCs w:val="28"/>
        </w:rPr>
        <w:lastRenderedPageBreak/>
        <w:t>The</w:t>
      </w:r>
      <w:r w:rsidR="00771FD0" w:rsidRPr="000A7C5F">
        <w:rPr>
          <w:szCs w:val="28"/>
        </w:rPr>
        <w:t xml:space="preserve"> sustainability of the</w:t>
      </w:r>
      <w:r w:rsidRPr="000A7C5F">
        <w:rPr>
          <w:szCs w:val="28"/>
        </w:rPr>
        <w:t xml:space="preserve"> social care support system is </w:t>
      </w:r>
      <w:r w:rsidR="00771FD0" w:rsidRPr="000A7C5F">
        <w:rPr>
          <w:szCs w:val="28"/>
        </w:rPr>
        <w:t xml:space="preserve">in question. </w:t>
      </w:r>
      <w:r w:rsidR="00BE2396" w:rsidRPr="000A7C5F">
        <w:rPr>
          <w:szCs w:val="28"/>
        </w:rPr>
        <w:t>M</w:t>
      </w:r>
      <w:r w:rsidR="00C17D6A" w:rsidRPr="000A7C5F">
        <w:rPr>
          <w:szCs w:val="28"/>
        </w:rPr>
        <w:t>ore than 1.5 million hours of commissioned home care could not be provided between August and October because of a lack of staff, despite record growth in provision</w:t>
      </w:r>
      <w:r w:rsidR="00BE2396" w:rsidRPr="000A7C5F">
        <w:rPr>
          <w:szCs w:val="28"/>
        </w:rPr>
        <w:t xml:space="preserve">. One </w:t>
      </w:r>
      <w:r w:rsidR="00C17D6A" w:rsidRPr="000A7C5F">
        <w:rPr>
          <w:szCs w:val="28"/>
        </w:rPr>
        <w:t>in two councils has had to respond to a care home closure or bankruptcy over the past six months</w:t>
      </w:r>
      <w:r w:rsidR="00E82391" w:rsidRPr="000A7C5F">
        <w:rPr>
          <w:rStyle w:val="FootnoteReference"/>
          <w:szCs w:val="28"/>
        </w:rPr>
        <w:footnoteReference w:id="114"/>
      </w:r>
      <w:r w:rsidR="00C17D6A" w:rsidRPr="000A7C5F">
        <w:rPr>
          <w:szCs w:val="28"/>
        </w:rPr>
        <w:t>.</w:t>
      </w:r>
      <w:r w:rsidR="005B63EB" w:rsidRPr="000A7C5F">
        <w:rPr>
          <w:szCs w:val="28"/>
        </w:rPr>
        <w:t xml:space="preserve"> </w:t>
      </w:r>
      <w:r w:rsidR="006A52DB" w:rsidRPr="000A7C5F">
        <w:rPr>
          <w:szCs w:val="28"/>
        </w:rPr>
        <w:t>The social care workforce is significantly under-valued. The average pay for support workers in England who assist people to live independently in the community is £17,695 or £9.05 per hour – 45p per hour below the Real Living Wage</w:t>
      </w:r>
      <w:r w:rsidR="000E5593" w:rsidRPr="000A7C5F">
        <w:rPr>
          <w:rStyle w:val="FootnoteReference"/>
          <w:szCs w:val="28"/>
        </w:rPr>
        <w:footnoteReference w:id="115"/>
      </w:r>
      <w:r w:rsidR="006A52DB" w:rsidRPr="000A7C5F">
        <w:rPr>
          <w:szCs w:val="28"/>
        </w:rPr>
        <w:t xml:space="preserve">. </w:t>
      </w:r>
      <w:r w:rsidR="000E5593" w:rsidRPr="000A7C5F">
        <w:rPr>
          <w:szCs w:val="28"/>
        </w:rPr>
        <w:t xml:space="preserve">Many </w:t>
      </w:r>
      <w:r w:rsidR="00700417" w:rsidRPr="000A7C5F">
        <w:rPr>
          <w:szCs w:val="28"/>
        </w:rPr>
        <w:t>s</w:t>
      </w:r>
      <w:r w:rsidR="000E5593" w:rsidRPr="000A7C5F">
        <w:rPr>
          <w:szCs w:val="28"/>
        </w:rPr>
        <w:t xml:space="preserve">upport </w:t>
      </w:r>
      <w:r w:rsidR="00700417" w:rsidRPr="000A7C5F">
        <w:rPr>
          <w:szCs w:val="28"/>
        </w:rPr>
        <w:t>w</w:t>
      </w:r>
      <w:r w:rsidR="000E5593" w:rsidRPr="000A7C5F">
        <w:rPr>
          <w:szCs w:val="28"/>
        </w:rPr>
        <w:t>orkers would be paid up to 39% more if they held equivalent roles within other public funded sectors and the sector loses 34% of its workforce every year</w:t>
      </w:r>
      <w:r w:rsidR="000E5593" w:rsidRPr="000A7C5F">
        <w:rPr>
          <w:rStyle w:val="FootnoteReference"/>
          <w:szCs w:val="28"/>
        </w:rPr>
        <w:footnoteReference w:id="116"/>
      </w:r>
      <w:r w:rsidR="000E5593" w:rsidRPr="000A7C5F">
        <w:rPr>
          <w:szCs w:val="28"/>
        </w:rPr>
        <w:t xml:space="preserve">. </w:t>
      </w:r>
      <w:r w:rsidR="005B63EB" w:rsidRPr="000A7C5F">
        <w:rPr>
          <w:szCs w:val="28"/>
        </w:rPr>
        <w:t>Support for DDP to manage Direct Payments and directly employ PAs has been taken away.</w:t>
      </w:r>
      <w:r w:rsidR="005F6115" w:rsidRPr="000A7C5F">
        <w:rPr>
          <w:rStyle w:val="FootnoteReference"/>
          <w:szCs w:val="28"/>
        </w:rPr>
        <w:footnoteReference w:id="117"/>
      </w:r>
      <w:r w:rsidR="00340C66" w:rsidRPr="000A7C5F">
        <w:rPr>
          <w:szCs w:val="28"/>
        </w:rPr>
        <w:t xml:space="preserve"> </w:t>
      </w:r>
      <w:proofErr w:type="spellStart"/>
      <w:r w:rsidR="00340C66" w:rsidRPr="000A7C5F">
        <w:rPr>
          <w:szCs w:val="28"/>
        </w:rPr>
        <w:t>WeG</w:t>
      </w:r>
      <w:proofErr w:type="spellEnd"/>
      <w:r w:rsidR="00340C66" w:rsidRPr="000A7C5F">
        <w:rPr>
          <w:szCs w:val="28"/>
        </w:rPr>
        <w:t xml:space="preserve"> has repeatedly turned down invitations to meet with DDPOs concerning </w:t>
      </w:r>
      <w:r w:rsidR="00B97800" w:rsidRPr="000A7C5F">
        <w:rPr>
          <w:szCs w:val="28"/>
        </w:rPr>
        <w:t>the development of our own vision for future independent living support</w:t>
      </w:r>
      <w:r w:rsidR="00B97800" w:rsidRPr="000A7C5F">
        <w:rPr>
          <w:rStyle w:val="FootnoteReference"/>
          <w:szCs w:val="28"/>
        </w:rPr>
        <w:footnoteReference w:id="118"/>
      </w:r>
      <w:r w:rsidR="00B97800" w:rsidRPr="000A7C5F">
        <w:rPr>
          <w:szCs w:val="28"/>
        </w:rPr>
        <w:t>.</w:t>
      </w:r>
    </w:p>
    <w:p w14:paraId="4FC21C65" w14:textId="77777777" w:rsidR="00625189" w:rsidRPr="000A7C5F" w:rsidRDefault="00625189" w:rsidP="00E739BB">
      <w:pPr>
        <w:pStyle w:val="ListParagraph"/>
        <w:rPr>
          <w:szCs w:val="28"/>
        </w:rPr>
      </w:pPr>
    </w:p>
    <w:p w14:paraId="1653162F" w14:textId="043E8D99" w:rsidR="00625189" w:rsidRPr="000A7C5F" w:rsidRDefault="00361161" w:rsidP="00794060">
      <w:pPr>
        <w:pStyle w:val="ListParagraph"/>
        <w:numPr>
          <w:ilvl w:val="0"/>
          <w:numId w:val="3"/>
        </w:numPr>
        <w:ind w:left="851" w:hanging="851"/>
        <w:rPr>
          <w:szCs w:val="28"/>
        </w:rPr>
      </w:pPr>
      <w:r w:rsidRPr="000A7C5F">
        <w:rPr>
          <w:szCs w:val="28"/>
        </w:rPr>
        <w:t>Many of England’s 152</w:t>
      </w:r>
      <w:r w:rsidR="00625189" w:rsidRPr="000A7C5F">
        <w:rPr>
          <w:szCs w:val="28"/>
        </w:rPr>
        <w:t xml:space="preserve"> LAs </w:t>
      </w:r>
      <w:r w:rsidRPr="000A7C5F">
        <w:rPr>
          <w:szCs w:val="28"/>
        </w:rPr>
        <w:t xml:space="preserve">responsible for social care introduce year on year budget savings within their disability spend, </w:t>
      </w:r>
      <w:r w:rsidR="00625189" w:rsidRPr="000A7C5F">
        <w:rPr>
          <w:szCs w:val="28"/>
        </w:rPr>
        <w:t xml:space="preserve">often </w:t>
      </w:r>
      <w:r w:rsidR="00511E97" w:rsidRPr="000A7C5F">
        <w:rPr>
          <w:szCs w:val="28"/>
        </w:rPr>
        <w:t xml:space="preserve">justifying </w:t>
      </w:r>
      <w:r w:rsidRPr="000A7C5F">
        <w:rPr>
          <w:szCs w:val="28"/>
        </w:rPr>
        <w:t>cuts</w:t>
      </w:r>
      <w:r w:rsidR="00511E97" w:rsidRPr="000A7C5F">
        <w:rPr>
          <w:szCs w:val="28"/>
        </w:rPr>
        <w:t xml:space="preserve"> of millions of pounds</w:t>
      </w:r>
      <w:r w:rsidRPr="000A7C5F">
        <w:rPr>
          <w:szCs w:val="28"/>
        </w:rPr>
        <w:t xml:space="preserve"> u</w:t>
      </w:r>
      <w:r w:rsidR="00511E97" w:rsidRPr="000A7C5F">
        <w:rPr>
          <w:szCs w:val="28"/>
        </w:rPr>
        <w:t xml:space="preserve">sing </w:t>
      </w:r>
      <w:r w:rsidRPr="000A7C5F">
        <w:rPr>
          <w:szCs w:val="28"/>
        </w:rPr>
        <w:t>progressive headings such</w:t>
      </w:r>
      <w:r w:rsidR="00625189" w:rsidRPr="000A7C5F">
        <w:rPr>
          <w:szCs w:val="28"/>
        </w:rPr>
        <w:t xml:space="preserve"> as “promoting independence”</w:t>
      </w:r>
      <w:r w:rsidR="00511E97" w:rsidRPr="000A7C5F">
        <w:rPr>
          <w:szCs w:val="28"/>
        </w:rPr>
        <w:t xml:space="preserve"> and “working more efficiently”</w:t>
      </w:r>
      <w:r w:rsidR="00625189" w:rsidRPr="000A7C5F">
        <w:rPr>
          <w:szCs w:val="28"/>
        </w:rPr>
        <w:t xml:space="preserve">. </w:t>
      </w:r>
      <w:r w:rsidRPr="000A7C5F">
        <w:rPr>
          <w:szCs w:val="28"/>
        </w:rPr>
        <w:t>Cheshire West and Chester Council</w:t>
      </w:r>
      <w:r w:rsidR="00FD18D7" w:rsidRPr="000A7C5F">
        <w:rPr>
          <w:szCs w:val="28"/>
        </w:rPr>
        <w:t>,</w:t>
      </w:r>
      <w:r w:rsidRPr="000A7C5F">
        <w:rPr>
          <w:szCs w:val="28"/>
        </w:rPr>
        <w:t xml:space="preserve"> cut its disability services by </w:t>
      </w:r>
      <w:r w:rsidRPr="000A7C5F">
        <w:rPr>
          <w:szCs w:val="28"/>
        </w:rPr>
        <w:lastRenderedPageBreak/>
        <w:t>£1.3</w:t>
      </w:r>
      <w:r w:rsidR="00511E97" w:rsidRPr="000A7C5F">
        <w:rPr>
          <w:szCs w:val="28"/>
        </w:rPr>
        <w:t xml:space="preserve"> </w:t>
      </w:r>
      <w:r w:rsidRPr="000A7C5F">
        <w:rPr>
          <w:szCs w:val="28"/>
        </w:rPr>
        <w:t>m</w:t>
      </w:r>
      <w:r w:rsidR="00511E97" w:rsidRPr="000A7C5F">
        <w:rPr>
          <w:szCs w:val="28"/>
        </w:rPr>
        <w:t>illion</w:t>
      </w:r>
      <w:r w:rsidRPr="000A7C5F">
        <w:rPr>
          <w:szCs w:val="28"/>
        </w:rPr>
        <w:t xml:space="preserve"> in their 2021-22 budget</w:t>
      </w:r>
      <w:r w:rsidR="00FD18D7" w:rsidRPr="000A7C5F">
        <w:rPr>
          <w:rStyle w:val="FootnoteReference"/>
          <w:szCs w:val="28"/>
        </w:rPr>
        <w:footnoteReference w:id="119"/>
      </w:r>
      <w:r w:rsidR="00511E97" w:rsidRPr="000A7C5F">
        <w:rPr>
          <w:szCs w:val="28"/>
        </w:rPr>
        <w:t>. In March 2022,</w:t>
      </w:r>
      <w:r w:rsidR="00700417" w:rsidRPr="000A7C5F">
        <w:rPr>
          <w:szCs w:val="28"/>
        </w:rPr>
        <w:t xml:space="preserve"> Bristol City Council voted through cuts of £11</w:t>
      </w:r>
      <w:r w:rsidR="00511E97" w:rsidRPr="000A7C5F">
        <w:rPr>
          <w:szCs w:val="28"/>
        </w:rPr>
        <w:t xml:space="preserve"> </w:t>
      </w:r>
      <w:r w:rsidR="00700417" w:rsidRPr="000A7C5F">
        <w:rPr>
          <w:szCs w:val="28"/>
        </w:rPr>
        <w:t>m</w:t>
      </w:r>
      <w:r w:rsidR="00511E97" w:rsidRPr="000A7C5F">
        <w:rPr>
          <w:szCs w:val="28"/>
        </w:rPr>
        <w:t>illion</w:t>
      </w:r>
      <w:r w:rsidR="00700417" w:rsidRPr="000A7C5F">
        <w:rPr>
          <w:szCs w:val="28"/>
        </w:rPr>
        <w:t xml:space="preserve"> to </w:t>
      </w:r>
      <w:r w:rsidR="00511E97" w:rsidRPr="000A7C5F">
        <w:rPr>
          <w:szCs w:val="28"/>
        </w:rPr>
        <w:t xml:space="preserve">adult </w:t>
      </w:r>
      <w:r w:rsidR="00700417" w:rsidRPr="000A7C5F">
        <w:rPr>
          <w:szCs w:val="28"/>
        </w:rPr>
        <w:t xml:space="preserve">social care </w:t>
      </w:r>
      <w:r w:rsidR="00511E97" w:rsidRPr="000A7C5F">
        <w:rPr>
          <w:szCs w:val="28"/>
        </w:rPr>
        <w:t>as part of an overall savings package designed to meet a budgetary shortfall of £19.5 million</w:t>
      </w:r>
      <w:r w:rsidR="003653EB" w:rsidRPr="000A7C5F">
        <w:rPr>
          <w:rStyle w:val="FootnoteReference"/>
          <w:szCs w:val="28"/>
        </w:rPr>
        <w:footnoteReference w:id="120"/>
      </w:r>
      <w:r w:rsidR="00511E97" w:rsidRPr="000A7C5F">
        <w:rPr>
          <w:szCs w:val="28"/>
        </w:rPr>
        <w:t>.</w:t>
      </w:r>
      <w:r w:rsidRPr="000A7C5F">
        <w:rPr>
          <w:szCs w:val="28"/>
        </w:rPr>
        <w:t xml:space="preserve"> </w:t>
      </w:r>
      <w:r w:rsidR="00700417" w:rsidRPr="000A7C5F">
        <w:rPr>
          <w:szCs w:val="28"/>
        </w:rPr>
        <w:t>Such</w:t>
      </w:r>
      <w:r w:rsidRPr="000A7C5F">
        <w:rPr>
          <w:szCs w:val="28"/>
        </w:rPr>
        <w:t xml:space="preserve"> figures are typical.</w:t>
      </w:r>
      <w:r w:rsidR="00FD18D7" w:rsidRPr="000A7C5F">
        <w:rPr>
          <w:szCs w:val="28"/>
        </w:rPr>
        <w:t xml:space="preserve"> </w:t>
      </w:r>
      <w:r w:rsidR="00625189" w:rsidRPr="000A7C5F">
        <w:rPr>
          <w:szCs w:val="28"/>
        </w:rPr>
        <w:t xml:space="preserve">Since 2018, three English LAs have become bankrupt with </w:t>
      </w:r>
      <w:r w:rsidR="00700417" w:rsidRPr="000A7C5F">
        <w:rPr>
          <w:szCs w:val="28"/>
        </w:rPr>
        <w:t xml:space="preserve">another </w:t>
      </w:r>
      <w:r w:rsidR="00625189" w:rsidRPr="000A7C5F">
        <w:rPr>
          <w:szCs w:val="28"/>
        </w:rPr>
        <w:t xml:space="preserve">25 </w:t>
      </w:r>
      <w:r w:rsidR="00700417" w:rsidRPr="000A7C5F">
        <w:rPr>
          <w:szCs w:val="28"/>
        </w:rPr>
        <w:t xml:space="preserve">reportedly </w:t>
      </w:r>
      <w:r w:rsidR="00625189" w:rsidRPr="000A7C5F">
        <w:rPr>
          <w:szCs w:val="28"/>
        </w:rPr>
        <w:t>on the brink.</w:t>
      </w:r>
      <w:r w:rsidR="00625189" w:rsidRPr="000A7C5F">
        <w:rPr>
          <w:rStyle w:val="FootnoteReference"/>
          <w:szCs w:val="28"/>
        </w:rPr>
        <w:footnoteReference w:id="121"/>
      </w:r>
      <w:r w:rsidR="00625189" w:rsidRPr="000A7C5F">
        <w:rPr>
          <w:szCs w:val="28"/>
        </w:rPr>
        <w:t xml:space="preserve"> In October 2020 the Health and Social Care Committee estimated an additional £7bn per year is required </w:t>
      </w:r>
      <w:r w:rsidR="00FD18D7" w:rsidRPr="000A7C5F">
        <w:rPr>
          <w:szCs w:val="28"/>
        </w:rPr>
        <w:t xml:space="preserve">for social care </w:t>
      </w:r>
      <w:r w:rsidR="00625189" w:rsidRPr="000A7C5F">
        <w:rPr>
          <w:szCs w:val="28"/>
        </w:rPr>
        <w:t xml:space="preserve">by 2023/24 as </w:t>
      </w:r>
      <w:r w:rsidR="00FD18D7" w:rsidRPr="000A7C5F">
        <w:rPr>
          <w:szCs w:val="28"/>
        </w:rPr>
        <w:t xml:space="preserve">a </w:t>
      </w:r>
      <w:r w:rsidR="00625189" w:rsidRPr="000A7C5F">
        <w:rPr>
          <w:szCs w:val="28"/>
        </w:rPr>
        <w:t>starting point to cover demographic changes and raise staff pay in line with the National Minimum Wage.</w:t>
      </w:r>
      <w:r w:rsidR="00625189" w:rsidRPr="000A7C5F">
        <w:rPr>
          <w:rStyle w:val="FootnoteReference"/>
          <w:szCs w:val="28"/>
        </w:rPr>
        <w:footnoteReference w:id="122"/>
      </w:r>
      <w:r w:rsidR="00625189" w:rsidRPr="000A7C5F">
        <w:rPr>
          <w:szCs w:val="28"/>
        </w:rPr>
        <w:t xml:space="preserve"> This leads to D</w:t>
      </w:r>
      <w:r w:rsidR="00700417" w:rsidRPr="000A7C5F">
        <w:rPr>
          <w:szCs w:val="28"/>
        </w:rPr>
        <w:t>DP reliant on social care</w:t>
      </w:r>
      <w:r w:rsidR="00625189" w:rsidRPr="000A7C5F">
        <w:rPr>
          <w:szCs w:val="28"/>
        </w:rPr>
        <w:t xml:space="preserve"> support living in </w:t>
      </w:r>
      <w:r w:rsidR="00625189" w:rsidRPr="000A7C5F">
        <w:rPr>
          <w:szCs w:val="28"/>
        </w:rPr>
        <w:lastRenderedPageBreak/>
        <w:t>constant anxiety as they face regular reviews aimed at reducing their support</w:t>
      </w:r>
      <w:r w:rsidR="00625189" w:rsidRPr="000A7C5F">
        <w:rPr>
          <w:rStyle w:val="FootnoteReference"/>
          <w:szCs w:val="28"/>
        </w:rPr>
        <w:footnoteReference w:id="123"/>
      </w:r>
      <w:r w:rsidR="00625189" w:rsidRPr="000A7C5F">
        <w:rPr>
          <w:szCs w:val="28"/>
        </w:rPr>
        <w:t xml:space="preserve">. </w:t>
      </w:r>
    </w:p>
    <w:p w14:paraId="470F258D" w14:textId="77777777" w:rsidR="004E689E" w:rsidRPr="000A7C5F" w:rsidRDefault="004E689E" w:rsidP="00E739BB">
      <w:pPr>
        <w:pStyle w:val="ListParagraph"/>
        <w:rPr>
          <w:szCs w:val="28"/>
        </w:rPr>
      </w:pPr>
    </w:p>
    <w:p w14:paraId="29ABDF26" w14:textId="0B7D09D6" w:rsidR="004E689E" w:rsidRPr="000A7C5F" w:rsidRDefault="004E689E" w:rsidP="00794060">
      <w:pPr>
        <w:pStyle w:val="ListParagraph"/>
        <w:numPr>
          <w:ilvl w:val="0"/>
          <w:numId w:val="3"/>
        </w:numPr>
        <w:ind w:left="851" w:hanging="851"/>
        <w:rPr>
          <w:szCs w:val="28"/>
        </w:rPr>
      </w:pPr>
      <w:r w:rsidRPr="000A7C5F">
        <w:rPr>
          <w:szCs w:val="28"/>
        </w:rPr>
        <w:t xml:space="preserve">The shortage of social care staff was exacerbated by </w:t>
      </w:r>
      <w:r w:rsidR="00246ED5" w:rsidRPr="000A7C5F">
        <w:rPr>
          <w:szCs w:val="28"/>
        </w:rPr>
        <w:t>both EU withdrawal and the</w:t>
      </w:r>
      <w:r w:rsidRPr="000A7C5F">
        <w:rPr>
          <w:szCs w:val="28"/>
        </w:rPr>
        <w:t xml:space="preserve"> pandemic</w:t>
      </w:r>
      <w:r w:rsidRPr="000A7C5F">
        <w:rPr>
          <w:rStyle w:val="FootnoteReference"/>
          <w:szCs w:val="28"/>
        </w:rPr>
        <w:footnoteReference w:id="124"/>
      </w:r>
      <w:r w:rsidRPr="000A7C5F">
        <w:rPr>
          <w:szCs w:val="28"/>
        </w:rPr>
        <w:t>. DDP living in the community and acting as individual employers for Personal Assistants (PA) – a group of around 70,000 DDP in England</w:t>
      </w:r>
      <w:r w:rsidR="0046390E">
        <w:rPr>
          <w:szCs w:val="28"/>
        </w:rPr>
        <w:t xml:space="preserve"> – </w:t>
      </w:r>
      <w:r w:rsidRPr="000A7C5F">
        <w:rPr>
          <w:szCs w:val="28"/>
        </w:rPr>
        <w:t xml:space="preserve">seem to have been entirely omitted from pre-Brexit preparations. </w:t>
      </w:r>
      <w:r w:rsidR="00246ED5" w:rsidRPr="000A7C5F">
        <w:rPr>
          <w:szCs w:val="28"/>
        </w:rPr>
        <w:t xml:space="preserve">DDP campaigners were told in a meeting with the Migration Advisory Committee that </w:t>
      </w:r>
      <w:proofErr w:type="spellStart"/>
      <w:r w:rsidR="00246ED5" w:rsidRPr="000A7C5F">
        <w:rPr>
          <w:szCs w:val="28"/>
        </w:rPr>
        <w:t>WeG</w:t>
      </w:r>
      <w:proofErr w:type="spellEnd"/>
      <w:r w:rsidR="00246ED5" w:rsidRPr="000A7C5F">
        <w:rPr>
          <w:szCs w:val="28"/>
        </w:rPr>
        <w:t xml:space="preserve"> had only alerted them to potential issues with social care workers employed by agencies and had omitted to make them aware of the existence of PA users</w:t>
      </w:r>
      <w:r w:rsidR="00246ED5" w:rsidRPr="000A7C5F">
        <w:rPr>
          <w:rStyle w:val="FootnoteReference"/>
          <w:szCs w:val="28"/>
        </w:rPr>
        <w:footnoteReference w:id="125"/>
      </w:r>
      <w:r w:rsidR="00246ED5" w:rsidRPr="000A7C5F">
        <w:rPr>
          <w:szCs w:val="28"/>
        </w:rPr>
        <w:t xml:space="preserve">.  </w:t>
      </w:r>
      <w:r w:rsidRPr="000A7C5F">
        <w:rPr>
          <w:szCs w:val="28"/>
        </w:rPr>
        <w:t>In September 2021, the National Care Forum warned that the sector is facing the “most acute recruitment and retention crisis” in its history, with more than 110,000 vacancies.</w:t>
      </w:r>
      <w:r w:rsidRPr="000A7C5F">
        <w:rPr>
          <w:rStyle w:val="FootnoteReference"/>
          <w:szCs w:val="28"/>
        </w:rPr>
        <w:footnoteReference w:id="126"/>
      </w:r>
      <w:r w:rsidR="00246ED5" w:rsidRPr="000A7C5F">
        <w:rPr>
          <w:szCs w:val="28"/>
        </w:rPr>
        <w:t xml:space="preserve"> DDP who are LGBTQ+ face additional barriers within social care where being “out” can lead to discrimination and recruitment of PAs is more difficult</w:t>
      </w:r>
      <w:r w:rsidR="00246ED5" w:rsidRPr="000A7C5F">
        <w:rPr>
          <w:rStyle w:val="FootnoteReference"/>
          <w:szCs w:val="28"/>
        </w:rPr>
        <w:footnoteReference w:id="127"/>
      </w:r>
      <w:r w:rsidR="003C4231" w:rsidRPr="000A7C5F">
        <w:rPr>
          <w:szCs w:val="28"/>
        </w:rPr>
        <w:t xml:space="preserve"> DDP in rural areas also face additional barriers to recruitment since travel time is not included within support packages and potential workers may be put off by longer unpaid journey times between visits</w:t>
      </w:r>
      <w:r w:rsidR="003C4231" w:rsidRPr="000A7C5F">
        <w:rPr>
          <w:rStyle w:val="FootnoteReference"/>
          <w:szCs w:val="28"/>
        </w:rPr>
        <w:footnoteReference w:id="128"/>
      </w:r>
      <w:r w:rsidR="003C4231" w:rsidRPr="000A7C5F">
        <w:rPr>
          <w:szCs w:val="28"/>
        </w:rPr>
        <w:t>.</w:t>
      </w:r>
    </w:p>
    <w:p w14:paraId="5F2B0536" w14:textId="77777777" w:rsidR="002D4BAF" w:rsidRPr="000A7C5F" w:rsidRDefault="002D4BAF" w:rsidP="00E739BB">
      <w:pPr>
        <w:pStyle w:val="ListParagraph"/>
        <w:ind w:left="851" w:hanging="851"/>
        <w:rPr>
          <w:szCs w:val="28"/>
        </w:rPr>
      </w:pPr>
    </w:p>
    <w:p w14:paraId="723B3DE3" w14:textId="1FC692C6" w:rsidR="00AF6372" w:rsidRPr="000A7C5F" w:rsidRDefault="005B63EB" w:rsidP="00794060">
      <w:pPr>
        <w:pStyle w:val="ListParagraph"/>
        <w:numPr>
          <w:ilvl w:val="0"/>
          <w:numId w:val="3"/>
        </w:numPr>
        <w:ind w:left="851" w:hanging="851"/>
        <w:rPr>
          <w:szCs w:val="28"/>
        </w:rPr>
      </w:pPr>
      <w:r w:rsidRPr="000A7C5F">
        <w:rPr>
          <w:szCs w:val="28"/>
        </w:rPr>
        <w:lastRenderedPageBreak/>
        <w:t>Social care charging is having an increasingly detrimental impact on the incomes of DDP, forcing some to go without support while others are trapped in debt</w:t>
      </w:r>
      <w:r w:rsidR="00705393" w:rsidRPr="000A7C5F">
        <w:rPr>
          <w:rStyle w:val="FootnoteReference"/>
          <w:szCs w:val="28"/>
        </w:rPr>
        <w:footnoteReference w:id="129"/>
      </w:r>
      <w:r w:rsidRPr="000A7C5F">
        <w:rPr>
          <w:szCs w:val="28"/>
        </w:rPr>
        <w:t>.</w:t>
      </w:r>
      <w:r w:rsidR="00D74063" w:rsidRPr="000A7C5F">
        <w:rPr>
          <w:szCs w:val="28"/>
        </w:rPr>
        <w:t xml:space="preserve"> </w:t>
      </w:r>
      <w:r w:rsidRPr="000A7C5F">
        <w:rPr>
          <w:szCs w:val="28"/>
        </w:rPr>
        <w:t>According to charging rules, LAs need to leave DDP with a set minimum income. Th</w:t>
      </w:r>
      <w:r w:rsidR="00483CDD" w:rsidRPr="000A7C5F">
        <w:rPr>
          <w:szCs w:val="28"/>
        </w:rPr>
        <w:t>e minimum income level</w:t>
      </w:r>
      <w:r w:rsidRPr="000A7C5F">
        <w:rPr>
          <w:szCs w:val="28"/>
        </w:rPr>
        <w:t xml:space="preserve"> has stayed the same for the past five years while inflation has risen</w:t>
      </w:r>
      <w:r w:rsidR="00483CDD" w:rsidRPr="000A7C5F">
        <w:rPr>
          <w:rStyle w:val="FootnoteReference"/>
          <w:szCs w:val="28"/>
        </w:rPr>
        <w:footnoteReference w:id="130"/>
      </w:r>
      <w:r w:rsidRPr="000A7C5F">
        <w:rPr>
          <w:szCs w:val="28"/>
        </w:rPr>
        <w:t>.</w:t>
      </w:r>
      <w:r w:rsidR="0026413A" w:rsidRPr="000A7C5F">
        <w:rPr>
          <w:szCs w:val="28"/>
        </w:rPr>
        <w:t xml:space="preserve"> </w:t>
      </w:r>
      <w:r w:rsidR="00625189" w:rsidRPr="000A7C5F">
        <w:rPr>
          <w:szCs w:val="28"/>
        </w:rPr>
        <w:t xml:space="preserve">LAs have steadily introduced harsher charging policies. </w:t>
      </w:r>
      <w:r w:rsidR="00AF6372" w:rsidRPr="000A7C5F">
        <w:rPr>
          <w:szCs w:val="28"/>
        </w:rPr>
        <w:t>In 2020, t</w:t>
      </w:r>
      <w:r w:rsidR="00625189" w:rsidRPr="000A7C5F">
        <w:rPr>
          <w:szCs w:val="28"/>
        </w:rPr>
        <w:t>he high court ruled that Norfolk County Council</w:t>
      </w:r>
      <w:r w:rsidR="00AF6372" w:rsidRPr="000A7C5F">
        <w:rPr>
          <w:szCs w:val="28"/>
        </w:rPr>
        <w:t>’s new</w:t>
      </w:r>
      <w:r w:rsidR="00625189" w:rsidRPr="000A7C5F">
        <w:rPr>
          <w:szCs w:val="28"/>
        </w:rPr>
        <w:t xml:space="preserve"> </w:t>
      </w:r>
      <w:r w:rsidR="00AF6372" w:rsidRPr="000A7C5F">
        <w:rPr>
          <w:szCs w:val="28"/>
        </w:rPr>
        <w:t>policy discriminated against “severely disabled” people under the European Convention on Human Rights because the council would be charging those with the highest support needs proportionately more than those with lower support needs</w:t>
      </w:r>
      <w:r w:rsidR="00AF6372" w:rsidRPr="000A7C5F">
        <w:rPr>
          <w:rStyle w:val="FootnoteReference"/>
          <w:szCs w:val="28"/>
        </w:rPr>
        <w:footnoteReference w:id="131"/>
      </w:r>
      <w:r w:rsidR="00AF6372" w:rsidRPr="000A7C5F">
        <w:rPr>
          <w:szCs w:val="28"/>
        </w:rPr>
        <w:t>. Other DDP in the same situation need to initiate their own individual challenges against their respective LAs in order to access their rights under this ruling.</w:t>
      </w:r>
      <w:r w:rsidR="0045326C">
        <w:rPr>
          <w:rStyle w:val="FootnoteReference"/>
          <w:szCs w:val="28"/>
        </w:rPr>
        <w:footnoteReference w:id="132"/>
      </w:r>
      <w:r w:rsidR="00AF6372" w:rsidRPr="000A7C5F">
        <w:rPr>
          <w:szCs w:val="28"/>
        </w:rPr>
        <w:t xml:space="preserve"> Many DDP, especially those with the highest support needs who are most likely to be affected, may not be aware of the ruling or have the knowledge or support to initiate such a challenge and continue to be discriminated against.</w:t>
      </w:r>
    </w:p>
    <w:p w14:paraId="65C21311" w14:textId="77777777" w:rsidR="00AF6372" w:rsidRPr="000A7C5F" w:rsidRDefault="00AF6372" w:rsidP="00E739BB">
      <w:pPr>
        <w:pStyle w:val="ListParagraph"/>
        <w:ind w:left="851" w:hanging="851"/>
        <w:rPr>
          <w:szCs w:val="28"/>
        </w:rPr>
      </w:pPr>
    </w:p>
    <w:p w14:paraId="1B360CC1" w14:textId="4FBB3434" w:rsidR="001075C5" w:rsidRPr="000A7C5F" w:rsidRDefault="0026413A" w:rsidP="00794060">
      <w:pPr>
        <w:pStyle w:val="ListParagraph"/>
        <w:numPr>
          <w:ilvl w:val="0"/>
          <w:numId w:val="3"/>
        </w:numPr>
        <w:ind w:left="851" w:hanging="851"/>
        <w:rPr>
          <w:szCs w:val="28"/>
        </w:rPr>
      </w:pPr>
      <w:r w:rsidRPr="000A7C5F">
        <w:rPr>
          <w:szCs w:val="28"/>
        </w:rPr>
        <w:t>Recent figures from six LAs indicate that there could be more than 100,000 Disabled people in social care debt across England</w:t>
      </w:r>
      <w:r w:rsidRPr="000A7C5F">
        <w:rPr>
          <w:rStyle w:val="FootnoteReference"/>
          <w:szCs w:val="28"/>
        </w:rPr>
        <w:footnoteReference w:id="133"/>
      </w:r>
      <w:r w:rsidRPr="000A7C5F">
        <w:rPr>
          <w:szCs w:val="28"/>
        </w:rPr>
        <w:t>.</w:t>
      </w:r>
      <w:r w:rsidR="000C4026" w:rsidRPr="000A7C5F">
        <w:rPr>
          <w:szCs w:val="28"/>
        </w:rPr>
        <w:t xml:space="preserve"> A previous investigation in 2018 found over 166,000 </w:t>
      </w:r>
      <w:r w:rsidR="00F57AAE" w:rsidRPr="000A7C5F">
        <w:rPr>
          <w:szCs w:val="28"/>
        </w:rPr>
        <w:t xml:space="preserve">people </w:t>
      </w:r>
      <w:r w:rsidR="000C4026" w:rsidRPr="000A7C5F">
        <w:rPr>
          <w:szCs w:val="28"/>
        </w:rPr>
        <w:t xml:space="preserve">in </w:t>
      </w:r>
      <w:r w:rsidR="000C4026" w:rsidRPr="000A7C5F">
        <w:rPr>
          <w:szCs w:val="28"/>
        </w:rPr>
        <w:lastRenderedPageBreak/>
        <w:t>arrears on their social care payments</w:t>
      </w:r>
      <w:r w:rsidR="00F57AAE" w:rsidRPr="000A7C5F">
        <w:rPr>
          <w:szCs w:val="28"/>
        </w:rPr>
        <w:t>. M</w:t>
      </w:r>
      <w:r w:rsidR="000C4026" w:rsidRPr="000A7C5F">
        <w:rPr>
          <w:szCs w:val="28"/>
        </w:rPr>
        <w:t xml:space="preserve">ore than 78,000 </w:t>
      </w:r>
      <w:r w:rsidR="00F57AAE" w:rsidRPr="000A7C5F">
        <w:rPr>
          <w:szCs w:val="28"/>
        </w:rPr>
        <w:t xml:space="preserve">of these </w:t>
      </w:r>
      <w:r w:rsidR="000C4026" w:rsidRPr="000A7C5F">
        <w:rPr>
          <w:szCs w:val="28"/>
        </w:rPr>
        <w:t>ha</w:t>
      </w:r>
      <w:r w:rsidR="00F57AAE" w:rsidRPr="000A7C5F">
        <w:rPr>
          <w:szCs w:val="28"/>
        </w:rPr>
        <w:t>d</w:t>
      </w:r>
      <w:r w:rsidR="000C4026" w:rsidRPr="000A7C5F">
        <w:rPr>
          <w:szCs w:val="28"/>
        </w:rPr>
        <w:t xml:space="preserve"> debt management procedures started against them for non-payment</w:t>
      </w:r>
      <w:r w:rsidR="000C4026" w:rsidRPr="000A7C5F">
        <w:rPr>
          <w:rStyle w:val="FootnoteReference"/>
          <w:szCs w:val="28"/>
        </w:rPr>
        <w:footnoteReference w:id="134"/>
      </w:r>
      <w:r w:rsidR="000C4026" w:rsidRPr="000A7C5F">
        <w:rPr>
          <w:szCs w:val="28"/>
        </w:rPr>
        <w:t xml:space="preserve">. The true figure is likely to be higher as </w:t>
      </w:r>
      <w:r w:rsidR="00F57AAE" w:rsidRPr="000A7C5F">
        <w:rPr>
          <w:szCs w:val="28"/>
        </w:rPr>
        <w:t>not all</w:t>
      </w:r>
      <w:r w:rsidR="000C4026" w:rsidRPr="000A7C5F">
        <w:rPr>
          <w:szCs w:val="28"/>
        </w:rPr>
        <w:t xml:space="preserve"> </w:t>
      </w:r>
      <w:r w:rsidR="00F57AAE" w:rsidRPr="000A7C5F">
        <w:rPr>
          <w:szCs w:val="28"/>
        </w:rPr>
        <w:t>LAs</w:t>
      </w:r>
      <w:r w:rsidR="000C4026" w:rsidRPr="000A7C5F">
        <w:rPr>
          <w:szCs w:val="28"/>
        </w:rPr>
        <w:t xml:space="preserve"> respond</w:t>
      </w:r>
      <w:r w:rsidR="00F57AAE" w:rsidRPr="000A7C5F">
        <w:rPr>
          <w:szCs w:val="28"/>
        </w:rPr>
        <w:t>ed</w:t>
      </w:r>
      <w:r w:rsidR="000C4026" w:rsidRPr="000A7C5F">
        <w:rPr>
          <w:szCs w:val="28"/>
        </w:rPr>
        <w:t xml:space="preserve"> and there is no central monitoring by </w:t>
      </w:r>
      <w:proofErr w:type="spellStart"/>
      <w:r w:rsidR="000C4026" w:rsidRPr="000A7C5F">
        <w:rPr>
          <w:szCs w:val="28"/>
        </w:rPr>
        <w:t>WeG</w:t>
      </w:r>
      <w:proofErr w:type="spellEnd"/>
      <w:r w:rsidR="000C4026" w:rsidRPr="000A7C5F">
        <w:rPr>
          <w:szCs w:val="28"/>
        </w:rPr>
        <w:t>.</w:t>
      </w:r>
    </w:p>
    <w:p w14:paraId="55854B6B" w14:textId="77777777" w:rsidR="00771FD0" w:rsidRPr="000A7C5F" w:rsidRDefault="00771FD0" w:rsidP="00E739BB">
      <w:pPr>
        <w:pStyle w:val="ListParagraph"/>
        <w:rPr>
          <w:szCs w:val="28"/>
        </w:rPr>
      </w:pPr>
    </w:p>
    <w:p w14:paraId="4FF5590C" w14:textId="11E42E7B" w:rsidR="00771FD0" w:rsidRPr="000A7C5F" w:rsidRDefault="00771FD0" w:rsidP="00794060">
      <w:pPr>
        <w:pStyle w:val="ListParagraph"/>
        <w:numPr>
          <w:ilvl w:val="0"/>
          <w:numId w:val="3"/>
        </w:numPr>
        <w:ind w:left="851" w:hanging="851"/>
        <w:rPr>
          <w:szCs w:val="28"/>
        </w:rPr>
      </w:pPr>
      <w:r w:rsidRPr="000A7C5F">
        <w:rPr>
          <w:szCs w:val="28"/>
        </w:rPr>
        <w:t>When social care needs are not met there are extreme consequences. Research published in 2021 found that for the five years from 2010, the loss of social care funding caused 23,662 additional deaths</w:t>
      </w:r>
      <w:r w:rsidR="00F57AAE" w:rsidRPr="000A7C5F">
        <w:rPr>
          <w:rStyle w:val="FootnoteReference"/>
          <w:szCs w:val="28"/>
        </w:rPr>
        <w:footnoteReference w:id="135"/>
      </w:r>
      <w:r w:rsidRPr="000A7C5F">
        <w:rPr>
          <w:szCs w:val="28"/>
        </w:rPr>
        <w:t>.  It is likely this trend continued after the years under study up until the pandemic as cuts only worsened over that period.</w:t>
      </w:r>
    </w:p>
    <w:p w14:paraId="276E8231" w14:textId="77777777" w:rsidR="00771FD0" w:rsidRPr="000A7C5F" w:rsidRDefault="00771FD0" w:rsidP="00E739BB">
      <w:pPr>
        <w:pStyle w:val="ListParagraph"/>
        <w:ind w:left="851" w:hanging="851"/>
        <w:rPr>
          <w:szCs w:val="28"/>
        </w:rPr>
      </w:pPr>
    </w:p>
    <w:p w14:paraId="7494E2DD" w14:textId="73DA5D09" w:rsidR="001075C5" w:rsidRPr="000A7C5F" w:rsidRDefault="005B63EB" w:rsidP="00794060">
      <w:pPr>
        <w:pStyle w:val="ListParagraph"/>
        <w:numPr>
          <w:ilvl w:val="0"/>
          <w:numId w:val="3"/>
        </w:numPr>
        <w:ind w:left="851" w:hanging="851"/>
        <w:rPr>
          <w:szCs w:val="28"/>
        </w:rPr>
      </w:pPr>
      <w:r w:rsidRPr="000A7C5F">
        <w:rPr>
          <w:szCs w:val="28"/>
        </w:rPr>
        <w:t xml:space="preserve">There is a major shortage of advocacy services. </w:t>
      </w:r>
      <w:r w:rsidR="00771FD0" w:rsidRPr="000A7C5F">
        <w:rPr>
          <w:szCs w:val="28"/>
        </w:rPr>
        <w:t>I</w:t>
      </w:r>
      <w:r w:rsidRPr="000A7C5F">
        <w:rPr>
          <w:szCs w:val="28"/>
        </w:rPr>
        <w:t>ndependent advocacy is a crucial aspect of assessments and care planning for many who have ‘substantial difficulty’ taking part in Care Act processes. In one case, a person was told that the local authority ‘no longer commissions advocacy support’</w:t>
      </w:r>
      <w:r w:rsidRPr="000A7C5F">
        <w:rPr>
          <w:rStyle w:val="FootnoteReference"/>
          <w:szCs w:val="28"/>
        </w:rPr>
        <w:footnoteReference w:id="136"/>
      </w:r>
      <w:r w:rsidRPr="000A7C5F">
        <w:rPr>
          <w:szCs w:val="28"/>
        </w:rPr>
        <w:t>.</w:t>
      </w:r>
    </w:p>
    <w:p w14:paraId="0ED03D70" w14:textId="77777777" w:rsidR="001075C5" w:rsidRPr="000A7C5F" w:rsidRDefault="001075C5" w:rsidP="00E739BB">
      <w:pPr>
        <w:pStyle w:val="ListParagraph"/>
        <w:ind w:left="851" w:hanging="851"/>
        <w:rPr>
          <w:szCs w:val="28"/>
        </w:rPr>
      </w:pPr>
    </w:p>
    <w:p w14:paraId="743EDA57" w14:textId="71F461D2" w:rsidR="001075C5" w:rsidRPr="000A7C5F" w:rsidRDefault="00E82391" w:rsidP="00794060">
      <w:pPr>
        <w:pStyle w:val="ListParagraph"/>
        <w:numPr>
          <w:ilvl w:val="0"/>
          <w:numId w:val="3"/>
        </w:numPr>
        <w:ind w:left="851" w:hanging="851"/>
        <w:rPr>
          <w:szCs w:val="28"/>
        </w:rPr>
      </w:pPr>
      <w:r w:rsidRPr="000A7C5F">
        <w:rPr>
          <w:szCs w:val="28"/>
        </w:rPr>
        <w:t>Unprecedented numbers of cases are investigated by the Local Government and Social Care ombudsman</w:t>
      </w:r>
      <w:r w:rsidR="002D4BAF" w:rsidRPr="000A7C5F">
        <w:rPr>
          <w:szCs w:val="28"/>
        </w:rPr>
        <w:t xml:space="preserve"> (LGSCO)</w:t>
      </w:r>
      <w:r w:rsidRPr="000A7C5F">
        <w:rPr>
          <w:szCs w:val="28"/>
        </w:rPr>
        <w:t xml:space="preserve"> who finds “the adult social care system is progressively failing to deliver for those </w:t>
      </w:r>
      <w:r w:rsidRPr="000A7C5F">
        <w:rPr>
          <w:szCs w:val="28"/>
        </w:rPr>
        <w:lastRenderedPageBreak/>
        <w:t>who need it most.”</w:t>
      </w:r>
      <w:r w:rsidR="001E6D2F" w:rsidRPr="000A7C5F">
        <w:rPr>
          <w:rStyle w:val="FootnoteReference"/>
          <w:szCs w:val="28"/>
        </w:rPr>
        <w:footnoteReference w:id="137"/>
      </w:r>
      <w:r w:rsidRPr="000A7C5F">
        <w:rPr>
          <w:szCs w:val="28"/>
        </w:rPr>
        <w:t xml:space="preserve"> </w:t>
      </w:r>
      <w:r w:rsidR="00CD6E41" w:rsidRPr="000A7C5F">
        <w:rPr>
          <w:szCs w:val="28"/>
        </w:rPr>
        <w:t xml:space="preserve">See </w:t>
      </w:r>
      <w:hyperlink w:anchor="_Appendix_4:_Local" w:history="1">
        <w:r w:rsidR="00CD6E41" w:rsidRPr="00441F5D">
          <w:rPr>
            <w:rStyle w:val="Hyperlink"/>
            <w:szCs w:val="28"/>
          </w:rPr>
          <w:t>Appendix 4</w:t>
        </w:r>
      </w:hyperlink>
      <w:r w:rsidR="00CD6E41" w:rsidRPr="000A7C5F">
        <w:rPr>
          <w:szCs w:val="28"/>
        </w:rPr>
        <w:t xml:space="preserve"> for a summary of recent Ombudsman complaints.</w:t>
      </w:r>
      <w:r w:rsidR="001E6D2F" w:rsidRPr="000A7C5F">
        <w:rPr>
          <w:rStyle w:val="FootnoteReference"/>
          <w:szCs w:val="28"/>
        </w:rPr>
        <w:footnoteReference w:id="138"/>
      </w:r>
    </w:p>
    <w:p w14:paraId="2A4B3045" w14:textId="77777777" w:rsidR="001075C5" w:rsidRPr="000A7C5F" w:rsidRDefault="001075C5" w:rsidP="00E739BB">
      <w:pPr>
        <w:pStyle w:val="ListParagraph"/>
        <w:rPr>
          <w:szCs w:val="28"/>
        </w:rPr>
      </w:pPr>
    </w:p>
    <w:p w14:paraId="469EB030" w14:textId="2E24C56C" w:rsidR="00110535" w:rsidRPr="000A7C5F" w:rsidRDefault="005570A7" w:rsidP="00794060">
      <w:pPr>
        <w:pStyle w:val="ListParagraph"/>
        <w:numPr>
          <w:ilvl w:val="0"/>
          <w:numId w:val="3"/>
        </w:numPr>
        <w:ind w:left="851" w:hanging="851"/>
        <w:rPr>
          <w:szCs w:val="28"/>
        </w:rPr>
      </w:pPr>
      <w:bookmarkStart w:id="18" w:name="Para63"/>
      <w:bookmarkEnd w:id="18"/>
      <w:r w:rsidRPr="000A7C5F">
        <w:rPr>
          <w:szCs w:val="28"/>
        </w:rPr>
        <w:t>During the pandemic</w:t>
      </w:r>
      <w:r w:rsidR="007C5688" w:rsidRPr="000A7C5F">
        <w:rPr>
          <w:szCs w:val="28"/>
        </w:rPr>
        <w:t>,</w:t>
      </w:r>
      <w:r w:rsidRPr="000A7C5F">
        <w:rPr>
          <w:szCs w:val="28"/>
        </w:rPr>
        <w:t xml:space="preserve"> social care support was reduced or suspended</w:t>
      </w:r>
      <w:r w:rsidR="008456A7" w:rsidRPr="000A7C5F">
        <w:rPr>
          <w:rStyle w:val="FootnoteReference"/>
          <w:szCs w:val="28"/>
        </w:rPr>
        <w:footnoteReference w:id="139"/>
      </w:r>
      <w:r w:rsidRPr="000A7C5F">
        <w:rPr>
          <w:szCs w:val="28"/>
        </w:rPr>
        <w:t xml:space="preserve">. </w:t>
      </w:r>
      <w:r w:rsidR="002D4BAF" w:rsidRPr="000A7C5F">
        <w:rPr>
          <w:szCs w:val="28"/>
        </w:rPr>
        <w:t>Anecdotally</w:t>
      </w:r>
      <w:r w:rsidR="007C5688" w:rsidRPr="000A7C5F">
        <w:rPr>
          <w:szCs w:val="28"/>
        </w:rPr>
        <w:t>,</w:t>
      </w:r>
      <w:r w:rsidR="002D4BAF" w:rsidRPr="000A7C5F">
        <w:rPr>
          <w:szCs w:val="28"/>
        </w:rPr>
        <w:t xml:space="preserve"> we heard that LAs would not increase </w:t>
      </w:r>
      <w:r w:rsidR="007C5688" w:rsidRPr="000A7C5F">
        <w:rPr>
          <w:szCs w:val="28"/>
        </w:rPr>
        <w:t>funding</w:t>
      </w:r>
      <w:r w:rsidR="002D4BAF" w:rsidRPr="000A7C5F">
        <w:rPr>
          <w:szCs w:val="28"/>
        </w:rPr>
        <w:t xml:space="preserve"> to help </w:t>
      </w:r>
      <w:r w:rsidR="007C5688" w:rsidRPr="000A7C5F">
        <w:rPr>
          <w:szCs w:val="28"/>
        </w:rPr>
        <w:t>DDP</w:t>
      </w:r>
      <w:r w:rsidR="002D4BAF" w:rsidRPr="000A7C5F">
        <w:rPr>
          <w:szCs w:val="28"/>
        </w:rPr>
        <w:t xml:space="preserve"> </w:t>
      </w:r>
      <w:r w:rsidR="007C5688" w:rsidRPr="000A7C5F">
        <w:rPr>
          <w:szCs w:val="28"/>
        </w:rPr>
        <w:t>requiring extra support due to lockdown conditions</w:t>
      </w:r>
      <w:r w:rsidR="002D4BAF" w:rsidRPr="000A7C5F">
        <w:rPr>
          <w:rStyle w:val="FootnoteReference"/>
          <w:szCs w:val="28"/>
        </w:rPr>
        <w:footnoteReference w:id="140"/>
      </w:r>
      <w:r w:rsidR="002D4BAF" w:rsidRPr="000A7C5F">
        <w:rPr>
          <w:szCs w:val="28"/>
        </w:rPr>
        <w:t xml:space="preserve">. </w:t>
      </w:r>
      <w:r w:rsidRPr="000A7C5F">
        <w:rPr>
          <w:szCs w:val="28"/>
        </w:rPr>
        <w:t xml:space="preserve">Many </w:t>
      </w:r>
      <w:r w:rsidR="008456A7" w:rsidRPr="000A7C5F">
        <w:rPr>
          <w:szCs w:val="28"/>
        </w:rPr>
        <w:t>PAs</w:t>
      </w:r>
      <w:r w:rsidRPr="000A7C5F">
        <w:rPr>
          <w:szCs w:val="28"/>
        </w:rPr>
        <w:t xml:space="preserve"> could not </w:t>
      </w:r>
      <w:r w:rsidR="008456A7" w:rsidRPr="000A7C5F">
        <w:rPr>
          <w:szCs w:val="28"/>
        </w:rPr>
        <w:t>go to work in DDP’s own homes</w:t>
      </w:r>
      <w:r w:rsidRPr="000A7C5F">
        <w:rPr>
          <w:szCs w:val="28"/>
        </w:rPr>
        <w:t xml:space="preserve"> because of lack of access to PPE or because they were self-isolating. This contributed to the 50% rise in deaths among DDP </w:t>
      </w:r>
      <w:r w:rsidR="008456A7" w:rsidRPr="000A7C5F">
        <w:rPr>
          <w:szCs w:val="28"/>
        </w:rPr>
        <w:t xml:space="preserve">living </w:t>
      </w:r>
      <w:r w:rsidRPr="000A7C5F">
        <w:rPr>
          <w:szCs w:val="28"/>
        </w:rPr>
        <w:t xml:space="preserve">in the community in receipt of social care support from April 2020 – March 2021. Of the 25,000 deaths, data suggests only 8.7% were </w:t>
      </w:r>
      <w:r w:rsidR="00C006F0" w:rsidRPr="000A7C5F">
        <w:rPr>
          <w:szCs w:val="28"/>
        </w:rPr>
        <w:t>COVID</w:t>
      </w:r>
      <w:r w:rsidRPr="000A7C5F">
        <w:rPr>
          <w:szCs w:val="28"/>
        </w:rPr>
        <w:t>-19 related.</w:t>
      </w:r>
      <w:r w:rsidRPr="000A7C5F">
        <w:rPr>
          <w:vertAlign w:val="superscript"/>
        </w:rPr>
        <w:footnoteReference w:id="141"/>
      </w:r>
      <w:r w:rsidR="00483CDD" w:rsidRPr="000A7C5F">
        <w:rPr>
          <w:szCs w:val="28"/>
        </w:rPr>
        <w:t xml:space="preserve"> From January – July 2020, a total of 345 non-</w:t>
      </w:r>
      <w:r w:rsidR="00C006F0" w:rsidRPr="000A7C5F">
        <w:rPr>
          <w:szCs w:val="28"/>
        </w:rPr>
        <w:t>COVID</w:t>
      </w:r>
      <w:r w:rsidR="00483CDD" w:rsidRPr="000A7C5F">
        <w:rPr>
          <w:szCs w:val="28"/>
        </w:rPr>
        <w:t xml:space="preserve"> patients died of thirst across all settings, a 48 per cent </w:t>
      </w:r>
      <w:r w:rsidR="00483CDD" w:rsidRPr="000A7C5F">
        <w:rPr>
          <w:szCs w:val="28"/>
        </w:rPr>
        <w:softHyphen/>
        <w:t>increase on the previous five-year average of 232. Age UK explained that Disabled older people stopped drinking because they feared they could not get to the toilet.</w:t>
      </w:r>
      <w:r w:rsidR="00483CDD" w:rsidRPr="000A7C5F">
        <w:rPr>
          <w:rStyle w:val="FootnoteReference"/>
          <w:szCs w:val="28"/>
        </w:rPr>
        <w:footnoteReference w:id="142"/>
      </w:r>
    </w:p>
    <w:p w14:paraId="50D9EED6" w14:textId="77777777" w:rsidR="00110535" w:rsidRPr="000A7C5F" w:rsidRDefault="00110535" w:rsidP="00E739BB">
      <w:pPr>
        <w:pStyle w:val="ListParagraph"/>
        <w:ind w:left="851" w:hanging="851"/>
        <w:rPr>
          <w:szCs w:val="28"/>
        </w:rPr>
      </w:pPr>
    </w:p>
    <w:p w14:paraId="1C484B1B" w14:textId="5BEA3AF1" w:rsidR="00D74063" w:rsidRPr="000A7C5F" w:rsidRDefault="009A34EF" w:rsidP="00794060">
      <w:pPr>
        <w:pStyle w:val="ListParagraph"/>
        <w:numPr>
          <w:ilvl w:val="0"/>
          <w:numId w:val="3"/>
        </w:numPr>
        <w:ind w:left="851" w:hanging="851"/>
        <w:rPr>
          <w:szCs w:val="28"/>
        </w:rPr>
      </w:pPr>
      <w:bookmarkStart w:id="19" w:name="AssessmentDelays"/>
      <w:bookmarkEnd w:id="19"/>
      <w:r w:rsidRPr="000A7C5F">
        <w:rPr>
          <w:szCs w:val="28"/>
        </w:rPr>
        <w:lastRenderedPageBreak/>
        <w:t xml:space="preserve">The Coronavirus Act 2020 introduced easements on the Care Act 2014 allowing </w:t>
      </w:r>
      <w:r w:rsidR="008456A7" w:rsidRPr="000A7C5F">
        <w:rPr>
          <w:szCs w:val="28"/>
        </w:rPr>
        <w:t>LA</w:t>
      </w:r>
      <w:r w:rsidRPr="000A7C5F">
        <w:rPr>
          <w:szCs w:val="28"/>
        </w:rPr>
        <w:t xml:space="preserve">s to suspend duties to meet the social care support needs of DDP. </w:t>
      </w:r>
      <w:r w:rsidR="00CD6E41" w:rsidRPr="000A7C5F">
        <w:rPr>
          <w:szCs w:val="28"/>
        </w:rPr>
        <w:t xml:space="preserve">The easements affected duties to assess needs, carry out financial assessments and make support plans. </w:t>
      </w:r>
      <w:r w:rsidRPr="000A7C5F">
        <w:rPr>
          <w:szCs w:val="28"/>
        </w:rPr>
        <w:t xml:space="preserve">Only eight </w:t>
      </w:r>
      <w:r w:rsidR="008456A7" w:rsidRPr="000A7C5F">
        <w:rPr>
          <w:szCs w:val="28"/>
        </w:rPr>
        <w:t>LAs officially</w:t>
      </w:r>
      <w:r w:rsidRPr="000A7C5F">
        <w:rPr>
          <w:szCs w:val="28"/>
        </w:rPr>
        <w:t xml:space="preserve"> used th</w:t>
      </w:r>
      <w:r w:rsidR="008456A7" w:rsidRPr="000A7C5F">
        <w:rPr>
          <w:szCs w:val="28"/>
        </w:rPr>
        <w:t>e</w:t>
      </w:r>
      <w:r w:rsidRPr="000A7C5F">
        <w:rPr>
          <w:szCs w:val="28"/>
        </w:rPr>
        <w:t xml:space="preserve">se powers with only two making use of the most significant easement suspending the duty to meet need. By the end of June 2020 all of them had reversed their decision to operate the easements. </w:t>
      </w:r>
      <w:proofErr w:type="spellStart"/>
      <w:r w:rsidR="008456A7" w:rsidRPr="000A7C5F">
        <w:rPr>
          <w:szCs w:val="28"/>
        </w:rPr>
        <w:t>WeG</w:t>
      </w:r>
      <w:proofErr w:type="spellEnd"/>
      <w:r w:rsidR="008456A7" w:rsidRPr="000A7C5F">
        <w:rPr>
          <w:szCs w:val="28"/>
        </w:rPr>
        <w:t xml:space="preserve"> then dropped the provision for </w:t>
      </w:r>
      <w:r w:rsidRPr="000A7C5F">
        <w:rPr>
          <w:szCs w:val="28"/>
        </w:rPr>
        <w:t>easements</w:t>
      </w:r>
      <w:r w:rsidR="008456A7" w:rsidRPr="000A7C5F">
        <w:rPr>
          <w:szCs w:val="28"/>
        </w:rPr>
        <w:t xml:space="preserve"> </w:t>
      </w:r>
      <w:r w:rsidRPr="000A7C5F">
        <w:rPr>
          <w:szCs w:val="28"/>
        </w:rPr>
        <w:t>from April 2021</w:t>
      </w:r>
      <w:r w:rsidR="008456A7" w:rsidRPr="000A7C5F">
        <w:rPr>
          <w:szCs w:val="28"/>
        </w:rPr>
        <w:t>,</w:t>
      </w:r>
      <w:r w:rsidRPr="000A7C5F">
        <w:rPr>
          <w:szCs w:val="28"/>
        </w:rPr>
        <w:t xml:space="preserve"> one year after they were passed.</w:t>
      </w:r>
      <w:r w:rsidRPr="000A7C5F">
        <w:rPr>
          <w:rStyle w:val="FootnoteReference"/>
          <w:szCs w:val="28"/>
        </w:rPr>
        <w:footnoteReference w:id="143"/>
      </w:r>
      <w:r w:rsidRPr="000A7C5F">
        <w:rPr>
          <w:szCs w:val="28"/>
        </w:rPr>
        <w:t xml:space="preserve"> DDP nevertheless experienced long assessment delays, difficulties contacting social services and reduced support provision from care providers throughout the pandemic.</w:t>
      </w:r>
    </w:p>
    <w:p w14:paraId="1C7601BC" w14:textId="77777777" w:rsidR="00D74063" w:rsidRPr="000A7C5F" w:rsidRDefault="00D74063" w:rsidP="00E739BB">
      <w:pPr>
        <w:pStyle w:val="ListParagraph"/>
        <w:rPr>
          <w:szCs w:val="28"/>
        </w:rPr>
      </w:pPr>
    </w:p>
    <w:p w14:paraId="0BC5C7EE" w14:textId="6C34D9BD" w:rsidR="00771FD0" w:rsidRPr="000A7C5F" w:rsidRDefault="009037D2" w:rsidP="00794060">
      <w:pPr>
        <w:pStyle w:val="ListParagraph"/>
        <w:numPr>
          <w:ilvl w:val="0"/>
          <w:numId w:val="3"/>
        </w:numPr>
        <w:ind w:left="851" w:hanging="851"/>
        <w:rPr>
          <w:szCs w:val="28"/>
        </w:rPr>
      </w:pPr>
      <w:proofErr w:type="spellStart"/>
      <w:r w:rsidRPr="000A7C5F">
        <w:rPr>
          <w:szCs w:val="28"/>
        </w:rPr>
        <w:t>WeG</w:t>
      </w:r>
      <w:proofErr w:type="spellEnd"/>
      <w:r w:rsidR="005570A7" w:rsidRPr="000A7C5F">
        <w:rPr>
          <w:szCs w:val="28"/>
        </w:rPr>
        <w:t xml:space="preserve"> Health and Social Care bill focuses on social care support as an older person’s issue and there </w:t>
      </w:r>
      <w:r w:rsidR="00D92833" w:rsidRPr="000A7C5F">
        <w:rPr>
          <w:szCs w:val="28"/>
        </w:rPr>
        <w:t>has been</w:t>
      </w:r>
      <w:r w:rsidR="005570A7" w:rsidRPr="000A7C5F">
        <w:rPr>
          <w:szCs w:val="28"/>
        </w:rPr>
        <w:t xml:space="preserve"> a complete absence of engagement with DDPOs. When DDPOs wrote to the Secretary of State for Health and Social Care asking to meet he was too busy.</w:t>
      </w:r>
      <w:r w:rsidR="005570A7" w:rsidRPr="000A7C5F">
        <w:rPr>
          <w:vertAlign w:val="superscript"/>
        </w:rPr>
        <w:footnoteReference w:id="144"/>
      </w:r>
      <w:r w:rsidR="005570A7" w:rsidRPr="000A7C5F">
        <w:rPr>
          <w:szCs w:val="28"/>
        </w:rPr>
        <w:t xml:space="preserve">  </w:t>
      </w:r>
      <w:r w:rsidR="009A34EF" w:rsidRPr="000A7C5F">
        <w:rPr>
          <w:szCs w:val="28"/>
        </w:rPr>
        <w:t>There was not one social care user among the 43 “leaders and experts” he assembled for a health and social care reform summit.</w:t>
      </w:r>
      <w:r w:rsidR="009A34EF" w:rsidRPr="000A7C5F">
        <w:rPr>
          <w:rStyle w:val="FootnoteReference"/>
          <w:szCs w:val="28"/>
        </w:rPr>
        <w:footnoteReference w:id="145"/>
      </w:r>
      <w:r w:rsidR="00771FD0" w:rsidRPr="000A7C5F">
        <w:rPr>
          <w:szCs w:val="28"/>
        </w:rPr>
        <w:t xml:space="preserve"> </w:t>
      </w:r>
      <w:r w:rsidR="002B444D" w:rsidRPr="002B444D">
        <w:rPr>
          <w:szCs w:val="28"/>
        </w:rPr>
        <w:t xml:space="preserve">The Care Services Minister admitted she is unaware of the views of DDPOs on </w:t>
      </w:r>
      <w:proofErr w:type="spellStart"/>
      <w:r w:rsidR="002B444D" w:rsidRPr="002B444D">
        <w:rPr>
          <w:szCs w:val="28"/>
        </w:rPr>
        <w:t>WeG’s</w:t>
      </w:r>
      <w:proofErr w:type="spellEnd"/>
      <w:r w:rsidR="002B444D" w:rsidRPr="002B444D">
        <w:rPr>
          <w:szCs w:val="28"/>
        </w:rPr>
        <w:t xml:space="preserve"> social care reforms</w:t>
      </w:r>
      <w:r w:rsidR="009A34EF" w:rsidRPr="000A7C5F">
        <w:rPr>
          <w:szCs w:val="28"/>
        </w:rPr>
        <w:t>.</w:t>
      </w:r>
      <w:r w:rsidR="009A34EF" w:rsidRPr="000A7C5F">
        <w:rPr>
          <w:rStyle w:val="FootnoteReference"/>
          <w:szCs w:val="28"/>
        </w:rPr>
        <w:footnoteReference w:id="146"/>
      </w:r>
      <w:r w:rsidR="009A34EF" w:rsidRPr="000A7C5F">
        <w:rPr>
          <w:szCs w:val="28"/>
        </w:rPr>
        <w:t xml:space="preserve"> </w:t>
      </w:r>
    </w:p>
    <w:p w14:paraId="3D93AFE8" w14:textId="77777777" w:rsidR="00771FD0" w:rsidRPr="000A7C5F" w:rsidRDefault="00771FD0" w:rsidP="00E739BB">
      <w:pPr>
        <w:pStyle w:val="ListParagraph"/>
        <w:ind w:left="851" w:hanging="851"/>
        <w:rPr>
          <w:szCs w:val="28"/>
        </w:rPr>
      </w:pPr>
    </w:p>
    <w:p w14:paraId="23F468EF" w14:textId="045A8B38" w:rsidR="00110535" w:rsidRPr="000A7C5F" w:rsidRDefault="009A34EF" w:rsidP="00794060">
      <w:pPr>
        <w:pStyle w:val="ListParagraph"/>
        <w:numPr>
          <w:ilvl w:val="0"/>
          <w:numId w:val="3"/>
        </w:numPr>
        <w:ind w:left="851" w:hanging="851"/>
        <w:rPr>
          <w:szCs w:val="28"/>
        </w:rPr>
      </w:pPr>
      <w:bookmarkStart w:id="20" w:name="EndofSocialCareSection"/>
      <w:bookmarkEnd w:id="20"/>
      <w:r w:rsidRPr="000A7C5F">
        <w:rPr>
          <w:szCs w:val="28"/>
        </w:rPr>
        <w:t xml:space="preserve">Of the £5.4bn of new funding for social care from 2022-2025, only £1.7bn will go towards the wider system; the rest will be spent on implementing </w:t>
      </w:r>
      <w:r w:rsidR="00D92833" w:rsidRPr="000A7C5F">
        <w:rPr>
          <w:szCs w:val="28"/>
        </w:rPr>
        <w:t>a</w:t>
      </w:r>
      <w:r w:rsidRPr="000A7C5F">
        <w:rPr>
          <w:szCs w:val="28"/>
        </w:rPr>
        <w:t xml:space="preserve"> new social care cap</w:t>
      </w:r>
      <w:r w:rsidRPr="000A7C5F">
        <w:rPr>
          <w:rStyle w:val="FootnoteReference"/>
          <w:szCs w:val="28"/>
        </w:rPr>
        <w:footnoteReference w:id="147"/>
      </w:r>
      <w:r w:rsidRPr="000A7C5F">
        <w:rPr>
          <w:szCs w:val="28"/>
        </w:rPr>
        <w:t>. The cap limits the amount that an</w:t>
      </w:r>
      <w:r w:rsidR="00D92833" w:rsidRPr="000A7C5F">
        <w:rPr>
          <w:szCs w:val="28"/>
        </w:rPr>
        <w:t>y</w:t>
      </w:r>
      <w:r w:rsidRPr="000A7C5F">
        <w:rPr>
          <w:szCs w:val="28"/>
        </w:rPr>
        <w:t xml:space="preserve"> individual will need to pay towards the costs of social care within their lifetime. </w:t>
      </w:r>
      <w:r w:rsidR="00CD6E41" w:rsidRPr="000A7C5F">
        <w:rPr>
          <w:szCs w:val="28"/>
        </w:rPr>
        <w:t xml:space="preserve">The cap is contrary to the system originally legislated for, but never implemented, in the Care Act 2014. It will mean people with lower levels of assets will need to spend the same as wealthier people before reaching the cap. </w:t>
      </w:r>
      <w:r w:rsidRPr="000A7C5F">
        <w:rPr>
          <w:szCs w:val="28"/>
        </w:rPr>
        <w:t>The new funding is being raise</w:t>
      </w:r>
      <w:r w:rsidR="00D92833" w:rsidRPr="000A7C5F">
        <w:rPr>
          <w:szCs w:val="28"/>
        </w:rPr>
        <w:t>d</w:t>
      </w:r>
      <w:r w:rsidRPr="000A7C5F">
        <w:rPr>
          <w:szCs w:val="28"/>
        </w:rPr>
        <w:t xml:space="preserve"> via a Health and Social Levy raised through National Insurance contributions</w:t>
      </w:r>
      <w:r w:rsidR="00D74063" w:rsidRPr="000A7C5F">
        <w:rPr>
          <w:szCs w:val="28"/>
        </w:rPr>
        <w:t xml:space="preserve"> and will slightly increase poverty rates, from 16.2% to 16.3%</w:t>
      </w:r>
      <w:r w:rsidR="00ED3C56" w:rsidRPr="000A7C5F">
        <w:rPr>
          <w:rStyle w:val="FootnoteReference"/>
          <w:szCs w:val="28"/>
        </w:rPr>
        <w:footnoteReference w:id="148"/>
      </w:r>
      <w:r w:rsidR="00ED3C56" w:rsidRPr="000A7C5F">
        <w:rPr>
          <w:szCs w:val="28"/>
        </w:rPr>
        <w:t>.</w:t>
      </w:r>
    </w:p>
    <w:p w14:paraId="4E94777D" w14:textId="4252E66B" w:rsidR="008B02C5" w:rsidRPr="000A7C5F" w:rsidRDefault="008B02C5" w:rsidP="00E739BB">
      <w:pPr>
        <w:pStyle w:val="Heading3"/>
      </w:pPr>
      <w:bookmarkStart w:id="21" w:name="_Toc98504896"/>
      <w:bookmarkEnd w:id="16"/>
      <w:r w:rsidRPr="000A7C5F">
        <w:t>Housing</w:t>
      </w:r>
      <w:bookmarkEnd w:id="21"/>
      <w:r w:rsidR="00F40150" w:rsidRPr="000A7C5F">
        <w:t xml:space="preserve"> </w:t>
      </w:r>
    </w:p>
    <w:p w14:paraId="076BC407" w14:textId="77777777" w:rsidR="00E76627" w:rsidRPr="000A7C5F" w:rsidRDefault="005570A7" w:rsidP="00794060">
      <w:pPr>
        <w:pStyle w:val="ListParagraph"/>
        <w:numPr>
          <w:ilvl w:val="0"/>
          <w:numId w:val="3"/>
        </w:numPr>
        <w:ind w:left="851" w:hanging="851"/>
        <w:rPr>
          <w:szCs w:val="28"/>
        </w:rPr>
      </w:pPr>
      <w:r w:rsidRPr="000A7C5F">
        <w:rPr>
          <w:szCs w:val="28"/>
        </w:rPr>
        <w:t xml:space="preserve">There is significant unmet housing need. In 2018 there were 365,000 DDP living in unsuitable properties while the average </w:t>
      </w:r>
      <w:r w:rsidRPr="000A7C5F">
        <w:rPr>
          <w:szCs w:val="28"/>
        </w:rPr>
        <w:lastRenderedPageBreak/>
        <w:t>waiting time for an accessible property was 25 months</w:t>
      </w:r>
      <w:r w:rsidRPr="000A7C5F">
        <w:rPr>
          <w:vertAlign w:val="superscript"/>
        </w:rPr>
        <w:footnoteReference w:id="149"/>
      </w:r>
      <w:r w:rsidRPr="000A7C5F">
        <w:rPr>
          <w:szCs w:val="28"/>
        </w:rPr>
        <w:t xml:space="preserve">. Unsuitable </w:t>
      </w:r>
      <w:r w:rsidR="0000581E" w:rsidRPr="000A7C5F">
        <w:rPr>
          <w:szCs w:val="28"/>
        </w:rPr>
        <w:t xml:space="preserve">conditions include </w:t>
      </w:r>
      <w:r w:rsidRPr="000A7C5F">
        <w:rPr>
          <w:szCs w:val="28"/>
        </w:rPr>
        <w:t>DDP unable to bathe or leave their homes.</w:t>
      </w:r>
      <w:r w:rsidRPr="000A7C5F">
        <w:rPr>
          <w:vertAlign w:val="superscript"/>
        </w:rPr>
        <w:footnoteReference w:id="150"/>
      </w:r>
      <w:r w:rsidR="0000581E" w:rsidRPr="000A7C5F">
        <w:rPr>
          <w:szCs w:val="28"/>
        </w:rPr>
        <w:t xml:space="preserve"> </w:t>
      </w:r>
    </w:p>
    <w:p w14:paraId="17C94D68" w14:textId="77777777" w:rsidR="00E76627" w:rsidRPr="000A7C5F" w:rsidRDefault="00E76627" w:rsidP="00E739BB">
      <w:pPr>
        <w:pStyle w:val="ListParagraph"/>
        <w:ind w:left="851" w:hanging="851"/>
        <w:rPr>
          <w:szCs w:val="28"/>
        </w:rPr>
      </w:pPr>
    </w:p>
    <w:p w14:paraId="64D5A3F8" w14:textId="0B888CE1" w:rsidR="002F79E8" w:rsidRPr="000A7C5F" w:rsidRDefault="009037D2" w:rsidP="00794060">
      <w:pPr>
        <w:pStyle w:val="ListParagraph"/>
        <w:numPr>
          <w:ilvl w:val="0"/>
          <w:numId w:val="3"/>
        </w:numPr>
        <w:ind w:left="851" w:hanging="851"/>
        <w:rPr>
          <w:szCs w:val="28"/>
        </w:rPr>
      </w:pPr>
      <w:proofErr w:type="spellStart"/>
      <w:r w:rsidRPr="000A7C5F">
        <w:rPr>
          <w:szCs w:val="28"/>
        </w:rPr>
        <w:t>WeG</w:t>
      </w:r>
      <w:proofErr w:type="spellEnd"/>
      <w:r w:rsidR="00E75013" w:rsidRPr="000A7C5F">
        <w:rPr>
          <w:szCs w:val="28"/>
        </w:rPr>
        <w:t xml:space="preserve"> policy </w:t>
      </w:r>
      <w:r w:rsidR="00771FD0" w:rsidRPr="000A7C5F">
        <w:rPr>
          <w:szCs w:val="28"/>
        </w:rPr>
        <w:t xml:space="preserve">does not </w:t>
      </w:r>
      <w:r w:rsidR="00E76627" w:rsidRPr="000A7C5F">
        <w:rPr>
          <w:szCs w:val="28"/>
        </w:rPr>
        <w:t xml:space="preserve">adequately address the </w:t>
      </w:r>
      <w:r w:rsidR="00771FD0" w:rsidRPr="000A7C5F">
        <w:rPr>
          <w:szCs w:val="28"/>
        </w:rPr>
        <w:t>lack of suitable housing</w:t>
      </w:r>
      <w:r w:rsidR="004A7059" w:rsidRPr="000A7C5F">
        <w:rPr>
          <w:rStyle w:val="FootnoteReference"/>
          <w:szCs w:val="28"/>
        </w:rPr>
        <w:footnoteReference w:id="151"/>
      </w:r>
      <w:r w:rsidR="00AA7890" w:rsidRPr="000A7C5F">
        <w:rPr>
          <w:szCs w:val="28"/>
        </w:rPr>
        <w:t xml:space="preserve">. </w:t>
      </w:r>
      <w:r w:rsidR="00BC32A5" w:rsidRPr="000A7C5F">
        <w:rPr>
          <w:szCs w:val="28"/>
        </w:rPr>
        <w:t>DDP are disproportionately reliant on social housing. According to the latest figures from 2019, one-quarter (24.7%) of disabled people rented social housing, compared with just 8.2% of non-disabled people</w:t>
      </w:r>
      <w:r w:rsidR="00BC32A5" w:rsidRPr="000A7C5F">
        <w:rPr>
          <w:rStyle w:val="FootnoteReference"/>
          <w:szCs w:val="28"/>
        </w:rPr>
        <w:footnoteReference w:id="152"/>
      </w:r>
      <w:r w:rsidR="00BC32A5" w:rsidRPr="000A7C5F">
        <w:rPr>
          <w:szCs w:val="28"/>
        </w:rPr>
        <w:t>. Private renting can be unsuitable for a number of reasons including discrimination by landlords</w:t>
      </w:r>
      <w:r w:rsidR="0002289A" w:rsidRPr="000A7C5F">
        <w:rPr>
          <w:szCs w:val="28"/>
        </w:rPr>
        <w:t>,</w:t>
      </w:r>
      <w:r w:rsidR="00BC32A5" w:rsidRPr="000A7C5F">
        <w:rPr>
          <w:szCs w:val="28"/>
        </w:rPr>
        <w:t xml:space="preserve"> inability to make up the shortfall between housing benefit payments and market rents</w:t>
      </w:r>
      <w:r w:rsidR="0002289A" w:rsidRPr="000A7C5F">
        <w:rPr>
          <w:szCs w:val="28"/>
        </w:rPr>
        <w:t>, and the need for security of tenure</w:t>
      </w:r>
      <w:r w:rsidR="00BC32A5" w:rsidRPr="000A7C5F">
        <w:rPr>
          <w:szCs w:val="28"/>
        </w:rPr>
        <w:t xml:space="preserve">. </w:t>
      </w:r>
      <w:r w:rsidR="002F79E8" w:rsidRPr="000A7C5F">
        <w:rPr>
          <w:szCs w:val="28"/>
        </w:rPr>
        <w:t xml:space="preserve">The Equality Act 2010 does not provide sufficient safeguards against housing discrimination. According to the housing charity Shelter, Black, Asian and </w:t>
      </w:r>
      <w:r w:rsidR="00D92833" w:rsidRPr="000A7C5F">
        <w:rPr>
          <w:szCs w:val="28"/>
        </w:rPr>
        <w:t>D</w:t>
      </w:r>
      <w:r w:rsidR="002F79E8" w:rsidRPr="000A7C5F">
        <w:rPr>
          <w:szCs w:val="28"/>
        </w:rPr>
        <w:t xml:space="preserve">isabled tenants are disproportionately likely to face </w:t>
      </w:r>
      <w:r w:rsidR="002F79E8" w:rsidRPr="000A7C5F">
        <w:rPr>
          <w:szCs w:val="28"/>
        </w:rPr>
        <w:lastRenderedPageBreak/>
        <w:t>discrimination looking for a home, and to end up inhabiting shoddy, unsafe and unsuitable accommodation</w:t>
      </w:r>
      <w:r w:rsidR="002F79E8" w:rsidRPr="000A7C5F">
        <w:rPr>
          <w:rStyle w:val="FootnoteReference"/>
          <w:szCs w:val="28"/>
        </w:rPr>
        <w:footnoteReference w:id="153"/>
      </w:r>
      <w:r w:rsidR="002F79E8" w:rsidRPr="000A7C5F">
        <w:rPr>
          <w:szCs w:val="28"/>
        </w:rPr>
        <w:t>.</w:t>
      </w:r>
      <w:r w:rsidR="0002289A" w:rsidRPr="000A7C5F">
        <w:rPr>
          <w:szCs w:val="28"/>
        </w:rPr>
        <w:t xml:space="preserve"> </w:t>
      </w:r>
    </w:p>
    <w:p w14:paraId="7300463F" w14:textId="77777777" w:rsidR="002F79E8" w:rsidRPr="000A7C5F" w:rsidRDefault="002F79E8" w:rsidP="00E739BB">
      <w:pPr>
        <w:pStyle w:val="ListParagraph"/>
        <w:ind w:left="851" w:hanging="851"/>
        <w:rPr>
          <w:szCs w:val="28"/>
        </w:rPr>
      </w:pPr>
    </w:p>
    <w:p w14:paraId="50E06055" w14:textId="0F58F8F0" w:rsidR="00110535" w:rsidRPr="000A7C5F" w:rsidRDefault="002F79E8" w:rsidP="00794060">
      <w:pPr>
        <w:pStyle w:val="ListParagraph"/>
        <w:numPr>
          <w:ilvl w:val="0"/>
          <w:numId w:val="3"/>
        </w:numPr>
        <w:ind w:left="851" w:hanging="851"/>
        <w:rPr>
          <w:szCs w:val="28"/>
        </w:rPr>
      </w:pPr>
      <w:proofErr w:type="spellStart"/>
      <w:r w:rsidRPr="000A7C5F">
        <w:rPr>
          <w:szCs w:val="28"/>
        </w:rPr>
        <w:t>WeG</w:t>
      </w:r>
      <w:proofErr w:type="spellEnd"/>
      <w:r w:rsidRPr="000A7C5F">
        <w:rPr>
          <w:szCs w:val="28"/>
        </w:rPr>
        <w:t xml:space="preserve"> housing policy does not address the need for more </w:t>
      </w:r>
      <w:r w:rsidR="00D92833" w:rsidRPr="000A7C5F">
        <w:rPr>
          <w:szCs w:val="28"/>
        </w:rPr>
        <w:t xml:space="preserve">accessible </w:t>
      </w:r>
      <w:r w:rsidRPr="000A7C5F">
        <w:rPr>
          <w:szCs w:val="28"/>
        </w:rPr>
        <w:t xml:space="preserve">social housing </w:t>
      </w:r>
      <w:r w:rsidR="0002289A" w:rsidRPr="000A7C5F">
        <w:rPr>
          <w:szCs w:val="28"/>
        </w:rPr>
        <w:t>and training in disability equality for social housing workers</w:t>
      </w:r>
      <w:r w:rsidR="0002289A" w:rsidRPr="000A7C5F">
        <w:rPr>
          <w:rStyle w:val="FootnoteReference"/>
          <w:szCs w:val="28"/>
        </w:rPr>
        <w:footnoteReference w:id="154"/>
      </w:r>
      <w:r w:rsidRPr="000A7C5F">
        <w:rPr>
          <w:szCs w:val="28"/>
        </w:rPr>
        <w:t xml:space="preserve">. </w:t>
      </w:r>
      <w:r w:rsidR="00CE6A96" w:rsidRPr="000A7C5F">
        <w:rPr>
          <w:szCs w:val="28"/>
        </w:rPr>
        <w:t>The NDS included proposals to encourage home ownership among DDP and invest in the building of more segregated “supported housing”</w:t>
      </w:r>
      <w:r w:rsidR="00CE6A96" w:rsidRPr="000A7C5F">
        <w:rPr>
          <w:rStyle w:val="FootnoteReference"/>
          <w:szCs w:val="28"/>
        </w:rPr>
        <w:footnoteReference w:id="155"/>
      </w:r>
      <w:r w:rsidR="00CE6A96" w:rsidRPr="000A7C5F">
        <w:rPr>
          <w:szCs w:val="28"/>
        </w:rPr>
        <w:t xml:space="preserve"> with nothing to address the substantive issue of accessible social housing stock. </w:t>
      </w:r>
      <w:r w:rsidR="000D16AE" w:rsidRPr="000A7C5F">
        <w:rPr>
          <w:szCs w:val="28"/>
        </w:rPr>
        <w:t>The Social Housing green paper only mentions disability in relation to supported housing and the following white paper commit</w:t>
      </w:r>
      <w:r w:rsidR="00050379" w:rsidRPr="000A7C5F">
        <w:rPr>
          <w:szCs w:val="28"/>
        </w:rPr>
        <w:t>t</w:t>
      </w:r>
      <w:r w:rsidR="00D92833" w:rsidRPr="000A7C5F">
        <w:rPr>
          <w:szCs w:val="28"/>
        </w:rPr>
        <w:t>ed</w:t>
      </w:r>
      <w:r w:rsidR="000D16AE" w:rsidRPr="000A7C5F">
        <w:rPr>
          <w:szCs w:val="28"/>
        </w:rPr>
        <w:t xml:space="preserve"> </w:t>
      </w:r>
      <w:proofErr w:type="spellStart"/>
      <w:r w:rsidR="000D16AE" w:rsidRPr="000A7C5F">
        <w:rPr>
          <w:szCs w:val="28"/>
        </w:rPr>
        <w:t>WeG</w:t>
      </w:r>
      <w:proofErr w:type="spellEnd"/>
      <w:r w:rsidR="000D16AE" w:rsidRPr="000A7C5F">
        <w:rPr>
          <w:szCs w:val="28"/>
        </w:rPr>
        <w:t xml:space="preserve"> merely</w:t>
      </w:r>
      <w:r w:rsidR="00050379" w:rsidRPr="000A7C5F">
        <w:rPr>
          <w:szCs w:val="28"/>
        </w:rPr>
        <w:t xml:space="preserve"> to</w:t>
      </w:r>
      <w:r w:rsidR="000D16AE" w:rsidRPr="000A7C5F">
        <w:rPr>
          <w:szCs w:val="28"/>
        </w:rPr>
        <w:t xml:space="preserve"> “look at how we can improve access to suitable homes for disabled people”. There is only “fleeting” mention of the housing needs of Disabled people in the government’s National Planning Policy Framework and little or no guidance for councils that makes clear the need for accessible housing and their duties to plan for it</w:t>
      </w:r>
      <w:r w:rsidR="00050379" w:rsidRPr="000A7C5F">
        <w:rPr>
          <w:rStyle w:val="FootnoteReference"/>
          <w:szCs w:val="28"/>
        </w:rPr>
        <w:footnoteReference w:id="156"/>
      </w:r>
      <w:r w:rsidR="000D16AE" w:rsidRPr="000A7C5F">
        <w:rPr>
          <w:szCs w:val="28"/>
        </w:rPr>
        <w:t xml:space="preserve">. </w:t>
      </w:r>
      <w:r w:rsidR="00050379" w:rsidRPr="000A7C5F">
        <w:rPr>
          <w:szCs w:val="28"/>
        </w:rPr>
        <w:t xml:space="preserve">The Framework is undermined by the de-regulation of planning for </w:t>
      </w:r>
      <w:r w:rsidR="00FA71D1" w:rsidRPr="000A7C5F">
        <w:rPr>
          <w:szCs w:val="28"/>
        </w:rPr>
        <w:t>P</w:t>
      </w:r>
      <w:r w:rsidR="00050379" w:rsidRPr="000A7C5F">
        <w:rPr>
          <w:szCs w:val="28"/>
        </w:rPr>
        <w:t xml:space="preserve">ermitted </w:t>
      </w:r>
      <w:r w:rsidR="00FA71D1" w:rsidRPr="000A7C5F">
        <w:rPr>
          <w:szCs w:val="28"/>
        </w:rPr>
        <w:t>D</w:t>
      </w:r>
      <w:r w:rsidR="00050379" w:rsidRPr="000A7C5F">
        <w:rPr>
          <w:szCs w:val="28"/>
        </w:rPr>
        <w:t xml:space="preserve">evelopment – where </w:t>
      </w:r>
      <w:r w:rsidR="00050379" w:rsidRPr="000A7C5F">
        <w:rPr>
          <w:szCs w:val="28"/>
        </w:rPr>
        <w:lastRenderedPageBreak/>
        <w:t xml:space="preserve">commercial premises are converted </w:t>
      </w:r>
      <w:r w:rsidR="00FA71D1" w:rsidRPr="000A7C5F">
        <w:rPr>
          <w:szCs w:val="28"/>
        </w:rPr>
        <w:t>for</w:t>
      </w:r>
      <w:r w:rsidR="00050379" w:rsidRPr="000A7C5F">
        <w:rPr>
          <w:szCs w:val="28"/>
        </w:rPr>
        <w:t xml:space="preserve"> residential </w:t>
      </w:r>
      <w:r w:rsidR="00FA71D1" w:rsidRPr="000A7C5F">
        <w:rPr>
          <w:szCs w:val="28"/>
        </w:rPr>
        <w:t>use</w:t>
      </w:r>
      <w:r w:rsidR="007334F0" w:rsidRPr="000A7C5F">
        <w:rPr>
          <w:rStyle w:val="FootnoteReference"/>
          <w:szCs w:val="28"/>
        </w:rPr>
        <w:footnoteReference w:id="157"/>
      </w:r>
      <w:r w:rsidR="00050379" w:rsidRPr="000A7C5F">
        <w:rPr>
          <w:szCs w:val="28"/>
        </w:rPr>
        <w:t xml:space="preserve">. </w:t>
      </w:r>
      <w:r w:rsidR="00CE6A96" w:rsidRPr="000A7C5F">
        <w:rPr>
          <w:szCs w:val="28"/>
        </w:rPr>
        <w:t xml:space="preserve">Research commissioned by </w:t>
      </w:r>
      <w:proofErr w:type="spellStart"/>
      <w:r w:rsidR="00CE6A96" w:rsidRPr="000A7C5F">
        <w:rPr>
          <w:szCs w:val="28"/>
        </w:rPr>
        <w:t>WeG</w:t>
      </w:r>
      <w:proofErr w:type="spellEnd"/>
      <w:r w:rsidR="00CE6A96" w:rsidRPr="000A7C5F">
        <w:rPr>
          <w:szCs w:val="28"/>
        </w:rPr>
        <w:t xml:space="preserve"> but only published following Parliamentary intervention found that new housing created through permitted development rights is more likely to be characterised by worse quality residential environments than housing created under the full planning permission process</w:t>
      </w:r>
      <w:r w:rsidR="00CE6A96" w:rsidRPr="000A7C5F">
        <w:rPr>
          <w:rStyle w:val="FootnoteReference"/>
          <w:szCs w:val="28"/>
        </w:rPr>
        <w:footnoteReference w:id="158"/>
      </w:r>
      <w:r w:rsidR="00CE6A96" w:rsidRPr="000A7C5F">
        <w:rPr>
          <w:szCs w:val="28"/>
        </w:rPr>
        <w:t>.</w:t>
      </w:r>
    </w:p>
    <w:p w14:paraId="7B72A888" w14:textId="77777777" w:rsidR="00E76627" w:rsidRPr="000A7C5F" w:rsidRDefault="00E76627" w:rsidP="00E739BB">
      <w:pPr>
        <w:pStyle w:val="ListParagraph"/>
        <w:rPr>
          <w:szCs w:val="28"/>
        </w:rPr>
      </w:pPr>
    </w:p>
    <w:p w14:paraId="6904E283" w14:textId="77A7629F" w:rsidR="00E76627" w:rsidRPr="000A7C5F" w:rsidRDefault="00E76627" w:rsidP="00794060">
      <w:pPr>
        <w:pStyle w:val="ListParagraph"/>
        <w:numPr>
          <w:ilvl w:val="0"/>
          <w:numId w:val="3"/>
        </w:numPr>
        <w:ind w:left="851" w:hanging="851"/>
        <w:rPr>
          <w:szCs w:val="28"/>
        </w:rPr>
      </w:pPr>
      <w:r w:rsidRPr="000A7C5F">
        <w:rPr>
          <w:szCs w:val="28"/>
        </w:rPr>
        <w:t>Problems with housing are compounded by LA and Housing Association failures to carry out repairs and maintenance</w:t>
      </w:r>
      <w:r w:rsidRPr="000A7C5F">
        <w:rPr>
          <w:rStyle w:val="FootnoteReference"/>
          <w:szCs w:val="28"/>
        </w:rPr>
        <w:footnoteReference w:id="159"/>
      </w:r>
      <w:r w:rsidRPr="000A7C5F">
        <w:rPr>
          <w:szCs w:val="28"/>
        </w:rPr>
        <w:t xml:space="preserve">, as exposed by </w:t>
      </w:r>
      <w:r w:rsidR="00AD09AE" w:rsidRPr="000A7C5F">
        <w:rPr>
          <w:szCs w:val="28"/>
        </w:rPr>
        <w:t>news reports and an ITV</w:t>
      </w:r>
      <w:r w:rsidRPr="000A7C5F">
        <w:rPr>
          <w:szCs w:val="28"/>
        </w:rPr>
        <w:t xml:space="preserve"> documentar</w:t>
      </w:r>
      <w:r w:rsidR="009D1222" w:rsidRPr="000A7C5F">
        <w:rPr>
          <w:szCs w:val="28"/>
        </w:rPr>
        <w:t>y</w:t>
      </w:r>
      <w:r w:rsidR="00AD09AE" w:rsidRPr="000A7C5F">
        <w:rPr>
          <w:szCs w:val="28"/>
        </w:rPr>
        <w:t xml:space="preserve"> entitled</w:t>
      </w:r>
      <w:r w:rsidRPr="000A7C5F">
        <w:rPr>
          <w:szCs w:val="28"/>
        </w:rPr>
        <w:t xml:space="preserve"> “</w:t>
      </w:r>
      <w:r w:rsidR="00AD09AE" w:rsidRPr="000A7C5F">
        <w:rPr>
          <w:szCs w:val="28"/>
        </w:rPr>
        <w:t xml:space="preserve">Surviving Squalor: </w:t>
      </w:r>
      <w:r w:rsidRPr="000A7C5F">
        <w:rPr>
          <w:szCs w:val="28"/>
        </w:rPr>
        <w:t>Britain’s Housing Shame”</w:t>
      </w:r>
      <w:r w:rsidR="00AD09AE" w:rsidRPr="000A7C5F">
        <w:rPr>
          <w:rStyle w:val="FootnoteReference"/>
          <w:szCs w:val="28"/>
        </w:rPr>
        <w:footnoteReference w:id="160"/>
      </w:r>
      <w:r w:rsidRPr="000A7C5F">
        <w:rPr>
          <w:szCs w:val="28"/>
        </w:rPr>
        <w:t xml:space="preserve">. Conditions such as </w:t>
      </w:r>
      <w:r w:rsidR="002D249B" w:rsidRPr="000A7C5F">
        <w:rPr>
          <w:szCs w:val="28"/>
        </w:rPr>
        <w:t xml:space="preserve">water penetration, </w:t>
      </w:r>
      <w:r w:rsidRPr="000A7C5F">
        <w:rPr>
          <w:szCs w:val="28"/>
        </w:rPr>
        <w:t>damp, mould and pest infestations</w:t>
      </w:r>
      <w:r w:rsidR="002D249B" w:rsidRPr="000A7C5F">
        <w:rPr>
          <w:szCs w:val="28"/>
        </w:rPr>
        <w:t xml:space="preserve"> exacerbate </w:t>
      </w:r>
      <w:r w:rsidR="002D249B" w:rsidRPr="000A7C5F">
        <w:rPr>
          <w:szCs w:val="28"/>
        </w:rPr>
        <w:lastRenderedPageBreak/>
        <w:t>existing impairments while creating others.</w:t>
      </w:r>
      <w:r w:rsidRPr="000A7C5F">
        <w:rPr>
          <w:szCs w:val="28"/>
        </w:rPr>
        <w:t xml:space="preserve"> Outsourcing practices contribute to building failures including the Grenfell disaster</w:t>
      </w:r>
      <w:r w:rsidR="002D249B" w:rsidRPr="000A7C5F">
        <w:rPr>
          <w:szCs w:val="28"/>
        </w:rPr>
        <w:t xml:space="preserve">. </w:t>
      </w:r>
      <w:r w:rsidR="009D1222" w:rsidRPr="000A7C5F">
        <w:rPr>
          <w:szCs w:val="28"/>
        </w:rPr>
        <w:t>Grenfell survivors</w:t>
      </w:r>
      <w:r w:rsidR="00590B17" w:rsidRPr="000A7C5F">
        <w:rPr>
          <w:szCs w:val="28"/>
        </w:rPr>
        <w:t xml:space="preserve"> describe how, as the </w:t>
      </w:r>
      <w:r w:rsidR="009D1222" w:rsidRPr="000A7C5F">
        <w:rPr>
          <w:szCs w:val="28"/>
        </w:rPr>
        <w:t>LA</w:t>
      </w:r>
      <w:r w:rsidR="00590B17" w:rsidRPr="000A7C5F">
        <w:rPr>
          <w:szCs w:val="28"/>
        </w:rPr>
        <w:t xml:space="preserve"> outsourced contracts to private companies to work on their estate, complaints were left unanswered</w:t>
      </w:r>
      <w:r w:rsidR="00D42E8F" w:rsidRPr="000A7C5F">
        <w:rPr>
          <w:rStyle w:val="FootnoteReference"/>
          <w:szCs w:val="28"/>
        </w:rPr>
        <w:footnoteReference w:id="161"/>
      </w:r>
      <w:r w:rsidR="00590B17" w:rsidRPr="000A7C5F">
        <w:rPr>
          <w:szCs w:val="28"/>
        </w:rPr>
        <w:t xml:space="preserve">. </w:t>
      </w:r>
      <w:r w:rsidR="002D249B" w:rsidRPr="000A7C5F">
        <w:rPr>
          <w:szCs w:val="28"/>
        </w:rPr>
        <w:t>T</w:t>
      </w:r>
      <w:r w:rsidRPr="000A7C5F">
        <w:rPr>
          <w:szCs w:val="28"/>
        </w:rPr>
        <w:t xml:space="preserve">he good practice example set by Bournemouth Council </w:t>
      </w:r>
      <w:r w:rsidR="002D249B" w:rsidRPr="000A7C5F">
        <w:rPr>
          <w:szCs w:val="28"/>
        </w:rPr>
        <w:t>in</w:t>
      </w:r>
      <w:r w:rsidRPr="000A7C5F">
        <w:rPr>
          <w:szCs w:val="28"/>
        </w:rPr>
        <w:t xml:space="preserve"> bringing </w:t>
      </w:r>
      <w:r w:rsidR="002D249B" w:rsidRPr="000A7C5F">
        <w:rPr>
          <w:szCs w:val="28"/>
        </w:rPr>
        <w:t xml:space="preserve">their </w:t>
      </w:r>
      <w:r w:rsidRPr="000A7C5F">
        <w:rPr>
          <w:szCs w:val="28"/>
        </w:rPr>
        <w:t>building works back in-house in order to improve building quality</w:t>
      </w:r>
      <w:r w:rsidR="002D249B" w:rsidRPr="000A7C5F">
        <w:rPr>
          <w:szCs w:val="28"/>
        </w:rPr>
        <w:t xml:space="preserve"> has not been followed by other LAs</w:t>
      </w:r>
      <w:r w:rsidR="002D249B" w:rsidRPr="000A7C5F">
        <w:rPr>
          <w:rStyle w:val="FootnoteReference"/>
          <w:szCs w:val="28"/>
        </w:rPr>
        <w:footnoteReference w:id="162"/>
      </w:r>
      <w:r w:rsidRPr="000A7C5F">
        <w:rPr>
          <w:szCs w:val="28"/>
        </w:rPr>
        <w:t>.</w:t>
      </w:r>
      <w:r w:rsidR="00AD09AE" w:rsidRPr="000A7C5F">
        <w:rPr>
          <w:szCs w:val="28"/>
        </w:rPr>
        <w:t xml:space="preserve"> According to the BCP Council website, Bournemouth Building and Maintenance Limited (BBML) is an operating company wholly owned by BCP Council providing maintenance for Bournemouth Borough Council’s owned housing stock customer. Their satisfaction ratings are consistently over 98%, some of the highest ratings ever recorded for social housing providers in the country</w:t>
      </w:r>
      <w:r w:rsidR="00AD09AE" w:rsidRPr="000A7C5F">
        <w:rPr>
          <w:rStyle w:val="FootnoteReference"/>
          <w:szCs w:val="28"/>
        </w:rPr>
        <w:footnoteReference w:id="163"/>
      </w:r>
      <w:r w:rsidR="00AD09AE" w:rsidRPr="000A7C5F">
        <w:rPr>
          <w:szCs w:val="28"/>
        </w:rPr>
        <w:t>.</w:t>
      </w:r>
    </w:p>
    <w:p w14:paraId="376B6A56" w14:textId="2BB1E675" w:rsidR="008B02C5" w:rsidRPr="000A7C5F" w:rsidRDefault="008B02C5" w:rsidP="00E739BB">
      <w:pPr>
        <w:pStyle w:val="Heading3"/>
      </w:pPr>
      <w:bookmarkStart w:id="22" w:name="_Toc98504897"/>
      <w:r w:rsidRPr="000A7C5F">
        <w:t>Mental Health Support Services</w:t>
      </w:r>
      <w:bookmarkEnd w:id="22"/>
    </w:p>
    <w:p w14:paraId="124F0A84" w14:textId="7AA883DF" w:rsidR="00110535" w:rsidRPr="000A7C5F" w:rsidRDefault="00754CF3" w:rsidP="00794060">
      <w:pPr>
        <w:pStyle w:val="ListParagraph"/>
        <w:numPr>
          <w:ilvl w:val="0"/>
          <w:numId w:val="3"/>
        </w:numPr>
        <w:ind w:left="851" w:hanging="851"/>
        <w:rPr>
          <w:szCs w:val="28"/>
        </w:rPr>
      </w:pPr>
      <w:r w:rsidRPr="000A7C5F">
        <w:rPr>
          <w:szCs w:val="28"/>
        </w:rPr>
        <w:t xml:space="preserve">Pre-pandemic both child and adult mental health services were over-stretched and facing escalating demand set against funding cuts. Professionals described Child </w:t>
      </w:r>
      <w:r w:rsidR="000D16AE" w:rsidRPr="000A7C5F">
        <w:rPr>
          <w:szCs w:val="28"/>
        </w:rPr>
        <w:t>a</w:t>
      </w:r>
      <w:r w:rsidRPr="000A7C5F">
        <w:rPr>
          <w:szCs w:val="28"/>
        </w:rPr>
        <w:t>nd Mental Health Services (CAMHS) as “not fit for purpose”, citing how CYP were not being seen by services until multiple suicide attempts.</w:t>
      </w:r>
      <w:r w:rsidRPr="000A7C5F">
        <w:rPr>
          <w:vertAlign w:val="superscript"/>
        </w:rPr>
        <w:footnoteReference w:id="164"/>
      </w:r>
    </w:p>
    <w:p w14:paraId="7D53315B" w14:textId="77777777" w:rsidR="00110535" w:rsidRPr="000A7C5F" w:rsidRDefault="00110535" w:rsidP="00E739BB">
      <w:pPr>
        <w:pStyle w:val="ListParagraph"/>
        <w:ind w:left="851" w:hanging="851"/>
        <w:rPr>
          <w:szCs w:val="28"/>
        </w:rPr>
      </w:pPr>
    </w:p>
    <w:p w14:paraId="7847F275" w14:textId="2236564A" w:rsidR="00B2326F" w:rsidRPr="000A7C5F" w:rsidRDefault="00AA7890" w:rsidP="00794060">
      <w:pPr>
        <w:pStyle w:val="ListParagraph"/>
        <w:numPr>
          <w:ilvl w:val="0"/>
          <w:numId w:val="3"/>
        </w:numPr>
        <w:ind w:left="851" w:hanging="851"/>
        <w:rPr>
          <w:szCs w:val="28"/>
        </w:rPr>
      </w:pPr>
      <w:r w:rsidRPr="000A7C5F">
        <w:rPr>
          <w:szCs w:val="28"/>
        </w:rPr>
        <w:t>There is a lack of choice in mental health treatments with</w:t>
      </w:r>
      <w:r w:rsidR="00A15D51" w:rsidRPr="000A7C5F">
        <w:rPr>
          <w:szCs w:val="28"/>
        </w:rPr>
        <w:t xml:space="preserve"> </w:t>
      </w:r>
      <w:r w:rsidR="003C67C9" w:rsidRPr="000A7C5F">
        <w:rPr>
          <w:szCs w:val="28"/>
        </w:rPr>
        <w:t>what is on offer rooted in the medical model of disability</w:t>
      </w:r>
      <w:r w:rsidR="004A7059" w:rsidRPr="000A7C5F">
        <w:rPr>
          <w:rStyle w:val="FootnoteReference"/>
          <w:szCs w:val="28"/>
        </w:rPr>
        <w:footnoteReference w:id="165"/>
      </w:r>
      <w:r w:rsidR="003C67C9" w:rsidRPr="000A7C5F">
        <w:rPr>
          <w:szCs w:val="28"/>
        </w:rPr>
        <w:t xml:space="preserve">. There is </w:t>
      </w:r>
      <w:r w:rsidR="00A15D51" w:rsidRPr="000A7C5F">
        <w:rPr>
          <w:szCs w:val="28"/>
        </w:rPr>
        <w:t xml:space="preserve">an emphasis on </w:t>
      </w:r>
      <w:r w:rsidR="003C67C9" w:rsidRPr="000A7C5F">
        <w:rPr>
          <w:szCs w:val="28"/>
        </w:rPr>
        <w:t>pharmaceuticals while</w:t>
      </w:r>
      <w:r w:rsidRPr="000A7C5F">
        <w:rPr>
          <w:szCs w:val="28"/>
        </w:rPr>
        <w:t xml:space="preserve"> </w:t>
      </w:r>
      <w:r w:rsidR="00A15D51" w:rsidRPr="000A7C5F">
        <w:rPr>
          <w:szCs w:val="28"/>
        </w:rPr>
        <w:t xml:space="preserve">therapeutic </w:t>
      </w:r>
      <w:r w:rsidRPr="000A7C5F">
        <w:rPr>
          <w:szCs w:val="28"/>
        </w:rPr>
        <w:t xml:space="preserve">availability </w:t>
      </w:r>
      <w:r w:rsidR="00794147" w:rsidRPr="000A7C5F">
        <w:rPr>
          <w:szCs w:val="28"/>
        </w:rPr>
        <w:t xml:space="preserve">is limited </w:t>
      </w:r>
      <w:r w:rsidRPr="000A7C5F">
        <w:rPr>
          <w:szCs w:val="28"/>
        </w:rPr>
        <w:t xml:space="preserve">to </w:t>
      </w:r>
      <w:r w:rsidR="00A15D51" w:rsidRPr="000A7C5F">
        <w:rPr>
          <w:szCs w:val="28"/>
        </w:rPr>
        <w:t xml:space="preserve">short term </w:t>
      </w:r>
      <w:r w:rsidRPr="000A7C5F">
        <w:rPr>
          <w:szCs w:val="28"/>
        </w:rPr>
        <w:t>interventions based on a CBT model</w:t>
      </w:r>
      <w:r w:rsidR="004A7059" w:rsidRPr="000A7C5F">
        <w:rPr>
          <w:rStyle w:val="FootnoteReference"/>
          <w:szCs w:val="28"/>
        </w:rPr>
        <w:footnoteReference w:id="166"/>
      </w:r>
      <w:r w:rsidR="00A15D51" w:rsidRPr="000A7C5F">
        <w:rPr>
          <w:szCs w:val="28"/>
        </w:rPr>
        <w:t xml:space="preserve">. This is not appropriate </w:t>
      </w:r>
      <w:r w:rsidR="00794147" w:rsidRPr="000A7C5F">
        <w:rPr>
          <w:szCs w:val="28"/>
        </w:rPr>
        <w:t xml:space="preserve">for everyone, as the NHS website states, but it is very difficult to obtain access to anything else – especially for </w:t>
      </w:r>
      <w:r w:rsidR="00F867E2" w:rsidRPr="000A7C5F">
        <w:rPr>
          <w:szCs w:val="28"/>
        </w:rPr>
        <w:t>more complex mental health needs</w:t>
      </w:r>
      <w:r w:rsidR="00794147" w:rsidRPr="000A7C5F">
        <w:rPr>
          <w:szCs w:val="28"/>
        </w:rPr>
        <w:t xml:space="preserve"> – except for those with the resources to access private provision</w:t>
      </w:r>
      <w:r w:rsidR="00A15D51" w:rsidRPr="000A7C5F">
        <w:rPr>
          <w:rStyle w:val="FootnoteReference"/>
          <w:szCs w:val="28"/>
        </w:rPr>
        <w:footnoteReference w:id="167"/>
      </w:r>
      <w:r w:rsidR="00A15D51" w:rsidRPr="000A7C5F">
        <w:rPr>
          <w:szCs w:val="28"/>
        </w:rPr>
        <w:t>. Potential side effects of medications are not made accessible to patients</w:t>
      </w:r>
      <w:r w:rsidR="003C67C9" w:rsidRPr="000A7C5F">
        <w:rPr>
          <w:rStyle w:val="FootnoteReference"/>
          <w:szCs w:val="28"/>
        </w:rPr>
        <w:footnoteReference w:id="168"/>
      </w:r>
      <w:r w:rsidR="00417453" w:rsidRPr="000A7C5F">
        <w:rPr>
          <w:szCs w:val="28"/>
        </w:rPr>
        <w:t xml:space="preserve"> and people with mental distress report iatrogenic harm</w:t>
      </w:r>
      <w:r w:rsidR="00417453" w:rsidRPr="000A7C5F">
        <w:rPr>
          <w:rStyle w:val="FootnoteReference"/>
          <w:szCs w:val="28"/>
        </w:rPr>
        <w:footnoteReference w:id="169"/>
      </w:r>
      <w:r w:rsidR="00B2326F" w:rsidRPr="000A7C5F">
        <w:rPr>
          <w:szCs w:val="28"/>
        </w:rPr>
        <w:t>.</w:t>
      </w:r>
      <w:r w:rsidR="00417453" w:rsidRPr="000A7C5F">
        <w:rPr>
          <w:szCs w:val="28"/>
        </w:rPr>
        <w:t xml:space="preserve"> The Mental Health Act White Paper does not provide sufficient emphasis on MH community services to be in line with a human rights approach</w:t>
      </w:r>
      <w:r w:rsidR="00417453" w:rsidRPr="000A7C5F">
        <w:rPr>
          <w:rStyle w:val="FootnoteReference"/>
          <w:szCs w:val="28"/>
        </w:rPr>
        <w:footnoteReference w:id="170"/>
      </w:r>
      <w:r w:rsidR="00417453" w:rsidRPr="000A7C5F">
        <w:rPr>
          <w:szCs w:val="28"/>
        </w:rPr>
        <w:t>. People with mental distress have had positive experiences with social prescribing</w:t>
      </w:r>
      <w:r w:rsidR="00417453" w:rsidRPr="000A7C5F">
        <w:rPr>
          <w:rStyle w:val="FootnoteReference"/>
          <w:szCs w:val="28"/>
        </w:rPr>
        <w:footnoteReference w:id="171"/>
      </w:r>
      <w:r w:rsidR="001226A6" w:rsidRPr="000A7C5F">
        <w:rPr>
          <w:szCs w:val="28"/>
        </w:rPr>
        <w:t>.</w:t>
      </w:r>
      <w:r w:rsidR="00417453" w:rsidRPr="000A7C5F">
        <w:rPr>
          <w:szCs w:val="28"/>
        </w:rPr>
        <w:t xml:space="preserve"> </w:t>
      </w:r>
      <w:r w:rsidR="001226A6" w:rsidRPr="000A7C5F">
        <w:rPr>
          <w:szCs w:val="28"/>
        </w:rPr>
        <w:t>This</w:t>
      </w:r>
      <w:r w:rsidR="00417453" w:rsidRPr="000A7C5F">
        <w:rPr>
          <w:szCs w:val="28"/>
        </w:rPr>
        <w:t xml:space="preserve"> is included in the NHS Long-term Plan 2019 but for the benefits of this provision to be rolled out it needs sustainable funding directed at independent, community-based organisations</w:t>
      </w:r>
      <w:r w:rsidR="00417453" w:rsidRPr="000A7C5F">
        <w:rPr>
          <w:rStyle w:val="FootnoteReference"/>
          <w:szCs w:val="28"/>
        </w:rPr>
        <w:footnoteReference w:id="172"/>
      </w:r>
      <w:r w:rsidR="00417453" w:rsidRPr="000A7C5F">
        <w:rPr>
          <w:szCs w:val="28"/>
        </w:rPr>
        <w:t>.</w:t>
      </w:r>
    </w:p>
    <w:p w14:paraId="284ABCF1" w14:textId="77777777" w:rsidR="00F867E2" w:rsidRPr="000A7C5F" w:rsidRDefault="00F867E2" w:rsidP="00E739BB">
      <w:pPr>
        <w:pStyle w:val="ListParagraph"/>
        <w:rPr>
          <w:szCs w:val="28"/>
        </w:rPr>
      </w:pPr>
    </w:p>
    <w:p w14:paraId="6FC65F81" w14:textId="6EC16A14" w:rsidR="00F867E2" w:rsidRPr="000A7C5F" w:rsidRDefault="00F867E2" w:rsidP="00794060">
      <w:pPr>
        <w:pStyle w:val="ListParagraph"/>
        <w:numPr>
          <w:ilvl w:val="0"/>
          <w:numId w:val="3"/>
        </w:numPr>
        <w:ind w:left="851" w:hanging="851"/>
        <w:rPr>
          <w:szCs w:val="28"/>
        </w:rPr>
      </w:pPr>
      <w:r w:rsidRPr="000A7C5F">
        <w:rPr>
          <w:szCs w:val="28"/>
        </w:rPr>
        <w:lastRenderedPageBreak/>
        <w:t>Between 2015 and 2020 there were 56 mental health-related deaths in England and Wales where coroners identified a lack of staffing or service provision as a “matter of concern”, meaning they believed “there is a risk that future deaths could occur unless action is taken”</w:t>
      </w:r>
      <w:r w:rsidRPr="000A7C5F">
        <w:rPr>
          <w:rStyle w:val="FootnoteReference"/>
          <w:szCs w:val="28"/>
        </w:rPr>
        <w:footnoteReference w:id="173"/>
      </w:r>
      <w:r w:rsidRPr="000A7C5F">
        <w:rPr>
          <w:szCs w:val="28"/>
        </w:rPr>
        <w:t>. Bed shortages were cited in a number of the cases. In the case of Julian Gaunt, the senior coroner was particularly concerned that people with less serious problems could receive treatment from the local wellbeing service faster than those with more complex conditions</w:t>
      </w:r>
      <w:r w:rsidR="00167A9B" w:rsidRPr="000A7C5F">
        <w:rPr>
          <w:rStyle w:val="FootnoteReference"/>
          <w:szCs w:val="28"/>
        </w:rPr>
        <w:footnoteReference w:id="174"/>
      </w:r>
      <w:r w:rsidRPr="000A7C5F">
        <w:rPr>
          <w:szCs w:val="28"/>
        </w:rPr>
        <w:t xml:space="preserve">. This is consistent with national prioritisation for </w:t>
      </w:r>
      <w:r w:rsidR="00D13336" w:rsidRPr="000A7C5F">
        <w:rPr>
          <w:szCs w:val="28"/>
        </w:rPr>
        <w:t xml:space="preserve">the </w:t>
      </w:r>
      <w:r w:rsidRPr="000A7C5F">
        <w:rPr>
          <w:szCs w:val="28"/>
        </w:rPr>
        <w:t xml:space="preserve">funding </w:t>
      </w:r>
      <w:r w:rsidR="00D13336" w:rsidRPr="000A7C5F">
        <w:rPr>
          <w:szCs w:val="28"/>
        </w:rPr>
        <w:t>of short-term interventions aimed at reducing the cost burden of lost working days due to anxiety and depression</w:t>
      </w:r>
      <w:r w:rsidR="00D13336" w:rsidRPr="000A7C5F">
        <w:rPr>
          <w:rStyle w:val="FootnoteReference"/>
          <w:szCs w:val="28"/>
        </w:rPr>
        <w:footnoteReference w:id="175"/>
      </w:r>
      <w:r w:rsidR="00D13336" w:rsidRPr="000A7C5F">
        <w:rPr>
          <w:szCs w:val="28"/>
        </w:rPr>
        <w:t>.</w:t>
      </w:r>
    </w:p>
    <w:p w14:paraId="7B2D69C9" w14:textId="77777777" w:rsidR="00B2326F" w:rsidRPr="000A7C5F" w:rsidRDefault="00B2326F" w:rsidP="00E739BB">
      <w:pPr>
        <w:pStyle w:val="ListParagraph"/>
        <w:ind w:left="851" w:hanging="851"/>
        <w:rPr>
          <w:szCs w:val="28"/>
        </w:rPr>
      </w:pPr>
    </w:p>
    <w:p w14:paraId="4889326A" w14:textId="1C871C01" w:rsidR="00B2326F" w:rsidRPr="000A7C5F" w:rsidRDefault="00B2111D" w:rsidP="00794060">
      <w:pPr>
        <w:pStyle w:val="ListParagraph"/>
        <w:numPr>
          <w:ilvl w:val="0"/>
          <w:numId w:val="3"/>
        </w:numPr>
        <w:ind w:left="851" w:hanging="851"/>
        <w:rPr>
          <w:szCs w:val="28"/>
        </w:rPr>
      </w:pPr>
      <w:r w:rsidRPr="000A7C5F">
        <w:rPr>
          <w:szCs w:val="28"/>
        </w:rPr>
        <w:t>During the</w:t>
      </w:r>
      <w:r w:rsidR="00754CF3" w:rsidRPr="000A7C5F">
        <w:rPr>
          <w:szCs w:val="28"/>
        </w:rPr>
        <w:t xml:space="preserve"> pandemic </w:t>
      </w:r>
      <w:r w:rsidRPr="000A7C5F">
        <w:rPr>
          <w:szCs w:val="28"/>
        </w:rPr>
        <w:t xml:space="preserve">many </w:t>
      </w:r>
      <w:r w:rsidR="007428FC" w:rsidRPr="000A7C5F">
        <w:rPr>
          <w:szCs w:val="28"/>
        </w:rPr>
        <w:t xml:space="preserve">MH support </w:t>
      </w:r>
      <w:r w:rsidRPr="000A7C5F">
        <w:rPr>
          <w:szCs w:val="28"/>
        </w:rPr>
        <w:t xml:space="preserve">services were closed or reduced. Anecdotally we know of one acute ward that was emptied at short notice for </w:t>
      </w:r>
      <w:r w:rsidR="00C006F0" w:rsidRPr="000A7C5F">
        <w:rPr>
          <w:szCs w:val="28"/>
        </w:rPr>
        <w:t>COVID</w:t>
      </w:r>
      <w:r w:rsidRPr="000A7C5F">
        <w:rPr>
          <w:szCs w:val="28"/>
        </w:rPr>
        <w:t xml:space="preserve"> patient</w:t>
      </w:r>
      <w:r w:rsidR="002A4C75" w:rsidRPr="000A7C5F">
        <w:rPr>
          <w:szCs w:val="28"/>
        </w:rPr>
        <w:t>s</w:t>
      </w:r>
      <w:r w:rsidR="001226A6" w:rsidRPr="000A7C5F">
        <w:rPr>
          <w:szCs w:val="28"/>
        </w:rPr>
        <w:t xml:space="preserve">. We </w:t>
      </w:r>
      <w:r w:rsidR="002A4C75" w:rsidRPr="000A7C5F">
        <w:rPr>
          <w:szCs w:val="28"/>
        </w:rPr>
        <w:t>received evidence relating to</w:t>
      </w:r>
      <w:r w:rsidRPr="000A7C5F">
        <w:rPr>
          <w:szCs w:val="28"/>
        </w:rPr>
        <w:t xml:space="preserve"> a lack of step down support from secure settings into the community, one leading directly to suicide</w:t>
      </w:r>
      <w:r w:rsidRPr="000A7C5F">
        <w:rPr>
          <w:rStyle w:val="FootnoteReference"/>
          <w:szCs w:val="28"/>
        </w:rPr>
        <w:footnoteReference w:id="176"/>
      </w:r>
      <w:r w:rsidRPr="000A7C5F">
        <w:rPr>
          <w:szCs w:val="28"/>
        </w:rPr>
        <w:t>.</w:t>
      </w:r>
    </w:p>
    <w:p w14:paraId="7445F7BE" w14:textId="11BE592B" w:rsidR="001226A6" w:rsidRPr="000A7C5F" w:rsidRDefault="001226A6" w:rsidP="00E739BB">
      <w:pPr>
        <w:pStyle w:val="Heading3"/>
      </w:pPr>
      <w:bookmarkStart w:id="23" w:name="_Toc98504898"/>
      <w:r w:rsidRPr="000A7C5F">
        <w:lastRenderedPageBreak/>
        <w:t>Community sector</w:t>
      </w:r>
      <w:bookmarkEnd w:id="23"/>
    </w:p>
    <w:p w14:paraId="6C25A152" w14:textId="1194F947" w:rsidR="00B84303" w:rsidRPr="000A7C5F" w:rsidRDefault="00B84303" w:rsidP="00794060">
      <w:pPr>
        <w:pStyle w:val="ListParagraph"/>
        <w:numPr>
          <w:ilvl w:val="0"/>
          <w:numId w:val="3"/>
        </w:numPr>
        <w:ind w:left="851" w:hanging="851"/>
        <w:rPr>
          <w:szCs w:val="28"/>
        </w:rPr>
      </w:pPr>
      <w:r w:rsidRPr="000A7C5F">
        <w:rPr>
          <w:szCs w:val="28"/>
        </w:rPr>
        <w:t>As public services have withdrawn, DDPOs and the voluntary sector have tried to fill gaps while facing growing threats to their own survival. Between 2016 and 2019, 124 user-led groups – more than a quarter (26 per cent) of one national network were forced to close. Two years later, a further 33 had gone.</w:t>
      </w:r>
      <w:r w:rsidRPr="000A7C5F">
        <w:rPr>
          <w:rStyle w:val="FootnoteReference"/>
          <w:szCs w:val="28"/>
        </w:rPr>
        <w:footnoteReference w:id="177"/>
      </w:r>
      <w:r w:rsidRPr="000A7C5F">
        <w:rPr>
          <w:szCs w:val="28"/>
        </w:rPr>
        <w:t xml:space="preserve"> During the pandemic many organisations stepped up in an attempt to mitigate the harm and disruption during the pandemic while dealing with their own difficulties</w:t>
      </w:r>
      <w:r w:rsidR="002A4C75" w:rsidRPr="000A7C5F">
        <w:rPr>
          <w:rStyle w:val="FootnoteReference"/>
          <w:szCs w:val="28"/>
        </w:rPr>
        <w:footnoteReference w:id="178"/>
      </w:r>
      <w:r w:rsidRPr="000A7C5F">
        <w:rPr>
          <w:szCs w:val="28"/>
        </w:rPr>
        <w:t>.</w:t>
      </w:r>
    </w:p>
    <w:p w14:paraId="6C90F385" w14:textId="14DD4D23" w:rsidR="00C3214F" w:rsidRPr="000A7C5F" w:rsidRDefault="00B84303" w:rsidP="00BB6A41">
      <w:pPr>
        <w:pStyle w:val="ArticleHeading"/>
      </w:pPr>
      <w:r w:rsidRPr="000A7C5F">
        <w:t>Article 20</w:t>
      </w:r>
      <w:r w:rsidR="002A4C75" w:rsidRPr="000A7C5F">
        <w:t xml:space="preserve"> </w:t>
      </w:r>
      <w:r w:rsidR="00560018">
        <w:t>–</w:t>
      </w:r>
      <w:r w:rsidR="002A4C75" w:rsidRPr="000A7C5F">
        <w:t xml:space="preserve"> Personal mobility</w:t>
      </w:r>
    </w:p>
    <w:p w14:paraId="6E836503" w14:textId="4AE0338D" w:rsidR="00E739BB" w:rsidRDefault="00B84303" w:rsidP="00794060">
      <w:pPr>
        <w:pStyle w:val="ListParagraph"/>
        <w:numPr>
          <w:ilvl w:val="0"/>
          <w:numId w:val="3"/>
        </w:numPr>
        <w:ind w:left="851" w:hanging="851"/>
        <w:rPr>
          <w:szCs w:val="28"/>
        </w:rPr>
      </w:pPr>
      <w:r w:rsidRPr="000A7C5F">
        <w:rPr>
          <w:szCs w:val="28"/>
        </w:rPr>
        <w:t>DDP’s mobility has been adversely affected by loss of disability benefits through harsher eligibility requirements such as the PIP 20 metre rule.</w:t>
      </w:r>
      <w:r w:rsidRPr="000A7C5F">
        <w:rPr>
          <w:vertAlign w:val="superscript"/>
        </w:rPr>
        <w:footnoteReference w:id="179"/>
      </w:r>
      <w:r w:rsidR="000F1BAB" w:rsidRPr="000A7C5F">
        <w:rPr>
          <w:rStyle w:val="FootnoteReference"/>
          <w:szCs w:val="28"/>
        </w:rPr>
        <w:footnoteReference w:id="180"/>
      </w:r>
      <w:r w:rsidRPr="000A7C5F">
        <w:rPr>
          <w:szCs w:val="28"/>
        </w:rPr>
        <w:t xml:space="preserve"> As of January 2020, 102,000 Motability customers </w:t>
      </w:r>
      <w:r w:rsidRPr="000A7C5F">
        <w:rPr>
          <w:szCs w:val="28"/>
        </w:rPr>
        <w:lastRenderedPageBreak/>
        <w:t xml:space="preserve">had lost </w:t>
      </w:r>
      <w:r w:rsidR="00646D8F" w:rsidRPr="000A7C5F">
        <w:rPr>
          <w:szCs w:val="28"/>
        </w:rPr>
        <w:t>PIP</w:t>
      </w:r>
      <w:r w:rsidRPr="000A7C5F">
        <w:rPr>
          <w:szCs w:val="28"/>
        </w:rPr>
        <w:t xml:space="preserve"> awards</w:t>
      </w:r>
      <w:r w:rsidR="00646D8F" w:rsidRPr="000A7C5F">
        <w:rPr>
          <w:szCs w:val="28"/>
        </w:rPr>
        <w:t xml:space="preserve"> that entitled them to vehicles to facilitate travel and mobility</w:t>
      </w:r>
      <w:r w:rsidRPr="000A7C5F">
        <w:rPr>
          <w:szCs w:val="28"/>
        </w:rPr>
        <w:t>.</w:t>
      </w:r>
      <w:r w:rsidRPr="000A7C5F">
        <w:rPr>
          <w:vertAlign w:val="superscript"/>
        </w:rPr>
        <w:footnoteReference w:id="181"/>
      </w:r>
      <w:r w:rsidR="00646D8F" w:rsidRPr="000A7C5F">
        <w:rPr>
          <w:szCs w:val="28"/>
        </w:rPr>
        <w:t xml:space="preserve"> DDP who do not meet the eligibility criteria may be unable to access public transport</w:t>
      </w:r>
      <w:r w:rsidR="00471206" w:rsidRPr="000A7C5F">
        <w:rPr>
          <w:szCs w:val="28"/>
        </w:rPr>
        <w:t>, especially those living in rural areas with infrequent bus services and unstaffed rail stations.</w:t>
      </w:r>
      <w:r w:rsidR="007C1E44" w:rsidRPr="000A7C5F">
        <w:rPr>
          <w:szCs w:val="28"/>
        </w:rPr>
        <w:t xml:space="preserve"> </w:t>
      </w:r>
    </w:p>
    <w:p w14:paraId="05C58B1B" w14:textId="77777777" w:rsidR="00E739BB" w:rsidRDefault="00E739BB" w:rsidP="00E739BB">
      <w:pPr>
        <w:pStyle w:val="ListParagraph"/>
        <w:ind w:left="851"/>
        <w:rPr>
          <w:szCs w:val="28"/>
        </w:rPr>
      </w:pPr>
    </w:p>
    <w:p w14:paraId="3C47C451" w14:textId="4308C960" w:rsidR="0082579A" w:rsidRPr="00E739BB" w:rsidRDefault="0082579A" w:rsidP="00E739BB">
      <w:pPr>
        <w:pStyle w:val="ListParagraph"/>
        <w:ind w:left="851"/>
        <w:rPr>
          <w:szCs w:val="28"/>
        </w:rPr>
      </w:pPr>
      <w:r w:rsidRPr="00E739BB">
        <w:rPr>
          <w:szCs w:val="28"/>
        </w:rPr>
        <w:t xml:space="preserve">The introduction of Low Traffic Neighbourhoods </w:t>
      </w:r>
      <w:r w:rsidR="00777D78" w:rsidRPr="00E739BB">
        <w:rPr>
          <w:szCs w:val="28"/>
        </w:rPr>
        <w:t xml:space="preserve">(LTNs) </w:t>
      </w:r>
      <w:r w:rsidRPr="00E739BB">
        <w:rPr>
          <w:szCs w:val="28"/>
        </w:rPr>
        <w:t xml:space="preserve">was taken forward during the pandemic </w:t>
      </w:r>
      <w:r w:rsidR="00AB3F82" w:rsidRPr="00E739BB">
        <w:rPr>
          <w:szCs w:val="28"/>
        </w:rPr>
        <w:t>without</w:t>
      </w:r>
      <w:r w:rsidRPr="00E739BB">
        <w:rPr>
          <w:szCs w:val="28"/>
        </w:rPr>
        <w:t xml:space="preserve"> adequate engagement. Criticisms </w:t>
      </w:r>
      <w:r w:rsidR="007D70F8" w:rsidRPr="00E739BB">
        <w:rPr>
          <w:szCs w:val="28"/>
        </w:rPr>
        <w:t xml:space="preserve">of </w:t>
      </w:r>
      <w:r w:rsidR="000D16AE" w:rsidRPr="00E739BB">
        <w:rPr>
          <w:szCs w:val="28"/>
        </w:rPr>
        <w:t xml:space="preserve">LTNs </w:t>
      </w:r>
      <w:r w:rsidRPr="00E739BB">
        <w:rPr>
          <w:szCs w:val="28"/>
        </w:rPr>
        <w:t>include lack of information and longer journey times for DDP making travel much more difficult.</w:t>
      </w:r>
      <w:r w:rsidRPr="000A7C5F">
        <w:rPr>
          <w:rStyle w:val="FootnoteReference"/>
          <w:szCs w:val="28"/>
        </w:rPr>
        <w:footnoteReference w:id="182"/>
      </w:r>
    </w:p>
    <w:p w14:paraId="6F9F3D05" w14:textId="0634834E" w:rsidR="00B84303" w:rsidRPr="000A7C5F" w:rsidRDefault="00B84303" w:rsidP="00BB6A41">
      <w:pPr>
        <w:pStyle w:val="ArticleHeading"/>
      </w:pPr>
      <w:r w:rsidRPr="000A7C5F">
        <w:t>Article 23</w:t>
      </w:r>
      <w:r w:rsidR="002A4C75" w:rsidRPr="000A7C5F">
        <w:t xml:space="preserve"> </w:t>
      </w:r>
      <w:r w:rsidR="00560018">
        <w:t xml:space="preserve">– </w:t>
      </w:r>
      <w:r w:rsidR="002A4C75" w:rsidRPr="000A7C5F">
        <w:t>Respect for home and the family</w:t>
      </w:r>
    </w:p>
    <w:p w14:paraId="06719A7C" w14:textId="10FAE0F4" w:rsidR="00B2326F" w:rsidRPr="000A7C5F" w:rsidRDefault="002A4C75" w:rsidP="00794060">
      <w:pPr>
        <w:pStyle w:val="ListParagraph"/>
        <w:numPr>
          <w:ilvl w:val="0"/>
          <w:numId w:val="3"/>
        </w:numPr>
        <w:ind w:left="851" w:hanging="851"/>
        <w:rPr>
          <w:szCs w:val="28"/>
        </w:rPr>
      </w:pPr>
      <w:r w:rsidRPr="000A7C5F">
        <w:rPr>
          <w:szCs w:val="28"/>
        </w:rPr>
        <w:t xml:space="preserve">Too often </w:t>
      </w:r>
      <w:r w:rsidR="00B84303" w:rsidRPr="000A7C5F">
        <w:rPr>
          <w:szCs w:val="28"/>
        </w:rPr>
        <w:t xml:space="preserve">children </w:t>
      </w:r>
      <w:r w:rsidRPr="000A7C5F">
        <w:rPr>
          <w:szCs w:val="28"/>
        </w:rPr>
        <w:t xml:space="preserve">are removed </w:t>
      </w:r>
      <w:r w:rsidR="00B84303" w:rsidRPr="000A7C5F">
        <w:rPr>
          <w:szCs w:val="28"/>
        </w:rPr>
        <w:t xml:space="preserve">from </w:t>
      </w:r>
      <w:r w:rsidR="00ED3C56" w:rsidRPr="000A7C5F">
        <w:rPr>
          <w:szCs w:val="28"/>
        </w:rPr>
        <w:t>D</w:t>
      </w:r>
      <w:r w:rsidR="00B84303" w:rsidRPr="000A7C5F">
        <w:rPr>
          <w:szCs w:val="28"/>
        </w:rPr>
        <w:t>isabled parents instead of providing them with the support they need to fulfil their parental role</w:t>
      </w:r>
      <w:r w:rsidR="00180156" w:rsidRPr="000A7C5F">
        <w:rPr>
          <w:rStyle w:val="FootnoteReference"/>
          <w:szCs w:val="28"/>
        </w:rPr>
        <w:footnoteReference w:id="183"/>
      </w:r>
      <w:r w:rsidR="00B84303" w:rsidRPr="000A7C5F">
        <w:rPr>
          <w:szCs w:val="28"/>
        </w:rPr>
        <w:t xml:space="preserve">. </w:t>
      </w:r>
      <w:r w:rsidR="002D4450" w:rsidRPr="000A7C5F">
        <w:rPr>
          <w:szCs w:val="28"/>
        </w:rPr>
        <w:t>Child social work teams commonly view possession of an impairment as a risk factor in and of itself.  Adult teams do not challenge this nor put in place support to</w:t>
      </w:r>
      <w:r w:rsidR="001226A6" w:rsidRPr="000A7C5F">
        <w:rPr>
          <w:szCs w:val="28"/>
        </w:rPr>
        <w:t xml:space="preserve"> address</w:t>
      </w:r>
      <w:r w:rsidR="002D4450" w:rsidRPr="000A7C5F">
        <w:rPr>
          <w:szCs w:val="28"/>
        </w:rPr>
        <w:t xml:space="preserve"> the unmet need that is the actual risk factor. </w:t>
      </w:r>
      <w:r w:rsidR="00FD18D7" w:rsidRPr="000A7C5F">
        <w:rPr>
          <w:szCs w:val="28"/>
        </w:rPr>
        <w:t>Anecdotally, judiciary say that over 50% of parents before them in care proceedings appear to have some form of learning difficulties whether diagnosed or not</w:t>
      </w:r>
      <w:r w:rsidR="00FD18D7" w:rsidRPr="000A7C5F">
        <w:rPr>
          <w:rStyle w:val="FootnoteReference"/>
          <w:szCs w:val="28"/>
        </w:rPr>
        <w:footnoteReference w:id="184"/>
      </w:r>
      <w:r w:rsidR="00FD18D7" w:rsidRPr="000A7C5F">
        <w:rPr>
          <w:szCs w:val="28"/>
        </w:rPr>
        <w:t xml:space="preserve">. Independent advocacy for people with learning difficulties in child </w:t>
      </w:r>
      <w:r w:rsidR="00FD18D7" w:rsidRPr="000A7C5F">
        <w:rPr>
          <w:szCs w:val="28"/>
        </w:rPr>
        <w:lastRenderedPageBreak/>
        <w:t xml:space="preserve">protection cases is not statutory despite evidence of its importance and courts do not produce documents in easy read to help parents know what to expect. Organisations working with parents report that most receive no support following removal of their children. </w:t>
      </w:r>
      <w:r w:rsidR="00C44528" w:rsidRPr="000A7C5F">
        <w:rPr>
          <w:szCs w:val="28"/>
        </w:rPr>
        <w:t xml:space="preserve">DHSC has </w:t>
      </w:r>
      <w:r w:rsidR="0019372D" w:rsidRPr="000A7C5F">
        <w:rPr>
          <w:szCs w:val="28"/>
        </w:rPr>
        <w:t xml:space="preserve">not responded to requests </w:t>
      </w:r>
      <w:r w:rsidR="00C44528" w:rsidRPr="000A7C5F">
        <w:rPr>
          <w:szCs w:val="28"/>
        </w:rPr>
        <w:t xml:space="preserve">to update </w:t>
      </w:r>
      <w:r w:rsidR="0019372D" w:rsidRPr="000A7C5F">
        <w:rPr>
          <w:szCs w:val="28"/>
        </w:rPr>
        <w:t xml:space="preserve">and promote </w:t>
      </w:r>
      <w:r w:rsidR="00C44528" w:rsidRPr="000A7C5F">
        <w:rPr>
          <w:szCs w:val="28"/>
        </w:rPr>
        <w:t xml:space="preserve">guidance for working with </w:t>
      </w:r>
      <w:r w:rsidR="002D4BAF" w:rsidRPr="000A7C5F">
        <w:rPr>
          <w:szCs w:val="28"/>
        </w:rPr>
        <w:t>D</w:t>
      </w:r>
      <w:r w:rsidR="00C44528" w:rsidRPr="000A7C5F">
        <w:rPr>
          <w:szCs w:val="28"/>
        </w:rPr>
        <w:t>isabled parents.</w:t>
      </w:r>
      <w:r w:rsidR="00046037" w:rsidRPr="000A7C5F">
        <w:rPr>
          <w:szCs w:val="28"/>
        </w:rPr>
        <w:t xml:space="preserve"> </w:t>
      </w:r>
      <w:r w:rsidR="001C2C6D" w:rsidRPr="000A7C5F">
        <w:rPr>
          <w:szCs w:val="28"/>
        </w:rPr>
        <w:t xml:space="preserve">The most recent guidance from </w:t>
      </w:r>
      <w:proofErr w:type="spellStart"/>
      <w:r w:rsidR="001C2C6D" w:rsidRPr="000A7C5F">
        <w:rPr>
          <w:szCs w:val="28"/>
        </w:rPr>
        <w:t>WeG</w:t>
      </w:r>
      <w:proofErr w:type="spellEnd"/>
      <w:r w:rsidR="001C2C6D" w:rsidRPr="000A7C5F">
        <w:rPr>
          <w:szCs w:val="28"/>
        </w:rPr>
        <w:t xml:space="preserve"> was 2007</w:t>
      </w:r>
      <w:r w:rsidR="001C2C6D" w:rsidRPr="000A7C5F">
        <w:rPr>
          <w:rStyle w:val="FootnoteReference"/>
          <w:szCs w:val="28"/>
        </w:rPr>
        <w:footnoteReference w:id="185"/>
      </w:r>
      <w:r w:rsidR="001C2C6D" w:rsidRPr="000A7C5F">
        <w:rPr>
          <w:szCs w:val="28"/>
        </w:rPr>
        <w:t xml:space="preserve">. </w:t>
      </w:r>
      <w:r w:rsidR="002D4BAF" w:rsidRPr="000A7C5F">
        <w:rPr>
          <w:szCs w:val="28"/>
        </w:rPr>
        <w:t>NDS did not include Disabled parents despite consultation responses requesting this</w:t>
      </w:r>
      <w:r w:rsidR="002D4BAF" w:rsidRPr="000A7C5F">
        <w:rPr>
          <w:rStyle w:val="FootnoteReference"/>
          <w:szCs w:val="28"/>
        </w:rPr>
        <w:footnoteReference w:id="186"/>
      </w:r>
      <w:r w:rsidR="002D4BAF" w:rsidRPr="000A7C5F">
        <w:rPr>
          <w:szCs w:val="28"/>
        </w:rPr>
        <w:t xml:space="preserve">. </w:t>
      </w:r>
      <w:r w:rsidR="00FD18D7" w:rsidRPr="000A7C5F">
        <w:rPr>
          <w:szCs w:val="28"/>
        </w:rPr>
        <w:t xml:space="preserve">Additionally, </w:t>
      </w:r>
      <w:r w:rsidR="00046037" w:rsidRPr="000A7C5F">
        <w:rPr>
          <w:szCs w:val="28"/>
        </w:rPr>
        <w:t xml:space="preserve">Disabled women </w:t>
      </w:r>
      <w:r w:rsidR="00ED3C56" w:rsidRPr="000A7C5F">
        <w:rPr>
          <w:szCs w:val="28"/>
        </w:rPr>
        <w:t>have restricted access to</w:t>
      </w:r>
      <w:r w:rsidR="00046037" w:rsidRPr="000A7C5F">
        <w:rPr>
          <w:szCs w:val="28"/>
        </w:rPr>
        <w:t xml:space="preserve"> parenting options such as IVF and adoption</w:t>
      </w:r>
      <w:r w:rsidR="00046037" w:rsidRPr="000A7C5F">
        <w:rPr>
          <w:rStyle w:val="FootnoteReference"/>
          <w:szCs w:val="28"/>
        </w:rPr>
        <w:footnoteReference w:id="187"/>
      </w:r>
      <w:r w:rsidR="00046037" w:rsidRPr="000A7C5F">
        <w:rPr>
          <w:szCs w:val="28"/>
        </w:rPr>
        <w:t>.</w:t>
      </w:r>
    </w:p>
    <w:p w14:paraId="6F0EECF8" w14:textId="77777777" w:rsidR="00B2326F" w:rsidRPr="000A7C5F" w:rsidRDefault="00B2326F" w:rsidP="00E739BB">
      <w:pPr>
        <w:pStyle w:val="ListParagraph"/>
        <w:ind w:left="735"/>
        <w:rPr>
          <w:szCs w:val="28"/>
        </w:rPr>
      </w:pPr>
    </w:p>
    <w:p w14:paraId="4F739F05" w14:textId="1C7CDBAD" w:rsidR="002D4450" w:rsidRPr="000A7C5F" w:rsidRDefault="002D4450" w:rsidP="00794060">
      <w:pPr>
        <w:pStyle w:val="ListParagraph"/>
        <w:numPr>
          <w:ilvl w:val="0"/>
          <w:numId w:val="3"/>
        </w:numPr>
        <w:ind w:left="851" w:hanging="851"/>
        <w:rPr>
          <w:szCs w:val="28"/>
        </w:rPr>
      </w:pPr>
      <w:r w:rsidRPr="000A7C5F">
        <w:rPr>
          <w:szCs w:val="28"/>
        </w:rPr>
        <w:t xml:space="preserve">The practice of sending </w:t>
      </w:r>
      <w:r w:rsidR="00C3524E" w:rsidRPr="000A7C5F">
        <w:rPr>
          <w:szCs w:val="28"/>
        </w:rPr>
        <w:t>D</w:t>
      </w:r>
      <w:r w:rsidRPr="000A7C5F">
        <w:rPr>
          <w:szCs w:val="28"/>
        </w:rPr>
        <w:t>isabled adults many miles away to institutional placements denies a right to family life and disrupts relationships.</w:t>
      </w:r>
      <w:r w:rsidR="007E1FC5" w:rsidRPr="000A7C5F">
        <w:t xml:space="preserve"> </w:t>
      </w:r>
      <w:r w:rsidR="007E1FC5" w:rsidRPr="000A7C5F">
        <w:rPr>
          <w:szCs w:val="28"/>
        </w:rPr>
        <w:t>The LGSCO found that Croydon Council’s failure to support an autistic man and his mother led to ‘stress, anxiety and breakdown in family life’</w:t>
      </w:r>
      <w:r w:rsidRPr="000A7C5F">
        <w:rPr>
          <w:rStyle w:val="FootnoteReference"/>
          <w:szCs w:val="28"/>
        </w:rPr>
        <w:footnoteReference w:id="188"/>
      </w:r>
      <w:r w:rsidR="007E1FC5" w:rsidRPr="000A7C5F">
        <w:rPr>
          <w:szCs w:val="28"/>
        </w:rPr>
        <w:t xml:space="preserve">. </w:t>
      </w:r>
    </w:p>
    <w:p w14:paraId="6E083F5C" w14:textId="709AE707" w:rsidR="00C44528" w:rsidRPr="000A7C5F" w:rsidRDefault="00C44528" w:rsidP="00BB6A41">
      <w:pPr>
        <w:pStyle w:val="ArticleHeading"/>
      </w:pPr>
      <w:r w:rsidRPr="000A7C5F">
        <w:lastRenderedPageBreak/>
        <w:t>Article 24</w:t>
      </w:r>
      <w:r w:rsidR="0019372D" w:rsidRPr="000A7C5F">
        <w:t xml:space="preserve"> </w:t>
      </w:r>
      <w:r w:rsidR="00560018">
        <w:t>–</w:t>
      </w:r>
      <w:r w:rsidR="0019372D" w:rsidRPr="000A7C5F">
        <w:t xml:space="preserve"> Education</w:t>
      </w:r>
    </w:p>
    <w:p w14:paraId="5D56B23C" w14:textId="262502FB" w:rsidR="0019372D" w:rsidRPr="000A7C5F" w:rsidRDefault="00180156" w:rsidP="00794060">
      <w:pPr>
        <w:pStyle w:val="ListParagraph"/>
        <w:numPr>
          <w:ilvl w:val="0"/>
          <w:numId w:val="3"/>
        </w:numPr>
        <w:spacing w:before="240"/>
        <w:ind w:left="851" w:hanging="851"/>
        <w:rPr>
          <w:szCs w:val="28"/>
        </w:rPr>
      </w:pPr>
      <w:r w:rsidRPr="000A7C5F">
        <w:rPr>
          <w:szCs w:val="28"/>
        </w:rPr>
        <w:t>There is severe and deliberate retrogression of DDP’s right to inclusive education</w:t>
      </w:r>
      <w:r w:rsidR="0019372D" w:rsidRPr="000A7C5F">
        <w:rPr>
          <w:szCs w:val="28"/>
        </w:rPr>
        <w:t xml:space="preserve"> in line with </w:t>
      </w:r>
      <w:proofErr w:type="spellStart"/>
      <w:r w:rsidR="0019372D" w:rsidRPr="000A7C5F">
        <w:rPr>
          <w:szCs w:val="28"/>
        </w:rPr>
        <w:t>WeG’s</w:t>
      </w:r>
      <w:proofErr w:type="spellEnd"/>
      <w:r w:rsidR="0019372D" w:rsidRPr="000A7C5F">
        <w:rPr>
          <w:szCs w:val="28"/>
        </w:rPr>
        <w:t xml:space="preserve"> continuing reservation on this </w:t>
      </w:r>
      <w:r w:rsidR="00C3524E" w:rsidRPr="000A7C5F">
        <w:rPr>
          <w:szCs w:val="28"/>
        </w:rPr>
        <w:t>a</w:t>
      </w:r>
      <w:r w:rsidR="0019372D" w:rsidRPr="000A7C5F">
        <w:rPr>
          <w:szCs w:val="28"/>
        </w:rPr>
        <w:t>rticle</w:t>
      </w:r>
      <w:r w:rsidRPr="000A7C5F">
        <w:rPr>
          <w:szCs w:val="28"/>
        </w:rPr>
        <w:t xml:space="preserve">. </w:t>
      </w:r>
    </w:p>
    <w:p w14:paraId="4A740520" w14:textId="77777777" w:rsidR="0019372D" w:rsidRPr="000A7C5F" w:rsidRDefault="0019372D" w:rsidP="00E739BB">
      <w:pPr>
        <w:pStyle w:val="ListParagraph"/>
        <w:spacing w:before="240"/>
        <w:ind w:left="851" w:hanging="851"/>
        <w:rPr>
          <w:szCs w:val="28"/>
        </w:rPr>
      </w:pPr>
    </w:p>
    <w:p w14:paraId="691780A7" w14:textId="4E5D6F88" w:rsidR="008A2DFC" w:rsidRPr="0093401D" w:rsidRDefault="00180156" w:rsidP="00794060">
      <w:pPr>
        <w:pStyle w:val="ListParagraph"/>
        <w:numPr>
          <w:ilvl w:val="0"/>
          <w:numId w:val="3"/>
        </w:numPr>
        <w:spacing w:before="240"/>
        <w:ind w:left="851" w:hanging="851"/>
        <w:rPr>
          <w:rFonts w:cs="Calibri"/>
          <w:szCs w:val="28"/>
        </w:rPr>
      </w:pPr>
      <w:r w:rsidRPr="0093401D">
        <w:rPr>
          <w:szCs w:val="28"/>
        </w:rPr>
        <w:t xml:space="preserve">Placements in segregated “special schools” </w:t>
      </w:r>
      <w:r w:rsidR="00C44528" w:rsidRPr="0093401D">
        <w:rPr>
          <w:szCs w:val="28"/>
        </w:rPr>
        <w:t xml:space="preserve">compared to mainstream education have increased steadily since 1999. </w:t>
      </w:r>
      <w:r w:rsidR="00167A9B" w:rsidRPr="0093401D">
        <w:rPr>
          <w:rFonts w:eastAsia="Calibri" w:cs="Calibri"/>
          <w:szCs w:val="28"/>
        </w:rPr>
        <w:t xml:space="preserve">Between </w:t>
      </w:r>
      <w:r w:rsidR="008A2DFC" w:rsidRPr="0093401D">
        <w:rPr>
          <w:rFonts w:eastAsia="Calibri" w:cs="Calibri"/>
          <w:szCs w:val="28"/>
        </w:rPr>
        <w:t>1999</w:t>
      </w:r>
      <w:r w:rsidR="00167A9B" w:rsidRPr="0093401D">
        <w:rPr>
          <w:rFonts w:eastAsia="Calibri" w:cs="Calibri"/>
          <w:szCs w:val="28"/>
        </w:rPr>
        <w:t xml:space="preserve"> and 20</w:t>
      </w:r>
      <w:r w:rsidR="008A2DFC" w:rsidRPr="0093401D">
        <w:rPr>
          <w:rFonts w:eastAsia="Calibri" w:cs="Calibri"/>
          <w:szCs w:val="28"/>
        </w:rPr>
        <w:t>21</w:t>
      </w:r>
      <w:r w:rsidR="00167A9B" w:rsidRPr="0093401D">
        <w:rPr>
          <w:rFonts w:eastAsia="Calibri" w:cs="Calibri"/>
          <w:szCs w:val="28"/>
        </w:rPr>
        <w:t xml:space="preserve">, the percentage of children in England with an EHCP attending </w:t>
      </w:r>
      <w:r w:rsidR="008A2DFC" w:rsidRPr="0093401D">
        <w:rPr>
          <w:rFonts w:eastAsia="Calibri" w:cs="Calibri"/>
          <w:szCs w:val="28"/>
        </w:rPr>
        <w:t>“mainstream” education fell</w:t>
      </w:r>
      <w:r w:rsidR="00167A9B" w:rsidRPr="0093401D">
        <w:rPr>
          <w:rFonts w:eastAsia="Calibri" w:cs="Calibri"/>
          <w:szCs w:val="28"/>
        </w:rPr>
        <w:t xml:space="preserve"> from </w:t>
      </w:r>
      <w:r w:rsidR="008A2DFC" w:rsidRPr="0093401D">
        <w:rPr>
          <w:rFonts w:eastAsia="Calibri" w:cs="Calibri"/>
          <w:szCs w:val="28"/>
        </w:rPr>
        <w:t>64.6%</w:t>
      </w:r>
      <w:r w:rsidR="00167A9B" w:rsidRPr="0093401D">
        <w:rPr>
          <w:rFonts w:eastAsia="Calibri" w:cs="Calibri"/>
          <w:szCs w:val="28"/>
        </w:rPr>
        <w:t xml:space="preserve"> to </w:t>
      </w:r>
      <w:r w:rsidR="008A2DFC" w:rsidRPr="0093401D">
        <w:rPr>
          <w:rFonts w:eastAsia="Calibri" w:cs="Calibri"/>
          <w:szCs w:val="28"/>
        </w:rPr>
        <w:t>50.4%</w:t>
      </w:r>
      <w:r w:rsidR="00167A9B" w:rsidRPr="0093401D">
        <w:rPr>
          <w:rFonts w:eastAsia="Calibri" w:cs="Calibri"/>
          <w:szCs w:val="28"/>
        </w:rPr>
        <w:t xml:space="preserve">, while those attending </w:t>
      </w:r>
      <w:r w:rsidR="008A2DFC" w:rsidRPr="0093401D">
        <w:rPr>
          <w:rFonts w:eastAsia="Calibri" w:cs="Calibri"/>
          <w:szCs w:val="28"/>
        </w:rPr>
        <w:t>“special schools” and other forms of segregated educated rose from 35.4% to 49.6%</w:t>
      </w:r>
      <w:r w:rsidR="00F708E9" w:rsidRPr="0093401D">
        <w:rPr>
          <w:rStyle w:val="FootnoteReference"/>
          <w:rFonts w:eastAsia="Calibri" w:cs="Calibri"/>
          <w:szCs w:val="28"/>
        </w:rPr>
        <w:footnoteReference w:id="189"/>
      </w:r>
      <w:r w:rsidR="008A2DFC" w:rsidRPr="0093401D">
        <w:rPr>
          <w:rFonts w:eastAsia="Calibri" w:cs="Calibri"/>
          <w:szCs w:val="28"/>
        </w:rPr>
        <w:t>. In 2021 there was an additional 11,655 pupils without an ECHP educated in segregated settings.</w:t>
      </w:r>
    </w:p>
    <w:p w14:paraId="45AF7F01" w14:textId="77777777" w:rsidR="008A2DFC" w:rsidRPr="000A7C5F" w:rsidRDefault="008A2DFC" w:rsidP="00E739BB">
      <w:pPr>
        <w:pStyle w:val="ListParagraph"/>
        <w:ind w:left="851" w:hanging="851"/>
        <w:rPr>
          <w:rFonts w:ascii="Calibri" w:eastAsia="Calibri" w:hAnsi="Calibri" w:cs="Calibri"/>
          <w:szCs w:val="28"/>
        </w:rPr>
      </w:pPr>
    </w:p>
    <w:p w14:paraId="670AF807" w14:textId="53243D53" w:rsidR="00B2326F" w:rsidRPr="000A7C5F" w:rsidRDefault="002239AE" w:rsidP="00794060">
      <w:pPr>
        <w:pStyle w:val="ListParagraph"/>
        <w:numPr>
          <w:ilvl w:val="0"/>
          <w:numId w:val="3"/>
        </w:numPr>
        <w:spacing w:before="240"/>
        <w:ind w:left="851" w:hanging="851"/>
        <w:rPr>
          <w:szCs w:val="28"/>
        </w:rPr>
      </w:pPr>
      <w:r w:rsidRPr="000A7C5F">
        <w:rPr>
          <w:szCs w:val="28"/>
        </w:rPr>
        <w:t xml:space="preserve">Abuse scandals within such settings </w:t>
      </w:r>
      <w:r w:rsidR="00C3524E" w:rsidRPr="000A7C5F">
        <w:rPr>
          <w:szCs w:val="28"/>
        </w:rPr>
        <w:t>appear</w:t>
      </w:r>
      <w:r w:rsidRPr="000A7C5F">
        <w:rPr>
          <w:szCs w:val="28"/>
        </w:rPr>
        <w:t xml:space="preserve"> in the media but much more goes on that is not exposed</w:t>
      </w:r>
      <w:r w:rsidR="00001AF8" w:rsidRPr="000A7C5F">
        <w:rPr>
          <w:szCs w:val="28"/>
        </w:rPr>
        <w:t xml:space="preserve"> with use of physical restraint and seclusion rooms common practice</w:t>
      </w:r>
      <w:r w:rsidRPr="000A7C5F">
        <w:rPr>
          <w:szCs w:val="28"/>
        </w:rPr>
        <w:t>.</w:t>
      </w:r>
      <w:r w:rsidRPr="000A7C5F">
        <w:rPr>
          <w:rStyle w:val="FootnoteReference"/>
          <w:szCs w:val="28"/>
        </w:rPr>
        <w:footnoteReference w:id="190"/>
      </w:r>
      <w:r w:rsidRPr="000A7C5F">
        <w:rPr>
          <w:szCs w:val="28"/>
        </w:rPr>
        <w:t xml:space="preserve"> </w:t>
      </w:r>
      <w:r w:rsidRPr="000A7C5F">
        <w:rPr>
          <w:rStyle w:val="FootnoteReference"/>
          <w:szCs w:val="28"/>
        </w:rPr>
        <w:footnoteReference w:id="191"/>
      </w:r>
      <w:r w:rsidR="00C3524E" w:rsidRPr="000A7C5F">
        <w:rPr>
          <w:szCs w:val="28"/>
        </w:rPr>
        <w:t xml:space="preserve"> </w:t>
      </w:r>
      <w:r w:rsidR="006968B9" w:rsidRPr="000A7C5F">
        <w:rPr>
          <w:szCs w:val="28"/>
        </w:rPr>
        <w:t>T</w:t>
      </w:r>
      <w:r w:rsidR="00C3524E" w:rsidRPr="000A7C5F">
        <w:rPr>
          <w:szCs w:val="28"/>
        </w:rPr>
        <w:t xml:space="preserve">he Independent Inquiry </w:t>
      </w:r>
      <w:r w:rsidR="00C3524E" w:rsidRPr="000A7C5F">
        <w:rPr>
          <w:szCs w:val="28"/>
        </w:rPr>
        <w:lastRenderedPageBreak/>
        <w:t>into Child Sexual Abuse (IICSA) has called for tougher inspection and oversight of residential special schools</w:t>
      </w:r>
      <w:r w:rsidR="006968B9" w:rsidRPr="000A7C5F">
        <w:rPr>
          <w:rStyle w:val="FootnoteReference"/>
          <w:szCs w:val="28"/>
        </w:rPr>
        <w:footnoteReference w:id="192"/>
      </w:r>
      <w:r w:rsidR="00C3524E" w:rsidRPr="000A7C5F">
        <w:rPr>
          <w:szCs w:val="28"/>
        </w:rPr>
        <w:t>.</w:t>
      </w:r>
    </w:p>
    <w:p w14:paraId="0C12A86A" w14:textId="77777777" w:rsidR="0019372D" w:rsidRPr="000A7C5F" w:rsidRDefault="0019372D" w:rsidP="00E739BB">
      <w:pPr>
        <w:pStyle w:val="ListParagraph"/>
        <w:rPr>
          <w:szCs w:val="28"/>
        </w:rPr>
      </w:pPr>
    </w:p>
    <w:p w14:paraId="7DE767D7" w14:textId="638EB6BD" w:rsidR="00B2326F" w:rsidRPr="000A7C5F" w:rsidRDefault="00390B61" w:rsidP="00794060">
      <w:pPr>
        <w:pStyle w:val="ListParagraph"/>
        <w:numPr>
          <w:ilvl w:val="0"/>
          <w:numId w:val="3"/>
        </w:numPr>
        <w:spacing w:before="240"/>
        <w:ind w:left="851" w:hanging="851"/>
        <w:rPr>
          <w:szCs w:val="28"/>
        </w:rPr>
      </w:pPr>
      <w:bookmarkStart w:id="24" w:name="specialschoolprovision"/>
      <w:bookmarkEnd w:id="24"/>
      <w:r w:rsidRPr="000A7C5F">
        <w:rPr>
          <w:szCs w:val="28"/>
        </w:rPr>
        <w:t xml:space="preserve">To date </w:t>
      </w:r>
      <w:proofErr w:type="spellStart"/>
      <w:r w:rsidR="009037D2" w:rsidRPr="000A7C5F">
        <w:rPr>
          <w:szCs w:val="28"/>
        </w:rPr>
        <w:t>WeG</w:t>
      </w:r>
      <w:proofErr w:type="spellEnd"/>
      <w:r w:rsidRPr="000A7C5F">
        <w:rPr>
          <w:szCs w:val="28"/>
        </w:rPr>
        <w:t xml:space="preserve"> has invested in “59 new free special schools for children with complex SEND” and “a further 75 are in the pipeline”</w:t>
      </w:r>
      <w:r w:rsidRPr="000A7C5F">
        <w:rPr>
          <w:rStyle w:val="FootnoteReference"/>
          <w:szCs w:val="28"/>
        </w:rPr>
        <w:footnoteReference w:id="193"/>
      </w:r>
      <w:r w:rsidRPr="000A7C5F">
        <w:rPr>
          <w:szCs w:val="28"/>
        </w:rPr>
        <w:t xml:space="preserve">. </w:t>
      </w:r>
      <w:r w:rsidR="00876614" w:rsidRPr="000A7C5F">
        <w:rPr>
          <w:szCs w:val="28"/>
        </w:rPr>
        <w:t xml:space="preserve"> The Chancellor’s Autumn 2021 budget included a pledge to invest £2.6 billion for Disabled CYP in England. Previous SEND capital grants went either to fund new special school buildings or segregated units either within or acting as satellite provision (</w:t>
      </w:r>
      <w:proofErr w:type="spellStart"/>
      <w:r w:rsidR="00876614" w:rsidRPr="000A7C5F">
        <w:rPr>
          <w:szCs w:val="28"/>
        </w:rPr>
        <w:t>ie</w:t>
      </w:r>
      <w:proofErr w:type="spellEnd"/>
      <w:r w:rsidR="00876614" w:rsidRPr="000A7C5F">
        <w:rPr>
          <w:szCs w:val="28"/>
        </w:rPr>
        <w:t xml:space="preserve"> not on the same site) for mainstream schools. This new money could expand special </w:t>
      </w:r>
      <w:r w:rsidR="00356C4A" w:rsidRPr="000A7C5F">
        <w:rPr>
          <w:szCs w:val="28"/>
        </w:rPr>
        <w:t xml:space="preserve">school </w:t>
      </w:r>
      <w:r w:rsidR="00876614" w:rsidRPr="000A7C5F">
        <w:rPr>
          <w:szCs w:val="28"/>
        </w:rPr>
        <w:t>placements by 30,000.</w:t>
      </w:r>
      <w:r w:rsidR="00876614" w:rsidRPr="000A7C5F">
        <w:rPr>
          <w:rStyle w:val="FootnoteReference"/>
          <w:szCs w:val="28"/>
        </w:rPr>
        <w:footnoteReference w:id="194"/>
      </w:r>
    </w:p>
    <w:p w14:paraId="38EA7DF8" w14:textId="77777777" w:rsidR="00B2326F" w:rsidRPr="000A7C5F" w:rsidRDefault="00B2326F" w:rsidP="00E739BB">
      <w:pPr>
        <w:pStyle w:val="ListParagraph"/>
        <w:spacing w:before="240"/>
        <w:ind w:left="851" w:hanging="851"/>
        <w:rPr>
          <w:szCs w:val="28"/>
        </w:rPr>
      </w:pPr>
    </w:p>
    <w:p w14:paraId="0BF5C414" w14:textId="6B7F0487" w:rsidR="00FF3427" w:rsidRPr="000A7C5F" w:rsidRDefault="00876614" w:rsidP="00794060">
      <w:pPr>
        <w:pStyle w:val="ListParagraph"/>
        <w:numPr>
          <w:ilvl w:val="0"/>
          <w:numId w:val="3"/>
        </w:numPr>
        <w:spacing w:before="240"/>
        <w:ind w:left="851" w:hanging="851"/>
        <w:rPr>
          <w:szCs w:val="28"/>
        </w:rPr>
      </w:pPr>
      <w:r w:rsidRPr="000A7C5F">
        <w:rPr>
          <w:szCs w:val="28"/>
        </w:rPr>
        <w:t>Declining support in mainstream schools means families to</w:t>
      </w:r>
      <w:r w:rsidR="001A3DD5" w:rsidRPr="000A7C5F">
        <w:rPr>
          <w:szCs w:val="28"/>
        </w:rPr>
        <w:t>o</w:t>
      </w:r>
      <w:r w:rsidRPr="000A7C5F">
        <w:rPr>
          <w:szCs w:val="28"/>
        </w:rPr>
        <w:t xml:space="preserve"> often feel they have no choice but to opt for special education.</w:t>
      </w:r>
      <w:r w:rsidRPr="000A7C5F">
        <w:rPr>
          <w:rStyle w:val="FootnoteReference"/>
          <w:szCs w:val="28"/>
        </w:rPr>
        <w:footnoteReference w:id="195"/>
      </w:r>
      <w:r w:rsidRPr="000A7C5F">
        <w:rPr>
          <w:szCs w:val="28"/>
        </w:rPr>
        <w:t xml:space="preserve"> </w:t>
      </w:r>
      <w:r w:rsidR="007A4001" w:rsidRPr="007A4001">
        <w:rPr>
          <w:szCs w:val="28"/>
        </w:rPr>
        <w:t>According to the most recent published figures, Disabled pupils without an EHC support plan are five times more likely to receive a permanent exclusion than non-Disabled pupils. For Disabled pupils with an EHC support plan the figure is 2.5 times more likely</w:t>
      </w:r>
      <w:r w:rsidR="007A4001">
        <w:rPr>
          <w:szCs w:val="28"/>
        </w:rPr>
        <w:t>.</w:t>
      </w:r>
      <w:r w:rsidR="00FF3427" w:rsidRPr="000A7C5F">
        <w:rPr>
          <w:rStyle w:val="FootnoteReference"/>
          <w:szCs w:val="28"/>
        </w:rPr>
        <w:footnoteReference w:id="196"/>
      </w:r>
    </w:p>
    <w:p w14:paraId="6E6FF43A" w14:textId="77777777" w:rsidR="00FF3427" w:rsidRPr="000A7C5F" w:rsidRDefault="00FF3427" w:rsidP="00E739BB">
      <w:pPr>
        <w:pStyle w:val="ListParagraph"/>
        <w:rPr>
          <w:szCs w:val="28"/>
        </w:rPr>
      </w:pPr>
    </w:p>
    <w:p w14:paraId="3FF4FD6E" w14:textId="77777777" w:rsidR="00E739BB" w:rsidRDefault="00AF7092" w:rsidP="00794060">
      <w:pPr>
        <w:pStyle w:val="ListParagraph"/>
        <w:numPr>
          <w:ilvl w:val="0"/>
          <w:numId w:val="3"/>
        </w:numPr>
        <w:spacing w:before="240"/>
        <w:ind w:left="851" w:hanging="851"/>
        <w:rPr>
          <w:szCs w:val="28"/>
        </w:rPr>
      </w:pPr>
      <w:r w:rsidRPr="000A7C5F">
        <w:rPr>
          <w:szCs w:val="28"/>
        </w:rPr>
        <w:t xml:space="preserve">The </w:t>
      </w:r>
      <w:r w:rsidR="00876614" w:rsidRPr="000A7C5F">
        <w:rPr>
          <w:szCs w:val="28"/>
        </w:rPr>
        <w:t xml:space="preserve">high court </w:t>
      </w:r>
      <w:r w:rsidRPr="000A7C5F">
        <w:rPr>
          <w:szCs w:val="28"/>
        </w:rPr>
        <w:t xml:space="preserve">found that SEND cuts proposed by </w:t>
      </w:r>
      <w:r w:rsidR="00876614" w:rsidRPr="000A7C5F">
        <w:rPr>
          <w:szCs w:val="28"/>
        </w:rPr>
        <w:t xml:space="preserve">Bristol LA </w:t>
      </w:r>
      <w:r w:rsidRPr="000A7C5F">
        <w:rPr>
          <w:szCs w:val="28"/>
        </w:rPr>
        <w:t>were unlawful</w:t>
      </w:r>
      <w:r w:rsidR="00532EF5" w:rsidRPr="000A7C5F">
        <w:rPr>
          <w:rStyle w:val="FootnoteReference"/>
          <w:szCs w:val="28"/>
        </w:rPr>
        <w:footnoteReference w:id="197"/>
      </w:r>
      <w:r w:rsidR="00532EF5" w:rsidRPr="000A7C5F">
        <w:rPr>
          <w:szCs w:val="28"/>
        </w:rPr>
        <w:t xml:space="preserve"> </w:t>
      </w:r>
      <w:r w:rsidR="00532EF5" w:rsidRPr="000A7C5F">
        <w:rPr>
          <w:rStyle w:val="FootnoteReference"/>
          <w:szCs w:val="28"/>
        </w:rPr>
        <w:footnoteReference w:id="198"/>
      </w:r>
      <w:r w:rsidRPr="000A7C5F">
        <w:rPr>
          <w:szCs w:val="28"/>
        </w:rPr>
        <w:t xml:space="preserve"> but the S</w:t>
      </w:r>
      <w:r w:rsidR="00876614" w:rsidRPr="000A7C5F">
        <w:rPr>
          <w:szCs w:val="28"/>
        </w:rPr>
        <w:t xml:space="preserve">END </w:t>
      </w:r>
      <w:r w:rsidRPr="000A7C5F">
        <w:rPr>
          <w:szCs w:val="28"/>
        </w:rPr>
        <w:t>crisis is ongoing</w:t>
      </w:r>
      <w:r w:rsidR="00876614" w:rsidRPr="000A7C5F">
        <w:rPr>
          <w:rStyle w:val="FootnoteReference"/>
          <w:szCs w:val="28"/>
        </w:rPr>
        <w:footnoteReference w:id="199"/>
      </w:r>
      <w:r w:rsidR="00532EF5" w:rsidRPr="000A7C5F">
        <w:rPr>
          <w:szCs w:val="28"/>
        </w:rPr>
        <w:t>.</w:t>
      </w:r>
      <w:r w:rsidR="00001AF8" w:rsidRPr="000A7C5F">
        <w:rPr>
          <w:szCs w:val="28"/>
        </w:rPr>
        <w:t xml:space="preserve">  </w:t>
      </w:r>
      <w:r w:rsidRPr="000A7C5F">
        <w:rPr>
          <w:szCs w:val="28"/>
        </w:rPr>
        <w:t xml:space="preserve">In 2020, SEND tribunal panels upheld LA decisions in only 193 of 3,770 hearings – an LA success rate of </w:t>
      </w:r>
      <w:r w:rsidR="00532EF5" w:rsidRPr="000A7C5F">
        <w:rPr>
          <w:szCs w:val="28"/>
        </w:rPr>
        <w:t xml:space="preserve">only </w:t>
      </w:r>
      <w:r w:rsidRPr="000A7C5F">
        <w:rPr>
          <w:szCs w:val="28"/>
        </w:rPr>
        <w:t xml:space="preserve">5%, </w:t>
      </w:r>
      <w:r w:rsidR="00532EF5" w:rsidRPr="000A7C5F">
        <w:rPr>
          <w:szCs w:val="28"/>
        </w:rPr>
        <w:t xml:space="preserve">and </w:t>
      </w:r>
      <w:r w:rsidRPr="000A7C5F">
        <w:rPr>
          <w:szCs w:val="28"/>
        </w:rPr>
        <w:t>the worst on record</w:t>
      </w:r>
      <w:r w:rsidR="00532EF5" w:rsidRPr="000A7C5F">
        <w:rPr>
          <w:rStyle w:val="FootnoteReference"/>
          <w:szCs w:val="28"/>
        </w:rPr>
        <w:footnoteReference w:id="200"/>
      </w:r>
      <w:r w:rsidR="00532EF5" w:rsidRPr="000A7C5F">
        <w:rPr>
          <w:szCs w:val="28"/>
        </w:rPr>
        <w:t xml:space="preserve"> </w:t>
      </w:r>
      <w:r w:rsidR="00532EF5" w:rsidRPr="000A7C5F">
        <w:rPr>
          <w:rStyle w:val="FootnoteReference"/>
          <w:szCs w:val="28"/>
        </w:rPr>
        <w:footnoteReference w:id="201"/>
      </w:r>
      <w:r w:rsidR="00532EF5" w:rsidRPr="000A7C5F">
        <w:rPr>
          <w:szCs w:val="28"/>
        </w:rPr>
        <w:t xml:space="preserve">. </w:t>
      </w:r>
      <w:r w:rsidRPr="000A7C5F">
        <w:rPr>
          <w:szCs w:val="28"/>
        </w:rPr>
        <w:t>Families are having to go through expensive, time-consuming and stressful tribunals to get legal rights enforced.</w:t>
      </w:r>
    </w:p>
    <w:p w14:paraId="34AB4505" w14:textId="77777777" w:rsidR="00E739BB" w:rsidRPr="00E739BB" w:rsidRDefault="00E739BB" w:rsidP="00E739BB">
      <w:pPr>
        <w:pStyle w:val="ListParagraph"/>
        <w:rPr>
          <w:shd w:val="clear" w:color="auto" w:fill="FFFFFF"/>
        </w:rPr>
      </w:pPr>
    </w:p>
    <w:p w14:paraId="6A6287E5" w14:textId="76299E02" w:rsidR="00E739BB" w:rsidRPr="00E739BB" w:rsidRDefault="000C3211" w:rsidP="00794060">
      <w:pPr>
        <w:pStyle w:val="ListParagraph"/>
        <w:numPr>
          <w:ilvl w:val="0"/>
          <w:numId w:val="3"/>
        </w:numPr>
        <w:spacing w:before="240"/>
        <w:ind w:left="851" w:hanging="851"/>
        <w:rPr>
          <w:szCs w:val="28"/>
        </w:rPr>
      </w:pPr>
      <w:r w:rsidRPr="00E739BB">
        <w:rPr>
          <w:shd w:val="clear" w:color="auto" w:fill="FFFFFF"/>
        </w:rPr>
        <w:t>Racism and intersectional oppression continue to present significant barriers for D</w:t>
      </w:r>
      <w:r w:rsidR="00356C4A" w:rsidRPr="00E739BB">
        <w:rPr>
          <w:shd w:val="clear" w:color="auto" w:fill="FFFFFF"/>
        </w:rPr>
        <w:t>DP</w:t>
      </w:r>
      <w:r w:rsidRPr="00E739BB">
        <w:rPr>
          <w:shd w:val="clear" w:color="auto" w:fill="FFFFFF"/>
        </w:rPr>
        <w:t xml:space="preserve"> in education. </w:t>
      </w:r>
      <w:r w:rsidR="00DB09E2" w:rsidRPr="00E739BB">
        <w:rPr>
          <w:shd w:val="clear" w:color="auto" w:fill="FFFFFF"/>
        </w:rPr>
        <w:t xml:space="preserve">Factors such as poverty and unsafe family environments all act as </w:t>
      </w:r>
      <w:r w:rsidR="00C810A5" w:rsidRPr="00E739BB">
        <w:rPr>
          <w:shd w:val="clear" w:color="auto" w:fill="FFFFFF"/>
        </w:rPr>
        <w:t>a multiplier effect and contri</w:t>
      </w:r>
      <w:r w:rsidR="00DB09E2" w:rsidRPr="00E739BB">
        <w:rPr>
          <w:shd w:val="clear" w:color="auto" w:fill="FFFFFF"/>
        </w:rPr>
        <w:t>bute to higher rates of exclusion</w:t>
      </w:r>
      <w:r w:rsidR="001B2B0C" w:rsidRPr="000A7C5F">
        <w:rPr>
          <w:rStyle w:val="FootnoteReference"/>
          <w:rFonts w:ascii="Calibri" w:hAnsi="Calibri" w:cs="Calibri"/>
          <w:color w:val="000000"/>
          <w:szCs w:val="28"/>
          <w:shd w:val="clear" w:color="auto" w:fill="FFFFFF"/>
        </w:rPr>
        <w:footnoteReference w:id="202"/>
      </w:r>
      <w:r w:rsidR="00C810A5" w:rsidRPr="00E739BB">
        <w:rPr>
          <w:shd w:val="clear" w:color="auto" w:fill="FFFFFF"/>
        </w:rPr>
        <w:t xml:space="preserve">. </w:t>
      </w:r>
      <w:r w:rsidR="0096426B" w:rsidRPr="00E739BB">
        <w:rPr>
          <w:shd w:val="clear" w:color="auto" w:fill="FFFFFF"/>
        </w:rPr>
        <w:t xml:space="preserve">These additional factors are also amplified for certain communities, </w:t>
      </w:r>
      <w:r w:rsidR="00C810A5" w:rsidRPr="00E739BB">
        <w:rPr>
          <w:shd w:val="clear" w:color="auto" w:fill="FFFFFF"/>
        </w:rPr>
        <w:t xml:space="preserve">for example, people in </w:t>
      </w:r>
      <w:r w:rsidR="00C810A5" w:rsidRPr="00E739BB">
        <w:rPr>
          <w:shd w:val="clear" w:color="auto" w:fill="FFFFFF"/>
        </w:rPr>
        <w:lastRenderedPageBreak/>
        <w:t>Black and Minority Ethnic families are between two and three times more likely to be in persistent poverty than people in White families</w:t>
      </w:r>
      <w:r w:rsidR="00C810A5" w:rsidRPr="000A7C5F">
        <w:rPr>
          <w:rStyle w:val="FootnoteReference"/>
          <w:rFonts w:ascii="Calibri" w:hAnsi="Calibri" w:cs="Calibri"/>
          <w:color w:val="000000"/>
          <w:szCs w:val="28"/>
          <w:shd w:val="clear" w:color="auto" w:fill="FFFFFF"/>
        </w:rPr>
        <w:footnoteReference w:id="203"/>
      </w:r>
      <w:r w:rsidR="00C810A5" w:rsidRPr="00E739BB">
        <w:rPr>
          <w:shd w:val="clear" w:color="auto" w:fill="FFFFFF"/>
        </w:rPr>
        <w:t xml:space="preserve">. </w:t>
      </w:r>
      <w:r w:rsidR="005B287E" w:rsidRPr="00E739BB">
        <w:rPr>
          <w:shd w:val="clear" w:color="auto" w:fill="FFFFFF"/>
        </w:rPr>
        <w:t>Ac</w:t>
      </w:r>
      <w:r w:rsidR="004923B8" w:rsidRPr="00E739BB">
        <w:rPr>
          <w:shd w:val="clear" w:color="auto" w:fill="FFFFFF"/>
        </w:rPr>
        <w:t>c</w:t>
      </w:r>
      <w:r w:rsidR="005B287E" w:rsidRPr="00E739BB">
        <w:rPr>
          <w:shd w:val="clear" w:color="auto" w:fill="FFFFFF"/>
        </w:rPr>
        <w:t xml:space="preserve">ording to the latest </w:t>
      </w:r>
      <w:r w:rsidR="004923B8" w:rsidRPr="00E739BB">
        <w:rPr>
          <w:shd w:val="clear" w:color="auto" w:fill="FFFFFF"/>
        </w:rPr>
        <w:t>official figures</w:t>
      </w:r>
      <w:r w:rsidR="0096426B" w:rsidRPr="00E739BB">
        <w:rPr>
          <w:shd w:val="clear" w:color="auto" w:fill="FFFFFF"/>
        </w:rPr>
        <w:t xml:space="preserve"> on permanent exclusions for 2019/2020, a Black Caribbean boy </w:t>
      </w:r>
      <w:r w:rsidR="004923B8" w:rsidRPr="00E739BB">
        <w:rPr>
          <w:shd w:val="clear" w:color="auto" w:fill="FFFFFF"/>
        </w:rPr>
        <w:t xml:space="preserve">on Free School Meals (FSM) </w:t>
      </w:r>
      <w:r w:rsidR="0096426B" w:rsidRPr="00E739BB">
        <w:rPr>
          <w:shd w:val="clear" w:color="auto" w:fill="FFFFFF"/>
        </w:rPr>
        <w:t xml:space="preserve">and with an EHCP has a </w:t>
      </w:r>
      <w:r w:rsidR="007C3F1B" w:rsidRPr="00E739BB">
        <w:rPr>
          <w:shd w:val="clear" w:color="auto" w:fill="FFFFFF"/>
        </w:rPr>
        <w:t>74.75% chance of permanent exclusion; for a Back Caribbean boy on FSM who is Disabled but does not have an EHCP his chance is 149.5%</w:t>
      </w:r>
      <w:r w:rsidR="007C3F1B" w:rsidRPr="000A7C5F">
        <w:rPr>
          <w:rStyle w:val="FootnoteReference"/>
          <w:rFonts w:ascii="Calibri" w:hAnsi="Calibri" w:cs="Calibri"/>
          <w:color w:val="000000"/>
          <w:szCs w:val="28"/>
          <w:shd w:val="clear" w:color="auto" w:fill="FFFFFF"/>
        </w:rPr>
        <w:footnoteReference w:id="204"/>
      </w:r>
      <w:r w:rsidR="007C3F1B" w:rsidRPr="00E739BB">
        <w:rPr>
          <w:shd w:val="clear" w:color="auto" w:fill="FFFFFF"/>
        </w:rPr>
        <w:t>. P</w:t>
      </w:r>
      <w:r w:rsidR="004923B8" w:rsidRPr="00E739BB">
        <w:rPr>
          <w:shd w:val="clear" w:color="auto" w:fill="FFFFFF"/>
        </w:rPr>
        <w:t>upils who are Gypsy or Roma have the highest rate of exclusions being more than three times likely as a White British child to be excluded</w:t>
      </w:r>
      <w:r w:rsidR="00C810A5" w:rsidRPr="000A7C5F">
        <w:rPr>
          <w:rStyle w:val="FootnoteReference"/>
          <w:rFonts w:ascii="Calibri" w:hAnsi="Calibri" w:cs="Calibri"/>
          <w:color w:val="000000"/>
          <w:szCs w:val="28"/>
          <w:shd w:val="clear" w:color="auto" w:fill="FFFFFF"/>
        </w:rPr>
        <w:footnoteReference w:id="205"/>
      </w:r>
      <w:r w:rsidR="004923B8" w:rsidRPr="00E739BB">
        <w:rPr>
          <w:shd w:val="clear" w:color="auto" w:fill="FFFFFF"/>
        </w:rPr>
        <w:t>. Exclusion rates vary between LAs: i</w:t>
      </w:r>
      <w:r w:rsidR="005B287E" w:rsidRPr="00E739BB">
        <w:rPr>
          <w:shd w:val="clear" w:color="auto" w:fill="FFFFFF"/>
        </w:rPr>
        <w:t>n</w:t>
      </w:r>
      <w:r w:rsidR="005E0B54" w:rsidRPr="00E739BB">
        <w:rPr>
          <w:shd w:val="clear" w:color="auto" w:fill="FFFFFF"/>
        </w:rPr>
        <w:t xml:space="preserve"> some areas Black Caribbean </w:t>
      </w:r>
      <w:r w:rsidR="007C3F1B" w:rsidRPr="00E739BB">
        <w:rPr>
          <w:shd w:val="clear" w:color="auto" w:fill="FFFFFF"/>
        </w:rPr>
        <w:t>pupil</w:t>
      </w:r>
      <w:r w:rsidR="005E0B54" w:rsidRPr="00E739BB">
        <w:rPr>
          <w:shd w:val="clear" w:color="auto" w:fill="FFFFFF"/>
        </w:rPr>
        <w:t>s are 5</w:t>
      </w:r>
      <w:r w:rsidR="0007591D">
        <w:rPr>
          <w:shd w:val="clear" w:color="auto" w:fill="FFFFFF"/>
        </w:rPr>
        <w:t>-</w:t>
      </w:r>
      <w:r w:rsidR="005E0B54" w:rsidRPr="00E739BB">
        <w:rPr>
          <w:shd w:val="clear" w:color="auto" w:fill="FFFFFF"/>
        </w:rPr>
        <w:t>6 times more likely to be excluded</w:t>
      </w:r>
      <w:r w:rsidR="0096426B" w:rsidRPr="00E739BB">
        <w:rPr>
          <w:shd w:val="clear" w:color="auto" w:fill="FFFFFF"/>
        </w:rPr>
        <w:t xml:space="preserve"> than White </w:t>
      </w:r>
      <w:r w:rsidR="007C3F1B" w:rsidRPr="00E739BB">
        <w:rPr>
          <w:shd w:val="clear" w:color="auto" w:fill="FFFFFF"/>
        </w:rPr>
        <w:t>pupil</w:t>
      </w:r>
      <w:r w:rsidR="0096426B" w:rsidRPr="00E739BB">
        <w:rPr>
          <w:shd w:val="clear" w:color="auto" w:fill="FFFFFF"/>
        </w:rPr>
        <w:t>s</w:t>
      </w:r>
      <w:r w:rsidR="005E0B54" w:rsidRPr="000A7C5F">
        <w:rPr>
          <w:rStyle w:val="FootnoteReference"/>
          <w:rFonts w:ascii="Calibri" w:hAnsi="Calibri" w:cs="Calibri"/>
          <w:color w:val="000000"/>
          <w:szCs w:val="28"/>
          <w:shd w:val="clear" w:color="auto" w:fill="FFFFFF"/>
        </w:rPr>
        <w:footnoteReference w:id="206"/>
      </w:r>
      <w:r w:rsidR="005E0B54" w:rsidRPr="00E739BB">
        <w:rPr>
          <w:shd w:val="clear" w:color="auto" w:fill="FFFFFF"/>
        </w:rPr>
        <w:t xml:space="preserve">. </w:t>
      </w:r>
    </w:p>
    <w:p w14:paraId="61045CEB" w14:textId="77777777" w:rsidR="00E739BB" w:rsidRPr="00E739BB" w:rsidRDefault="00E739BB" w:rsidP="00E739BB">
      <w:pPr>
        <w:pStyle w:val="ListParagraph"/>
        <w:rPr>
          <w:rFonts w:ascii="Calibri" w:hAnsi="Calibri" w:cs="Calibri"/>
          <w:color w:val="000000"/>
          <w:szCs w:val="28"/>
          <w:shd w:val="clear" w:color="auto" w:fill="FFFFFF"/>
        </w:rPr>
      </w:pPr>
    </w:p>
    <w:p w14:paraId="597257CC" w14:textId="77777777" w:rsidR="00E739BB" w:rsidRPr="00E739BB" w:rsidRDefault="00C810A5" w:rsidP="00794060">
      <w:pPr>
        <w:pStyle w:val="ListParagraph"/>
        <w:numPr>
          <w:ilvl w:val="0"/>
          <w:numId w:val="3"/>
        </w:numPr>
        <w:spacing w:before="240"/>
        <w:ind w:left="851" w:hanging="851"/>
        <w:rPr>
          <w:szCs w:val="28"/>
        </w:rPr>
      </w:pPr>
      <w:r w:rsidRPr="00E739BB">
        <w:rPr>
          <w:rFonts w:cs="Calibri"/>
          <w:color w:val="000000"/>
          <w:szCs w:val="28"/>
          <w:shd w:val="clear" w:color="auto" w:fill="FFFFFF"/>
        </w:rPr>
        <w:t>Life outcomes for excluded pupils are poor. According to one study, the proportion of excluded children who experience mental distress is likely close to 100 per cent even though this is not reflected in official figures</w:t>
      </w:r>
      <w:r w:rsidRPr="00E739BB">
        <w:rPr>
          <w:rStyle w:val="FootnoteReference"/>
          <w:rFonts w:cs="Calibri"/>
          <w:color w:val="000000"/>
          <w:szCs w:val="28"/>
          <w:shd w:val="clear" w:color="auto" w:fill="FFFFFF"/>
        </w:rPr>
        <w:footnoteReference w:id="207"/>
      </w:r>
      <w:r w:rsidRPr="00E739BB">
        <w:rPr>
          <w:rFonts w:cs="Calibri"/>
          <w:color w:val="000000"/>
          <w:szCs w:val="28"/>
          <w:shd w:val="clear" w:color="auto" w:fill="FFFFFF"/>
        </w:rPr>
        <w:t xml:space="preserve">. </w:t>
      </w:r>
      <w:r w:rsidR="00065A73" w:rsidRPr="00E739BB">
        <w:rPr>
          <w:rFonts w:cs="Calibri"/>
          <w:color w:val="000000"/>
          <w:szCs w:val="28"/>
          <w:shd w:val="clear" w:color="auto" w:fill="FFFFFF"/>
        </w:rPr>
        <w:t xml:space="preserve">Pupils officially excluded from school </w:t>
      </w:r>
      <w:r w:rsidR="00065A73" w:rsidRPr="00E739BB">
        <w:rPr>
          <w:rFonts w:cs="Calibri"/>
          <w:color w:val="000000"/>
          <w:szCs w:val="28"/>
          <w:shd w:val="clear" w:color="auto" w:fill="FFFFFF"/>
        </w:rPr>
        <w:lastRenderedPageBreak/>
        <w:t>at age 12 are four times more likely to be in prison by age 24</w:t>
      </w:r>
      <w:r w:rsidR="00065A73" w:rsidRPr="00E739BB">
        <w:rPr>
          <w:rStyle w:val="FootnoteReference"/>
          <w:rFonts w:cs="Calibri"/>
          <w:color w:val="000000"/>
          <w:szCs w:val="28"/>
          <w:shd w:val="clear" w:color="auto" w:fill="FFFFFF"/>
        </w:rPr>
        <w:footnoteReference w:id="208"/>
      </w:r>
      <w:r w:rsidR="00065A73" w:rsidRPr="00E739BB">
        <w:rPr>
          <w:rFonts w:cs="Calibri"/>
          <w:color w:val="000000"/>
          <w:szCs w:val="28"/>
          <w:shd w:val="clear" w:color="auto" w:fill="FFFFFF"/>
        </w:rPr>
        <w:t>. David Lammy MP is quoted as saying, “The relationship between pupil referral units [a type of alternative provision maintained by the local authority] and the criminal justice system has become symbiotic, and the rise of exclusions is creating a pipeline of young people into our prison system. There is no fiscal or moral case to go on like this.”</w:t>
      </w:r>
      <w:r w:rsidR="00F15A30" w:rsidRPr="00E739BB">
        <w:rPr>
          <w:rStyle w:val="FootnoteReference"/>
          <w:rFonts w:cs="Calibri"/>
          <w:color w:val="000000"/>
          <w:szCs w:val="28"/>
          <w:shd w:val="clear" w:color="auto" w:fill="FFFFFF"/>
        </w:rPr>
        <w:footnoteReference w:id="209"/>
      </w:r>
    </w:p>
    <w:p w14:paraId="129F24D9" w14:textId="77777777" w:rsidR="00E739BB" w:rsidRPr="00E739BB" w:rsidRDefault="00E739BB" w:rsidP="00E739BB">
      <w:pPr>
        <w:pStyle w:val="ListParagraph"/>
        <w:rPr>
          <w:rFonts w:ascii="Calibri" w:hAnsi="Calibri" w:cs="Calibri"/>
          <w:szCs w:val="28"/>
        </w:rPr>
      </w:pPr>
    </w:p>
    <w:p w14:paraId="1BBE4CA1" w14:textId="77777777" w:rsidR="00E739BB" w:rsidRPr="00E739BB" w:rsidRDefault="001A3DD5" w:rsidP="00794060">
      <w:pPr>
        <w:pStyle w:val="ListParagraph"/>
        <w:numPr>
          <w:ilvl w:val="0"/>
          <w:numId w:val="3"/>
        </w:numPr>
        <w:spacing w:before="240"/>
        <w:ind w:left="851" w:hanging="851"/>
        <w:rPr>
          <w:szCs w:val="28"/>
        </w:rPr>
      </w:pPr>
      <w:r w:rsidRPr="00E739BB">
        <w:rPr>
          <w:rFonts w:cs="Calibri"/>
          <w:szCs w:val="28"/>
        </w:rPr>
        <w:t>Students who are Deaf/Disabled face entrenched barriers to higher education. A number of universities have faced criticism for disability discrimination over recent years</w:t>
      </w:r>
      <w:r w:rsidRPr="00E739BB">
        <w:rPr>
          <w:rStyle w:val="FootnoteReference"/>
          <w:rFonts w:cs="Calibri"/>
          <w:szCs w:val="28"/>
        </w:rPr>
        <w:footnoteReference w:id="210"/>
      </w:r>
      <w:r w:rsidRPr="00E739BB">
        <w:rPr>
          <w:rFonts w:cs="Calibri"/>
          <w:szCs w:val="28"/>
        </w:rPr>
        <w:t xml:space="preserve">. </w:t>
      </w:r>
      <w:r w:rsidR="00AB6044" w:rsidRPr="00E739BB">
        <w:rPr>
          <w:rFonts w:cs="Calibri"/>
          <w:szCs w:val="28"/>
        </w:rPr>
        <w:t>A report published in 2020 by the independent Higher Education Commission concluded that Disabled students are often forced to interrupt their studies because of the “financial burden, a lack of support, and struggling to fully access their teaching and learning”, while the complaints process creates further barriers</w:t>
      </w:r>
      <w:r w:rsidR="00AB6044" w:rsidRPr="00E739BB">
        <w:rPr>
          <w:rStyle w:val="FootnoteReference"/>
          <w:rFonts w:cs="Calibri"/>
          <w:szCs w:val="28"/>
        </w:rPr>
        <w:footnoteReference w:id="211"/>
      </w:r>
      <w:r w:rsidR="00AB6044" w:rsidRPr="00E739BB">
        <w:rPr>
          <w:rFonts w:cs="Calibri"/>
          <w:szCs w:val="28"/>
        </w:rPr>
        <w:t>.</w:t>
      </w:r>
      <w:r w:rsidR="00B00BDC" w:rsidRPr="00E739BB">
        <w:rPr>
          <w:rFonts w:cs="Calibri"/>
          <w:szCs w:val="28"/>
        </w:rPr>
        <w:t xml:space="preserve"> The report called for reform of </w:t>
      </w:r>
      <w:r w:rsidR="00B00BDC" w:rsidRPr="00E739BB">
        <w:rPr>
          <w:rFonts w:cs="Calibri"/>
          <w:szCs w:val="28"/>
        </w:rPr>
        <w:lastRenderedPageBreak/>
        <w:t xml:space="preserve">the Disabled Students Allowance (DSA) system. </w:t>
      </w:r>
      <w:r w:rsidR="00356C4A" w:rsidRPr="00E739BB">
        <w:rPr>
          <w:rFonts w:cs="Calibri"/>
          <w:szCs w:val="28"/>
        </w:rPr>
        <w:t>W</w:t>
      </w:r>
      <w:r w:rsidR="00B00BDC" w:rsidRPr="00E739BB">
        <w:rPr>
          <w:rFonts w:cs="Calibri"/>
          <w:szCs w:val="28"/>
        </w:rPr>
        <w:t xml:space="preserve">e heard </w:t>
      </w:r>
      <w:r w:rsidR="00356C4A" w:rsidRPr="00E739BB">
        <w:rPr>
          <w:rFonts w:cs="Calibri"/>
          <w:szCs w:val="28"/>
        </w:rPr>
        <w:t>about</w:t>
      </w:r>
      <w:r w:rsidR="00B00BDC" w:rsidRPr="00E739BB">
        <w:rPr>
          <w:rFonts w:cs="Calibri"/>
          <w:szCs w:val="28"/>
        </w:rPr>
        <w:t xml:space="preserve"> Deaf and Disabled students denied access to their chosen courses due to lack of access and support provision as well as prejudice and lack of awareness by educational professionals</w:t>
      </w:r>
      <w:r w:rsidR="00B00BDC" w:rsidRPr="00E739BB">
        <w:rPr>
          <w:rStyle w:val="FootnoteReference"/>
          <w:rFonts w:cs="Calibri"/>
          <w:szCs w:val="28"/>
        </w:rPr>
        <w:footnoteReference w:id="212"/>
      </w:r>
      <w:r w:rsidR="00B00BDC" w:rsidRPr="00E739BB">
        <w:rPr>
          <w:rFonts w:cs="Calibri"/>
          <w:szCs w:val="28"/>
        </w:rPr>
        <w:t>.</w:t>
      </w:r>
      <w:r w:rsidR="00356C4A" w:rsidRPr="00E739BB">
        <w:rPr>
          <w:rFonts w:cs="Calibri"/>
          <w:szCs w:val="28"/>
        </w:rPr>
        <w:t xml:space="preserve"> Pandemic </w:t>
      </w:r>
      <w:r w:rsidR="00783A70" w:rsidRPr="00E739BB">
        <w:rPr>
          <w:rFonts w:cs="Calibri"/>
          <w:szCs w:val="28"/>
        </w:rPr>
        <w:t xml:space="preserve">access </w:t>
      </w:r>
      <w:r w:rsidR="00356C4A" w:rsidRPr="00E739BB">
        <w:rPr>
          <w:rFonts w:cs="Calibri"/>
          <w:szCs w:val="28"/>
        </w:rPr>
        <w:t xml:space="preserve">gains for students </w:t>
      </w:r>
      <w:r w:rsidR="00783A70" w:rsidRPr="00E739BB">
        <w:rPr>
          <w:rFonts w:cs="Calibri"/>
          <w:szCs w:val="28"/>
        </w:rPr>
        <w:t xml:space="preserve">who </w:t>
      </w:r>
      <w:r w:rsidR="00356C4A" w:rsidRPr="00E739BB">
        <w:rPr>
          <w:rFonts w:cs="Calibri"/>
          <w:szCs w:val="28"/>
        </w:rPr>
        <w:t>requir</w:t>
      </w:r>
      <w:r w:rsidR="00783A70" w:rsidRPr="00E739BB">
        <w:rPr>
          <w:rFonts w:cs="Calibri"/>
          <w:szCs w:val="28"/>
        </w:rPr>
        <w:t>e</w:t>
      </w:r>
      <w:r w:rsidR="00356C4A" w:rsidRPr="00E739BB">
        <w:rPr>
          <w:rFonts w:cs="Calibri"/>
          <w:szCs w:val="28"/>
        </w:rPr>
        <w:t xml:space="preserve"> </w:t>
      </w:r>
      <w:r w:rsidR="00783A70" w:rsidRPr="00E739BB">
        <w:rPr>
          <w:rFonts w:cs="Calibri"/>
          <w:szCs w:val="28"/>
        </w:rPr>
        <w:t>participation</w:t>
      </w:r>
      <w:r w:rsidR="00356C4A" w:rsidRPr="00E739BB">
        <w:rPr>
          <w:rFonts w:cs="Calibri"/>
          <w:szCs w:val="28"/>
        </w:rPr>
        <w:t xml:space="preserve"> are anecdotally being taken back</w:t>
      </w:r>
      <w:r w:rsidR="00356C4A" w:rsidRPr="00E739BB">
        <w:rPr>
          <w:rStyle w:val="FootnoteReference"/>
          <w:rFonts w:cs="Calibri"/>
          <w:szCs w:val="28"/>
        </w:rPr>
        <w:footnoteReference w:id="213"/>
      </w:r>
      <w:r w:rsidR="00356C4A" w:rsidRPr="00E739BB">
        <w:rPr>
          <w:rFonts w:cs="Calibri"/>
          <w:szCs w:val="28"/>
        </w:rPr>
        <w:t>.</w:t>
      </w:r>
    </w:p>
    <w:p w14:paraId="6E8E7C66" w14:textId="77777777" w:rsidR="00E739BB" w:rsidRPr="00E739BB" w:rsidRDefault="00E739BB" w:rsidP="00E739BB">
      <w:pPr>
        <w:pStyle w:val="ListParagraph"/>
        <w:rPr>
          <w:szCs w:val="28"/>
        </w:rPr>
      </w:pPr>
    </w:p>
    <w:p w14:paraId="55C2193A" w14:textId="74D4CFA3" w:rsidR="00AD4613" w:rsidRPr="0097165F" w:rsidRDefault="00180156" w:rsidP="0097165F">
      <w:pPr>
        <w:pStyle w:val="ListParagraph"/>
        <w:numPr>
          <w:ilvl w:val="0"/>
          <w:numId w:val="3"/>
        </w:numPr>
        <w:spacing w:before="240"/>
        <w:ind w:left="851" w:hanging="851"/>
        <w:rPr>
          <w:szCs w:val="28"/>
        </w:rPr>
      </w:pPr>
      <w:bookmarkStart w:id="25" w:name="Para88"/>
      <w:bookmarkEnd w:id="25"/>
      <w:r w:rsidRPr="00E739BB">
        <w:rPr>
          <w:szCs w:val="28"/>
        </w:rPr>
        <w:t xml:space="preserve">The Coronavirus Act 2020 introduced an easement to the Children and Families Act 2014 which lessened the legal obligations for provision of support for </w:t>
      </w:r>
      <w:r w:rsidR="00A07B29" w:rsidRPr="00E739BB">
        <w:rPr>
          <w:szCs w:val="28"/>
        </w:rPr>
        <w:t>Deaf and D</w:t>
      </w:r>
      <w:r w:rsidRPr="00E739BB">
        <w:rPr>
          <w:szCs w:val="28"/>
        </w:rPr>
        <w:t>isabled CYP.</w:t>
      </w:r>
      <w:r w:rsidRPr="000A7C5F">
        <w:rPr>
          <w:vertAlign w:val="superscript"/>
        </w:rPr>
        <w:footnoteReference w:id="214"/>
      </w:r>
      <w:r w:rsidRPr="00E739BB">
        <w:rPr>
          <w:szCs w:val="28"/>
        </w:rPr>
        <w:t xml:space="preserve"> This</w:t>
      </w:r>
      <w:r w:rsidR="00356C4A" w:rsidRPr="00E739BB">
        <w:rPr>
          <w:szCs w:val="28"/>
        </w:rPr>
        <w:t>,</w:t>
      </w:r>
      <w:r w:rsidRPr="00E739BB">
        <w:rPr>
          <w:szCs w:val="28"/>
        </w:rPr>
        <w:t xml:space="preserve"> combined with the fact that online learning is not accessibl</w:t>
      </w:r>
      <w:r w:rsidR="00A07B29" w:rsidRPr="00E739BB">
        <w:rPr>
          <w:szCs w:val="28"/>
        </w:rPr>
        <w:t>e</w:t>
      </w:r>
      <w:r w:rsidRPr="00E739BB">
        <w:rPr>
          <w:szCs w:val="28"/>
        </w:rPr>
        <w:t xml:space="preserve"> </w:t>
      </w:r>
      <w:r w:rsidR="00A07B29" w:rsidRPr="00E739BB">
        <w:rPr>
          <w:szCs w:val="28"/>
        </w:rPr>
        <w:t xml:space="preserve">to all, </w:t>
      </w:r>
      <w:r w:rsidRPr="00E739BB">
        <w:rPr>
          <w:szCs w:val="28"/>
        </w:rPr>
        <w:t>meant that many simply went without education during lockdowns and/or shielding.</w:t>
      </w:r>
      <w:r w:rsidRPr="000A7C5F">
        <w:rPr>
          <w:vertAlign w:val="superscript"/>
        </w:rPr>
        <w:footnoteReference w:id="215"/>
      </w:r>
      <w:r w:rsidR="00001AF8" w:rsidRPr="00E739BB">
        <w:rPr>
          <w:szCs w:val="28"/>
        </w:rPr>
        <w:t xml:space="preserve"> Due to the intersection between poverty and disability lack of digital technology within households was an additional factor preventing remote learning.</w:t>
      </w:r>
      <w:r w:rsidR="00001AF8" w:rsidRPr="000A7C5F">
        <w:rPr>
          <w:rStyle w:val="FootnoteReference"/>
          <w:szCs w:val="28"/>
        </w:rPr>
        <w:footnoteReference w:id="216"/>
      </w:r>
      <w:r w:rsidR="00001AF8" w:rsidRPr="00E739BB">
        <w:rPr>
          <w:szCs w:val="28"/>
        </w:rPr>
        <w:t xml:space="preserve"> </w:t>
      </w:r>
    </w:p>
    <w:p w14:paraId="7CC968B0" w14:textId="5C063FAD" w:rsidR="00AD4613" w:rsidRPr="000A7C5F" w:rsidRDefault="00AD4613" w:rsidP="00BB6A41">
      <w:pPr>
        <w:pStyle w:val="ArticleHeading"/>
      </w:pPr>
      <w:r w:rsidRPr="000A7C5F">
        <w:t xml:space="preserve">Article 25 </w:t>
      </w:r>
      <w:r w:rsidR="00E739BB">
        <w:t>–</w:t>
      </w:r>
      <w:r w:rsidRPr="000A7C5F">
        <w:t xml:space="preserve"> Health</w:t>
      </w:r>
    </w:p>
    <w:p w14:paraId="6B973DAB" w14:textId="06562D33" w:rsidR="00C649DF" w:rsidRPr="000A7C5F" w:rsidRDefault="00A03787" w:rsidP="00794060">
      <w:pPr>
        <w:pStyle w:val="ListParagraph"/>
        <w:numPr>
          <w:ilvl w:val="0"/>
          <w:numId w:val="3"/>
        </w:numPr>
        <w:spacing w:before="240"/>
        <w:ind w:left="851" w:hanging="851"/>
        <w:rPr>
          <w:szCs w:val="28"/>
        </w:rPr>
      </w:pPr>
      <w:r w:rsidRPr="000A7C5F">
        <w:rPr>
          <w:szCs w:val="28"/>
        </w:rPr>
        <w:t>Access to NHS services</w:t>
      </w:r>
      <w:r w:rsidR="00A86A97" w:rsidRPr="000A7C5F">
        <w:rPr>
          <w:szCs w:val="28"/>
        </w:rPr>
        <w:t xml:space="preserve"> and treatment</w:t>
      </w:r>
      <w:r w:rsidRPr="000A7C5F">
        <w:rPr>
          <w:szCs w:val="28"/>
        </w:rPr>
        <w:t xml:space="preserve"> is </w:t>
      </w:r>
      <w:r w:rsidR="00A86A97" w:rsidRPr="000A7C5F">
        <w:rPr>
          <w:szCs w:val="28"/>
        </w:rPr>
        <w:t xml:space="preserve">increasingly </w:t>
      </w:r>
      <w:r w:rsidRPr="000A7C5F">
        <w:rPr>
          <w:szCs w:val="28"/>
        </w:rPr>
        <w:t>difficult</w:t>
      </w:r>
      <w:r w:rsidR="00A86A97" w:rsidRPr="000A7C5F">
        <w:rPr>
          <w:szCs w:val="28"/>
        </w:rPr>
        <w:t>, including GP and specialist consultant appointments, dentistry, chiropody, physiotherapy, and occupational therapy</w:t>
      </w:r>
      <w:r w:rsidR="00A86A97" w:rsidRPr="000A7C5F">
        <w:rPr>
          <w:rStyle w:val="FootnoteReference"/>
          <w:szCs w:val="28"/>
        </w:rPr>
        <w:footnoteReference w:id="217"/>
      </w:r>
      <w:r w:rsidR="00A86A97" w:rsidRPr="000A7C5F">
        <w:rPr>
          <w:szCs w:val="28"/>
        </w:rPr>
        <w:t xml:space="preserve">. </w:t>
      </w:r>
      <w:r w:rsidRPr="000A7C5F">
        <w:rPr>
          <w:szCs w:val="28"/>
        </w:rPr>
        <w:t xml:space="preserve">This affects </w:t>
      </w:r>
      <w:r w:rsidRPr="000A7C5F">
        <w:rPr>
          <w:szCs w:val="28"/>
        </w:rPr>
        <w:lastRenderedPageBreak/>
        <w:t>everyone but has a disproportionate impact on DDP</w:t>
      </w:r>
      <w:r w:rsidR="00A86A97" w:rsidRPr="000A7C5F">
        <w:rPr>
          <w:szCs w:val="28"/>
        </w:rPr>
        <w:t xml:space="preserve">, due to </w:t>
      </w:r>
      <w:r w:rsidR="00B00BDC" w:rsidRPr="000A7C5F">
        <w:rPr>
          <w:szCs w:val="28"/>
        </w:rPr>
        <w:t xml:space="preserve">both </w:t>
      </w:r>
      <w:r w:rsidR="00A86A97" w:rsidRPr="000A7C5F">
        <w:rPr>
          <w:szCs w:val="28"/>
        </w:rPr>
        <w:t>increased reliance as well as access needs. The</w:t>
      </w:r>
      <w:r w:rsidR="00606FD6" w:rsidRPr="000A7C5F">
        <w:rPr>
          <w:szCs w:val="28"/>
        </w:rPr>
        <w:t>re are additional barriers</w:t>
      </w:r>
      <w:r w:rsidR="00A86A97" w:rsidRPr="000A7C5F">
        <w:rPr>
          <w:szCs w:val="28"/>
        </w:rPr>
        <w:t xml:space="preserve"> for </w:t>
      </w:r>
      <w:r w:rsidR="00AD4613" w:rsidRPr="000A7C5F">
        <w:rPr>
          <w:szCs w:val="28"/>
        </w:rPr>
        <w:t>those subject to intersecting oppressions</w:t>
      </w:r>
      <w:r w:rsidRPr="000A7C5F">
        <w:rPr>
          <w:szCs w:val="28"/>
        </w:rPr>
        <w:t xml:space="preserve">. </w:t>
      </w:r>
      <w:r w:rsidR="00A86A97" w:rsidRPr="000A7C5F">
        <w:rPr>
          <w:szCs w:val="28"/>
        </w:rPr>
        <w:t>For example</w:t>
      </w:r>
      <w:r w:rsidR="00756159" w:rsidRPr="000A7C5F">
        <w:rPr>
          <w:szCs w:val="28"/>
        </w:rPr>
        <w:t>:</w:t>
      </w:r>
      <w:r w:rsidR="00A86A97" w:rsidRPr="000A7C5F">
        <w:rPr>
          <w:szCs w:val="28"/>
        </w:rPr>
        <w:t xml:space="preserve"> there is a need for culturally competent and accessible services for </w:t>
      </w:r>
      <w:r w:rsidR="00297CEB" w:rsidRPr="00297CEB">
        <w:rPr>
          <w:szCs w:val="28"/>
        </w:rPr>
        <w:t>Black DDP and DDP from racialised minorities communities</w:t>
      </w:r>
      <w:r w:rsidR="00AD4613" w:rsidRPr="000A7C5F">
        <w:rPr>
          <w:rStyle w:val="FootnoteReference"/>
          <w:szCs w:val="28"/>
        </w:rPr>
        <w:footnoteReference w:id="218"/>
      </w:r>
      <w:r w:rsidR="00756159" w:rsidRPr="000A7C5F">
        <w:rPr>
          <w:szCs w:val="28"/>
        </w:rPr>
        <w:t>; f</w:t>
      </w:r>
      <w:r w:rsidR="00510870" w:rsidRPr="000A7C5F">
        <w:rPr>
          <w:szCs w:val="28"/>
        </w:rPr>
        <w:t xml:space="preserve">or Deaf BSL users </w:t>
      </w:r>
      <w:r w:rsidR="00297CEB" w:rsidRPr="00297CEB">
        <w:rPr>
          <w:szCs w:val="28"/>
        </w:rPr>
        <w:t>who are Black people and from racialised minorities</w:t>
      </w:r>
      <w:r w:rsidR="00510870" w:rsidRPr="000A7C5F">
        <w:rPr>
          <w:szCs w:val="28"/>
        </w:rPr>
        <w:t>, English may only be a third or fourth language and therefore access to fully skilled interpreters</w:t>
      </w:r>
      <w:r w:rsidR="00AD4613" w:rsidRPr="000A7C5F">
        <w:rPr>
          <w:szCs w:val="28"/>
        </w:rPr>
        <w:t xml:space="preserve"> and face-to-face interpreting</w:t>
      </w:r>
      <w:r w:rsidR="00510870" w:rsidRPr="000A7C5F">
        <w:rPr>
          <w:szCs w:val="28"/>
        </w:rPr>
        <w:t xml:space="preserve"> is even more important</w:t>
      </w:r>
      <w:r w:rsidR="00510870" w:rsidRPr="000A7C5F">
        <w:rPr>
          <w:rStyle w:val="FootnoteReference"/>
          <w:szCs w:val="28"/>
        </w:rPr>
        <w:footnoteReference w:id="219"/>
      </w:r>
      <w:r w:rsidR="00756159" w:rsidRPr="000A7C5F">
        <w:rPr>
          <w:szCs w:val="28"/>
        </w:rPr>
        <w:t>;</w:t>
      </w:r>
      <w:r w:rsidR="00510870" w:rsidRPr="000A7C5F">
        <w:rPr>
          <w:szCs w:val="28"/>
        </w:rPr>
        <w:t xml:space="preserve"> </w:t>
      </w:r>
      <w:r w:rsidR="00C649DF" w:rsidRPr="000A7C5F">
        <w:rPr>
          <w:szCs w:val="28"/>
        </w:rPr>
        <w:t>DDP who are refused asylum can be denied secondary healthcare</w:t>
      </w:r>
      <w:r w:rsidR="00C649DF" w:rsidRPr="000A7C5F">
        <w:rPr>
          <w:rStyle w:val="FootnoteReference"/>
          <w:szCs w:val="28"/>
        </w:rPr>
        <w:footnoteReference w:id="220"/>
      </w:r>
      <w:r w:rsidR="00195572" w:rsidRPr="000A7C5F">
        <w:rPr>
          <w:szCs w:val="28"/>
        </w:rPr>
        <w:t>, unless they meet certain criteria</w:t>
      </w:r>
      <w:r w:rsidR="00195572" w:rsidRPr="000A7C5F">
        <w:rPr>
          <w:rStyle w:val="FootnoteReference"/>
          <w:szCs w:val="28"/>
        </w:rPr>
        <w:footnoteReference w:id="221"/>
      </w:r>
      <w:r w:rsidR="00195572" w:rsidRPr="000A7C5F">
        <w:rPr>
          <w:szCs w:val="28"/>
        </w:rPr>
        <w:t>.</w:t>
      </w:r>
      <w:r w:rsidR="00C649DF" w:rsidRPr="000A7C5F">
        <w:rPr>
          <w:szCs w:val="28"/>
        </w:rPr>
        <w:t xml:space="preserve"> </w:t>
      </w:r>
    </w:p>
    <w:p w14:paraId="47B8DE3E" w14:textId="2425BE16" w:rsidR="00A03787" w:rsidRPr="000A7C5F" w:rsidRDefault="00A03787" w:rsidP="00E739BB">
      <w:pPr>
        <w:pStyle w:val="ListParagraph"/>
        <w:spacing w:before="240"/>
        <w:ind w:left="735"/>
        <w:rPr>
          <w:szCs w:val="28"/>
        </w:rPr>
      </w:pPr>
    </w:p>
    <w:p w14:paraId="15D7E4BA" w14:textId="0310C2A4" w:rsidR="00FA1A2D" w:rsidRPr="000A7C5F" w:rsidRDefault="00105728" w:rsidP="00794060">
      <w:pPr>
        <w:pStyle w:val="ListParagraph"/>
        <w:numPr>
          <w:ilvl w:val="0"/>
          <w:numId w:val="3"/>
        </w:numPr>
        <w:ind w:left="851" w:hanging="851"/>
        <w:rPr>
          <w:szCs w:val="28"/>
        </w:rPr>
      </w:pPr>
      <w:r w:rsidRPr="000A7C5F">
        <w:rPr>
          <w:szCs w:val="28"/>
        </w:rPr>
        <w:t>Factors</w:t>
      </w:r>
      <w:r w:rsidR="00FA1A2D" w:rsidRPr="000A7C5F">
        <w:rPr>
          <w:szCs w:val="28"/>
        </w:rPr>
        <w:t xml:space="preserve"> includ</w:t>
      </w:r>
      <w:r w:rsidRPr="000A7C5F">
        <w:rPr>
          <w:szCs w:val="28"/>
        </w:rPr>
        <w:t>ing</w:t>
      </w:r>
      <w:r w:rsidR="00FA1A2D" w:rsidRPr="000A7C5F">
        <w:rPr>
          <w:szCs w:val="28"/>
        </w:rPr>
        <w:t xml:space="preserve"> tightened eligibility for accessing mobility aids and equipment have led to unprecedented numbers of DDP using crowdfunding sites to beg for money to purchase essential such items </w:t>
      </w:r>
      <w:r w:rsidRPr="000A7C5F">
        <w:rPr>
          <w:szCs w:val="28"/>
        </w:rPr>
        <w:t xml:space="preserve">as wheelchairs. </w:t>
      </w:r>
      <w:r w:rsidR="00FA1A2D" w:rsidRPr="000A7C5F">
        <w:rPr>
          <w:szCs w:val="28"/>
        </w:rPr>
        <w:t>leading to a strengthening of the charity model of disability.</w:t>
      </w:r>
      <w:r w:rsidR="00FA1A2D" w:rsidRPr="000A7C5F">
        <w:rPr>
          <w:rStyle w:val="FootnoteReference"/>
          <w:szCs w:val="28"/>
        </w:rPr>
        <w:footnoteReference w:id="222"/>
      </w:r>
      <w:r w:rsidR="00FA1A2D" w:rsidRPr="000A7C5F">
        <w:rPr>
          <w:szCs w:val="28"/>
        </w:rPr>
        <w:t xml:space="preserve">  </w:t>
      </w:r>
    </w:p>
    <w:p w14:paraId="74942C62" w14:textId="77777777" w:rsidR="00FA1A2D" w:rsidRPr="000A7C5F" w:rsidRDefault="00FA1A2D" w:rsidP="00E739BB">
      <w:pPr>
        <w:pStyle w:val="ListParagraph"/>
        <w:ind w:left="851" w:hanging="851"/>
        <w:rPr>
          <w:szCs w:val="28"/>
        </w:rPr>
      </w:pPr>
    </w:p>
    <w:p w14:paraId="0CF0F041" w14:textId="3AEE90E8" w:rsidR="007D70F8" w:rsidRPr="000A7C5F" w:rsidRDefault="008B02C5" w:rsidP="00794060">
      <w:pPr>
        <w:pStyle w:val="ListParagraph"/>
        <w:numPr>
          <w:ilvl w:val="0"/>
          <w:numId w:val="3"/>
        </w:numPr>
        <w:ind w:left="851" w:hanging="851"/>
        <w:rPr>
          <w:szCs w:val="28"/>
        </w:rPr>
      </w:pPr>
      <w:bookmarkStart w:id="26" w:name="Para91"/>
      <w:bookmarkEnd w:id="26"/>
      <w:r w:rsidRPr="000A7C5F">
        <w:rPr>
          <w:szCs w:val="28"/>
        </w:rPr>
        <w:t xml:space="preserve">Diagnosis </w:t>
      </w:r>
      <w:r w:rsidR="00664509" w:rsidRPr="000A7C5F">
        <w:rPr>
          <w:szCs w:val="28"/>
        </w:rPr>
        <w:t xml:space="preserve">assessment waiting times </w:t>
      </w:r>
      <w:r w:rsidRPr="000A7C5F">
        <w:rPr>
          <w:szCs w:val="28"/>
        </w:rPr>
        <w:t>are at an all</w:t>
      </w:r>
      <w:r w:rsidR="009E4768" w:rsidRPr="000A7C5F">
        <w:rPr>
          <w:szCs w:val="28"/>
        </w:rPr>
        <w:t>-</w:t>
      </w:r>
      <w:r w:rsidRPr="000A7C5F">
        <w:rPr>
          <w:szCs w:val="28"/>
        </w:rPr>
        <w:t xml:space="preserve">time high </w:t>
      </w:r>
      <w:r w:rsidR="00664509" w:rsidRPr="000A7C5F">
        <w:rPr>
          <w:szCs w:val="28"/>
        </w:rPr>
        <w:t>while anecdotally DDP are blocked at the first hurdle by GPs from even beginning the process</w:t>
      </w:r>
      <w:r w:rsidR="00664509" w:rsidRPr="000A7C5F">
        <w:rPr>
          <w:rStyle w:val="FootnoteReference"/>
          <w:szCs w:val="28"/>
        </w:rPr>
        <w:footnoteReference w:id="223"/>
      </w:r>
      <w:r w:rsidR="00664509" w:rsidRPr="000A7C5F">
        <w:rPr>
          <w:szCs w:val="28"/>
        </w:rPr>
        <w:t xml:space="preserve">. Diagnoses are required in order to access support. </w:t>
      </w:r>
    </w:p>
    <w:p w14:paraId="64959BC8" w14:textId="77777777" w:rsidR="007D70F8" w:rsidRPr="000A7C5F" w:rsidRDefault="007D70F8" w:rsidP="00E739BB">
      <w:pPr>
        <w:pStyle w:val="ListParagraph"/>
        <w:ind w:left="851" w:hanging="851"/>
        <w:rPr>
          <w:szCs w:val="28"/>
        </w:rPr>
      </w:pPr>
    </w:p>
    <w:p w14:paraId="0C9DB212" w14:textId="6155F4B3" w:rsidR="00CA420E" w:rsidRPr="000A7C5F" w:rsidRDefault="00756159" w:rsidP="00794060">
      <w:pPr>
        <w:pStyle w:val="ListParagraph"/>
        <w:numPr>
          <w:ilvl w:val="0"/>
          <w:numId w:val="3"/>
        </w:numPr>
        <w:ind w:left="851" w:hanging="851"/>
        <w:rPr>
          <w:szCs w:val="28"/>
        </w:rPr>
      </w:pPr>
      <w:r w:rsidRPr="000A7C5F">
        <w:rPr>
          <w:szCs w:val="28"/>
        </w:rPr>
        <w:t xml:space="preserve">DDP </w:t>
      </w:r>
      <w:r w:rsidR="004A2095" w:rsidRPr="000A7C5F">
        <w:rPr>
          <w:szCs w:val="28"/>
        </w:rPr>
        <w:t xml:space="preserve">labelled </w:t>
      </w:r>
      <w:r w:rsidRPr="000A7C5F">
        <w:rPr>
          <w:szCs w:val="28"/>
        </w:rPr>
        <w:t xml:space="preserve">with </w:t>
      </w:r>
      <w:r w:rsidR="004A2095" w:rsidRPr="000A7C5F">
        <w:rPr>
          <w:szCs w:val="28"/>
        </w:rPr>
        <w:t>“M</w:t>
      </w:r>
      <w:r w:rsidRPr="000A7C5F">
        <w:rPr>
          <w:szCs w:val="28"/>
        </w:rPr>
        <w:t xml:space="preserve">edically </w:t>
      </w:r>
      <w:r w:rsidR="004A2095" w:rsidRPr="000A7C5F">
        <w:rPr>
          <w:szCs w:val="28"/>
        </w:rPr>
        <w:t>U</w:t>
      </w:r>
      <w:r w:rsidRPr="000A7C5F">
        <w:rPr>
          <w:szCs w:val="28"/>
        </w:rPr>
        <w:t xml:space="preserve">nexplained </w:t>
      </w:r>
      <w:r w:rsidR="004A2095" w:rsidRPr="000A7C5F">
        <w:rPr>
          <w:szCs w:val="28"/>
        </w:rPr>
        <w:t>S</w:t>
      </w:r>
      <w:r w:rsidRPr="000A7C5F">
        <w:rPr>
          <w:szCs w:val="28"/>
        </w:rPr>
        <w:t>ymptoms</w:t>
      </w:r>
      <w:r w:rsidR="004A2095" w:rsidRPr="000A7C5F">
        <w:rPr>
          <w:szCs w:val="28"/>
        </w:rPr>
        <w:t>” (MUS) often report iatrogenic harm (harm caused by medical treatment)</w:t>
      </w:r>
      <w:r w:rsidR="004A2095" w:rsidRPr="000A7C5F">
        <w:rPr>
          <w:rStyle w:val="FootnoteReference"/>
          <w:szCs w:val="28"/>
        </w:rPr>
        <w:footnoteReference w:id="224"/>
      </w:r>
      <w:r w:rsidR="004A2095" w:rsidRPr="000A7C5F">
        <w:rPr>
          <w:szCs w:val="28"/>
        </w:rPr>
        <w:t xml:space="preserve">. </w:t>
      </w:r>
      <w:r w:rsidR="002B0C3D" w:rsidRPr="000A7C5F">
        <w:rPr>
          <w:szCs w:val="28"/>
        </w:rPr>
        <w:t>In October 2021</w:t>
      </w:r>
      <w:r w:rsidR="00CA420E" w:rsidRPr="000A7C5F">
        <w:rPr>
          <w:szCs w:val="28"/>
        </w:rPr>
        <w:t xml:space="preserve"> NICE revised their guidance on ME/CFS to </w:t>
      </w:r>
      <w:r w:rsidR="002B0C3D" w:rsidRPr="000A7C5F">
        <w:rPr>
          <w:szCs w:val="28"/>
        </w:rPr>
        <w:t xml:space="preserve">reflect </w:t>
      </w:r>
      <w:r w:rsidR="007D70F8" w:rsidRPr="000A7C5F">
        <w:rPr>
          <w:szCs w:val="28"/>
        </w:rPr>
        <w:t>changes that people with ELCI have spent yea</w:t>
      </w:r>
      <w:r w:rsidR="00EB080B" w:rsidRPr="000A7C5F">
        <w:rPr>
          <w:szCs w:val="28"/>
        </w:rPr>
        <w:t>rs campaigning for</w:t>
      </w:r>
      <w:r w:rsidR="002B0C3D" w:rsidRPr="000A7C5F">
        <w:rPr>
          <w:szCs w:val="28"/>
        </w:rPr>
        <w:t>. The</w:t>
      </w:r>
      <w:r w:rsidR="00EB080B" w:rsidRPr="000A7C5F">
        <w:rPr>
          <w:szCs w:val="28"/>
        </w:rPr>
        <w:t>se</w:t>
      </w:r>
      <w:r w:rsidR="002B0C3D" w:rsidRPr="000A7C5F">
        <w:rPr>
          <w:szCs w:val="28"/>
        </w:rPr>
        <w:t xml:space="preserve"> include </w:t>
      </w:r>
      <w:r w:rsidR="00CA420E" w:rsidRPr="000A7C5F">
        <w:rPr>
          <w:szCs w:val="28"/>
        </w:rPr>
        <w:t>remov</w:t>
      </w:r>
      <w:r w:rsidR="002B0C3D" w:rsidRPr="000A7C5F">
        <w:rPr>
          <w:szCs w:val="28"/>
        </w:rPr>
        <w:t>al of</w:t>
      </w:r>
      <w:r w:rsidR="00CA420E" w:rsidRPr="000A7C5F">
        <w:rPr>
          <w:szCs w:val="28"/>
        </w:rPr>
        <w:t xml:space="preserve"> Graded Exercise Therapy</w:t>
      </w:r>
      <w:r w:rsidR="002B0C3D" w:rsidRPr="000A7C5F">
        <w:rPr>
          <w:szCs w:val="28"/>
        </w:rPr>
        <w:t>,</w:t>
      </w:r>
      <w:r w:rsidR="00CA420E" w:rsidRPr="000A7C5F">
        <w:rPr>
          <w:szCs w:val="28"/>
        </w:rPr>
        <w:t xml:space="preserve"> which has been proven to cause harm to patients</w:t>
      </w:r>
      <w:r w:rsidR="002B0C3D" w:rsidRPr="000A7C5F">
        <w:rPr>
          <w:szCs w:val="28"/>
        </w:rPr>
        <w:t>,</w:t>
      </w:r>
      <w:r w:rsidR="00B1689E" w:rsidRPr="000A7C5F">
        <w:rPr>
          <w:szCs w:val="28"/>
        </w:rPr>
        <w:t xml:space="preserve"> and </w:t>
      </w:r>
      <w:r w:rsidR="002B0C3D" w:rsidRPr="000A7C5F">
        <w:rPr>
          <w:szCs w:val="28"/>
        </w:rPr>
        <w:t>C</w:t>
      </w:r>
      <w:r w:rsidR="00105728" w:rsidRPr="000A7C5F">
        <w:rPr>
          <w:szCs w:val="28"/>
        </w:rPr>
        <w:t>BT</w:t>
      </w:r>
      <w:r w:rsidR="002B0C3D" w:rsidRPr="000A7C5F">
        <w:rPr>
          <w:szCs w:val="28"/>
        </w:rPr>
        <w:t>.</w:t>
      </w:r>
      <w:r w:rsidR="00CA420E" w:rsidRPr="000A7C5F">
        <w:rPr>
          <w:szCs w:val="28"/>
        </w:rPr>
        <w:t xml:space="preserve"> </w:t>
      </w:r>
      <w:r w:rsidR="00B1689E" w:rsidRPr="000A7C5F">
        <w:rPr>
          <w:szCs w:val="28"/>
        </w:rPr>
        <w:t xml:space="preserve">People with ELCI have spent years fighting for their own accounts of their illness to be listened to and for the physical basis of their conditions to be recognised and treated. </w:t>
      </w:r>
      <w:r w:rsidR="00CA420E" w:rsidRPr="000A7C5F">
        <w:rPr>
          <w:szCs w:val="28"/>
        </w:rPr>
        <w:t xml:space="preserve">The Royal College of Psychiatrists </w:t>
      </w:r>
      <w:r w:rsidR="002B0C3D" w:rsidRPr="000A7C5F">
        <w:rPr>
          <w:szCs w:val="28"/>
        </w:rPr>
        <w:t xml:space="preserve">and other physicians </w:t>
      </w:r>
      <w:r w:rsidR="00CA420E" w:rsidRPr="000A7C5F">
        <w:rPr>
          <w:szCs w:val="28"/>
        </w:rPr>
        <w:t>wrote</w:t>
      </w:r>
      <w:r w:rsidR="002B0C3D" w:rsidRPr="000A7C5F">
        <w:rPr>
          <w:szCs w:val="28"/>
        </w:rPr>
        <w:t xml:space="preserve"> criticising the changes, reflecting continuing dismissal of DDP’s lived experience</w:t>
      </w:r>
      <w:r w:rsidR="00A86A97" w:rsidRPr="000A7C5F">
        <w:rPr>
          <w:rStyle w:val="FootnoteReference"/>
          <w:szCs w:val="28"/>
        </w:rPr>
        <w:footnoteReference w:id="225"/>
      </w:r>
      <w:r w:rsidR="002B0C3D" w:rsidRPr="000A7C5F">
        <w:rPr>
          <w:szCs w:val="28"/>
        </w:rPr>
        <w:t>.</w:t>
      </w:r>
      <w:r w:rsidR="00EB080B" w:rsidRPr="000A7C5F">
        <w:rPr>
          <w:szCs w:val="28"/>
        </w:rPr>
        <w:t xml:space="preserve"> </w:t>
      </w:r>
      <w:r w:rsidR="00CA420E" w:rsidRPr="000A7C5F">
        <w:rPr>
          <w:szCs w:val="28"/>
        </w:rPr>
        <w:t xml:space="preserve"> </w:t>
      </w:r>
      <w:r w:rsidR="000E3EF6" w:rsidRPr="000A7C5F">
        <w:rPr>
          <w:szCs w:val="28"/>
        </w:rPr>
        <w:t xml:space="preserve">There is already evidence of people </w:t>
      </w:r>
      <w:r w:rsidR="00996E80" w:rsidRPr="000A7C5F">
        <w:rPr>
          <w:szCs w:val="28"/>
        </w:rPr>
        <w:t xml:space="preserve">experiencing Long </w:t>
      </w:r>
      <w:r w:rsidR="00C006F0" w:rsidRPr="000A7C5F">
        <w:rPr>
          <w:szCs w:val="28"/>
        </w:rPr>
        <w:t>COVID</w:t>
      </w:r>
      <w:r w:rsidR="00996E80" w:rsidRPr="000A7C5F">
        <w:rPr>
          <w:szCs w:val="28"/>
        </w:rPr>
        <w:t xml:space="preserve"> becom</w:t>
      </w:r>
      <w:r w:rsidR="000E3EF6" w:rsidRPr="000A7C5F">
        <w:rPr>
          <w:szCs w:val="28"/>
        </w:rPr>
        <w:t>ing</w:t>
      </w:r>
      <w:r w:rsidR="00996E80" w:rsidRPr="000A7C5F">
        <w:rPr>
          <w:szCs w:val="28"/>
        </w:rPr>
        <w:t xml:space="preserve"> subject to similar disbelief </w:t>
      </w:r>
      <w:r w:rsidR="000E3EF6" w:rsidRPr="000A7C5F">
        <w:rPr>
          <w:szCs w:val="28"/>
        </w:rPr>
        <w:t>when requiring adjustments at work</w:t>
      </w:r>
      <w:r w:rsidR="00996E80" w:rsidRPr="000A7C5F">
        <w:rPr>
          <w:rStyle w:val="FootnoteReference"/>
          <w:szCs w:val="28"/>
        </w:rPr>
        <w:footnoteReference w:id="226"/>
      </w:r>
      <w:r w:rsidR="000E3EF6" w:rsidRPr="000A7C5F">
        <w:rPr>
          <w:szCs w:val="28"/>
        </w:rPr>
        <w:t>.</w:t>
      </w:r>
      <w:r w:rsidR="00996E80" w:rsidRPr="000A7C5F">
        <w:rPr>
          <w:szCs w:val="28"/>
        </w:rPr>
        <w:t xml:space="preserve"> </w:t>
      </w:r>
      <w:r w:rsidR="000E3EF6" w:rsidRPr="000A7C5F">
        <w:rPr>
          <w:szCs w:val="28"/>
        </w:rPr>
        <w:t xml:space="preserve">DDP </w:t>
      </w:r>
      <w:r w:rsidR="00996E80" w:rsidRPr="000A7C5F">
        <w:rPr>
          <w:szCs w:val="28"/>
        </w:rPr>
        <w:t>call both</w:t>
      </w:r>
      <w:r w:rsidR="004A2095" w:rsidRPr="000A7C5F">
        <w:rPr>
          <w:szCs w:val="28"/>
        </w:rPr>
        <w:t xml:space="preserve"> </w:t>
      </w:r>
      <w:r w:rsidR="000E3EF6" w:rsidRPr="000A7C5F">
        <w:rPr>
          <w:szCs w:val="28"/>
        </w:rPr>
        <w:t xml:space="preserve">for </w:t>
      </w:r>
      <w:r w:rsidR="004A2095" w:rsidRPr="000A7C5F">
        <w:rPr>
          <w:szCs w:val="28"/>
        </w:rPr>
        <w:t xml:space="preserve">a rebalancing of power to bring </w:t>
      </w:r>
      <w:r w:rsidR="000E3EF6" w:rsidRPr="000A7C5F">
        <w:rPr>
          <w:szCs w:val="28"/>
        </w:rPr>
        <w:t xml:space="preserve">health </w:t>
      </w:r>
      <w:r w:rsidR="004A2095" w:rsidRPr="000A7C5F">
        <w:rPr>
          <w:szCs w:val="28"/>
        </w:rPr>
        <w:t>service provision in line with human rights approaches</w:t>
      </w:r>
      <w:r w:rsidR="000E3EF6" w:rsidRPr="000A7C5F">
        <w:rPr>
          <w:szCs w:val="28"/>
        </w:rPr>
        <w:t xml:space="preserve"> and for greater investment in biomedical research</w:t>
      </w:r>
      <w:r w:rsidR="004A2095" w:rsidRPr="000A7C5F">
        <w:rPr>
          <w:rStyle w:val="FootnoteReference"/>
          <w:szCs w:val="28"/>
        </w:rPr>
        <w:footnoteReference w:id="227"/>
      </w:r>
      <w:r w:rsidR="004A2095" w:rsidRPr="000A7C5F">
        <w:rPr>
          <w:szCs w:val="28"/>
        </w:rPr>
        <w:t>.</w:t>
      </w:r>
      <w:r w:rsidR="00996E80" w:rsidRPr="000A7C5F">
        <w:rPr>
          <w:szCs w:val="28"/>
        </w:rPr>
        <w:t xml:space="preserve"> </w:t>
      </w:r>
    </w:p>
    <w:p w14:paraId="20DB35FD" w14:textId="77777777" w:rsidR="0083711A" w:rsidRPr="000A7C5F" w:rsidRDefault="0083711A" w:rsidP="00E739BB">
      <w:pPr>
        <w:pStyle w:val="ListParagraph"/>
        <w:rPr>
          <w:szCs w:val="28"/>
        </w:rPr>
      </w:pPr>
    </w:p>
    <w:p w14:paraId="252894A5" w14:textId="24919BA1" w:rsidR="0083711A" w:rsidRPr="000A7C5F" w:rsidRDefault="0083711A" w:rsidP="00794060">
      <w:pPr>
        <w:pStyle w:val="ListParagraph"/>
        <w:numPr>
          <w:ilvl w:val="0"/>
          <w:numId w:val="3"/>
        </w:numPr>
        <w:ind w:left="851" w:hanging="851"/>
        <w:rPr>
          <w:szCs w:val="28"/>
        </w:rPr>
      </w:pPr>
      <w:proofErr w:type="spellStart"/>
      <w:r w:rsidRPr="000A7C5F">
        <w:rPr>
          <w:szCs w:val="28"/>
        </w:rPr>
        <w:t>WeG</w:t>
      </w:r>
      <w:proofErr w:type="spellEnd"/>
      <w:r w:rsidRPr="000A7C5F">
        <w:rPr>
          <w:szCs w:val="28"/>
        </w:rPr>
        <w:t xml:space="preserve"> avoided the large scale medicine shortages that were predicted as a result of EU withdrawal</w:t>
      </w:r>
      <w:r w:rsidRPr="000A7C5F">
        <w:rPr>
          <w:rStyle w:val="FootnoteReference"/>
          <w:szCs w:val="28"/>
        </w:rPr>
        <w:footnoteReference w:id="228"/>
      </w:r>
      <w:r w:rsidRPr="000A7C5F">
        <w:rPr>
          <w:szCs w:val="28"/>
        </w:rPr>
        <w:t xml:space="preserve">. Individual DDP have </w:t>
      </w:r>
      <w:r w:rsidRPr="000A7C5F">
        <w:rPr>
          <w:szCs w:val="28"/>
        </w:rPr>
        <w:lastRenderedPageBreak/>
        <w:t>nevertheless been adversely impacted by lack of availability of specific medicines key to their health and well-being</w:t>
      </w:r>
      <w:r w:rsidRPr="000A7C5F">
        <w:rPr>
          <w:rStyle w:val="FootnoteReference"/>
          <w:szCs w:val="28"/>
        </w:rPr>
        <w:footnoteReference w:id="229"/>
      </w:r>
      <w:r w:rsidRPr="000A7C5F">
        <w:rPr>
          <w:szCs w:val="28"/>
        </w:rPr>
        <w:t>.</w:t>
      </w:r>
    </w:p>
    <w:p w14:paraId="5D29A0EB" w14:textId="77777777" w:rsidR="00AE6FC8" w:rsidRPr="000A7C5F" w:rsidRDefault="00AE6FC8" w:rsidP="00E739BB">
      <w:pPr>
        <w:pStyle w:val="ListParagraph"/>
        <w:ind w:left="851" w:hanging="851"/>
        <w:rPr>
          <w:szCs w:val="28"/>
        </w:rPr>
      </w:pPr>
    </w:p>
    <w:p w14:paraId="23ACB74F" w14:textId="25A3E1E9" w:rsidR="00AE6FC8" w:rsidRPr="000A7C5F" w:rsidRDefault="00AE6FC8" w:rsidP="00794060">
      <w:pPr>
        <w:pStyle w:val="ListParagraph"/>
        <w:numPr>
          <w:ilvl w:val="0"/>
          <w:numId w:val="3"/>
        </w:numPr>
        <w:ind w:left="851" w:hanging="851"/>
        <w:rPr>
          <w:szCs w:val="28"/>
        </w:rPr>
      </w:pPr>
      <w:r w:rsidRPr="000A7C5F">
        <w:rPr>
          <w:szCs w:val="28"/>
        </w:rPr>
        <w:t xml:space="preserve">It is complicated and difficult to obtain from health professionals the medical evidence required for </w:t>
      </w:r>
      <w:r w:rsidR="00105728" w:rsidRPr="000A7C5F">
        <w:rPr>
          <w:szCs w:val="28"/>
        </w:rPr>
        <w:t>benefit re/assessments</w:t>
      </w:r>
      <w:r w:rsidRPr="000A7C5F">
        <w:rPr>
          <w:szCs w:val="28"/>
        </w:rPr>
        <w:t>. GPs commonly charge anywhere up to £200</w:t>
      </w:r>
      <w:r w:rsidRPr="000A7C5F">
        <w:rPr>
          <w:rStyle w:val="FootnoteReference"/>
          <w:szCs w:val="28"/>
        </w:rPr>
        <w:footnoteReference w:id="230"/>
      </w:r>
      <w:r w:rsidRPr="000A7C5F">
        <w:rPr>
          <w:szCs w:val="28"/>
        </w:rPr>
        <w:t xml:space="preserve">.  Due to long waiting lists, specialists, psychiatrists and community mental health teams commonly discharge DDP between acute crises meaning there is no named professional able to provide current evidence. </w:t>
      </w:r>
      <w:r w:rsidR="00105728" w:rsidRPr="000A7C5F">
        <w:rPr>
          <w:szCs w:val="28"/>
        </w:rPr>
        <w:t>Anecdotally, t</w:t>
      </w:r>
      <w:r w:rsidRPr="000A7C5F">
        <w:rPr>
          <w:szCs w:val="28"/>
        </w:rPr>
        <w:t>his is</w:t>
      </w:r>
      <w:r w:rsidR="00105728" w:rsidRPr="000A7C5F">
        <w:rPr>
          <w:szCs w:val="28"/>
        </w:rPr>
        <w:t xml:space="preserve"> frequently</w:t>
      </w:r>
      <w:r w:rsidR="0083711A" w:rsidRPr="000A7C5F">
        <w:rPr>
          <w:szCs w:val="28"/>
        </w:rPr>
        <w:t xml:space="preserve"> </w:t>
      </w:r>
      <w:r w:rsidR="00105728" w:rsidRPr="000A7C5F">
        <w:rPr>
          <w:szCs w:val="28"/>
        </w:rPr>
        <w:t xml:space="preserve">interpreted </w:t>
      </w:r>
      <w:r w:rsidRPr="000A7C5F">
        <w:rPr>
          <w:szCs w:val="28"/>
        </w:rPr>
        <w:t xml:space="preserve">by benefit assessors </w:t>
      </w:r>
      <w:r w:rsidR="00105728" w:rsidRPr="000A7C5F">
        <w:rPr>
          <w:szCs w:val="28"/>
        </w:rPr>
        <w:t xml:space="preserve">in contravention of their own guidelines </w:t>
      </w:r>
      <w:r w:rsidRPr="000A7C5F">
        <w:rPr>
          <w:szCs w:val="28"/>
        </w:rPr>
        <w:t xml:space="preserve">to mean that the person’s condition no longer limits their ability to </w:t>
      </w:r>
      <w:r w:rsidR="0083711A" w:rsidRPr="000A7C5F">
        <w:rPr>
          <w:szCs w:val="28"/>
        </w:rPr>
        <w:t>take part in daily life/ is no longer subject to disabling barriers.</w:t>
      </w:r>
    </w:p>
    <w:p w14:paraId="0BD567A1" w14:textId="71A1E5AD" w:rsidR="009E482B" w:rsidRPr="000A7C5F" w:rsidRDefault="009E482B" w:rsidP="00BB6A41">
      <w:pPr>
        <w:pStyle w:val="ArticleHeading"/>
      </w:pPr>
      <w:r w:rsidRPr="000A7C5F">
        <w:t>Article 26 – Habilitation and Rehabilitation</w:t>
      </w:r>
    </w:p>
    <w:p w14:paraId="56B81B0A" w14:textId="5BAF8C4E" w:rsidR="00D46638" w:rsidRPr="0097165F" w:rsidRDefault="009E482B" w:rsidP="0097165F">
      <w:pPr>
        <w:pStyle w:val="ListParagraph"/>
        <w:numPr>
          <w:ilvl w:val="0"/>
          <w:numId w:val="3"/>
        </w:numPr>
        <w:ind w:left="851" w:hanging="851"/>
        <w:rPr>
          <w:szCs w:val="28"/>
        </w:rPr>
      </w:pPr>
      <w:r w:rsidRPr="000A7C5F">
        <w:rPr>
          <w:szCs w:val="28"/>
        </w:rPr>
        <w:t xml:space="preserve">Concerns regarding shortages and understanding of the need for specialist rehabilitation </w:t>
      </w:r>
      <w:r w:rsidR="00983B40" w:rsidRPr="000A7C5F">
        <w:rPr>
          <w:szCs w:val="28"/>
        </w:rPr>
        <w:t>services</w:t>
      </w:r>
      <w:r w:rsidRPr="000A7C5F">
        <w:rPr>
          <w:szCs w:val="28"/>
        </w:rPr>
        <w:t xml:space="preserve"> have been reported</w:t>
      </w:r>
      <w:r w:rsidRPr="000A7C5F">
        <w:rPr>
          <w:rStyle w:val="FootnoteReference"/>
          <w:szCs w:val="28"/>
        </w:rPr>
        <w:footnoteReference w:id="231"/>
      </w:r>
      <w:r w:rsidRPr="000A7C5F">
        <w:rPr>
          <w:szCs w:val="28"/>
        </w:rPr>
        <w:t>.</w:t>
      </w:r>
      <w:r w:rsidR="00012916" w:rsidRPr="000A7C5F">
        <w:rPr>
          <w:szCs w:val="28"/>
        </w:rPr>
        <w:t xml:space="preserve"> There is a lack of </w:t>
      </w:r>
      <w:r w:rsidR="00F33EEC" w:rsidRPr="000A7C5F">
        <w:rPr>
          <w:szCs w:val="28"/>
        </w:rPr>
        <w:t xml:space="preserve">accessible </w:t>
      </w:r>
      <w:r w:rsidR="00012916" w:rsidRPr="000A7C5F">
        <w:rPr>
          <w:szCs w:val="28"/>
        </w:rPr>
        <w:t xml:space="preserve">data on availability of </w:t>
      </w:r>
      <w:r w:rsidR="00983B40" w:rsidRPr="000A7C5F">
        <w:rPr>
          <w:szCs w:val="28"/>
        </w:rPr>
        <w:t>vision</w:t>
      </w:r>
      <w:r w:rsidR="00012916" w:rsidRPr="000A7C5F">
        <w:rPr>
          <w:szCs w:val="28"/>
        </w:rPr>
        <w:t xml:space="preserve"> rehabilitation officers.</w:t>
      </w:r>
      <w:r w:rsidR="002733D1" w:rsidRPr="000A7C5F">
        <w:rPr>
          <w:szCs w:val="28"/>
        </w:rPr>
        <w:t xml:space="preserve"> Healthwatch Birmingham investigated local visual impairment rehabilitation services</w:t>
      </w:r>
      <w:r w:rsidR="00A94107" w:rsidRPr="000A7C5F">
        <w:rPr>
          <w:szCs w:val="28"/>
        </w:rPr>
        <w:t xml:space="preserve"> in response to reports from</w:t>
      </w:r>
      <w:r w:rsidR="002733D1" w:rsidRPr="000A7C5F">
        <w:rPr>
          <w:szCs w:val="28"/>
        </w:rPr>
        <w:t xml:space="preserve"> people </w:t>
      </w:r>
      <w:r w:rsidR="00A94107" w:rsidRPr="000A7C5F">
        <w:rPr>
          <w:szCs w:val="28"/>
        </w:rPr>
        <w:t xml:space="preserve">of </w:t>
      </w:r>
      <w:r w:rsidR="002733D1" w:rsidRPr="000A7C5F">
        <w:rPr>
          <w:szCs w:val="28"/>
        </w:rPr>
        <w:t>difficulties getting care and support for sight loss and visual impairment</w:t>
      </w:r>
      <w:r w:rsidR="00AA27C2" w:rsidRPr="000A7C5F">
        <w:rPr>
          <w:rStyle w:val="FootnoteReference"/>
          <w:szCs w:val="28"/>
        </w:rPr>
        <w:footnoteReference w:id="232"/>
      </w:r>
      <w:r w:rsidR="002733D1" w:rsidRPr="000A7C5F">
        <w:rPr>
          <w:szCs w:val="28"/>
        </w:rPr>
        <w:t xml:space="preserve">. </w:t>
      </w:r>
      <w:r w:rsidR="00AA27C2" w:rsidRPr="000A7C5F">
        <w:rPr>
          <w:szCs w:val="28"/>
        </w:rPr>
        <w:t xml:space="preserve">In response to their recommendations the </w:t>
      </w:r>
      <w:r w:rsidR="00AA27C2" w:rsidRPr="000A7C5F">
        <w:rPr>
          <w:szCs w:val="28"/>
        </w:rPr>
        <w:lastRenderedPageBreak/>
        <w:t>Council committed in March 2022 to recruit an additional Visual Impairment Rehabilitation Officer</w:t>
      </w:r>
      <w:r w:rsidR="00AA27C2" w:rsidRPr="000A7C5F">
        <w:rPr>
          <w:rStyle w:val="FootnoteReference"/>
          <w:szCs w:val="28"/>
        </w:rPr>
        <w:footnoteReference w:id="233"/>
      </w:r>
      <w:r w:rsidR="00AA27C2" w:rsidRPr="000A7C5F">
        <w:rPr>
          <w:szCs w:val="28"/>
        </w:rPr>
        <w:t>.</w:t>
      </w:r>
    </w:p>
    <w:p w14:paraId="6CBE4FB1" w14:textId="1B7E25E9" w:rsidR="00664509" w:rsidRPr="000A7C5F" w:rsidRDefault="00664509" w:rsidP="00BB6A41">
      <w:pPr>
        <w:pStyle w:val="ArticleHeading"/>
      </w:pPr>
      <w:r w:rsidRPr="000A7C5F">
        <w:t>Article 27</w:t>
      </w:r>
      <w:r w:rsidR="00A07B29" w:rsidRPr="000A7C5F">
        <w:t xml:space="preserve"> </w:t>
      </w:r>
      <w:r w:rsidR="00E739BB">
        <w:t>–</w:t>
      </w:r>
      <w:r w:rsidR="00A07B29" w:rsidRPr="000A7C5F">
        <w:t xml:space="preserve"> Work and employment</w:t>
      </w:r>
    </w:p>
    <w:p w14:paraId="37919798" w14:textId="3CF71CD5" w:rsidR="00B2326F" w:rsidRPr="000A7C5F" w:rsidRDefault="00664509" w:rsidP="00794060">
      <w:pPr>
        <w:pStyle w:val="ListParagraph"/>
        <w:numPr>
          <w:ilvl w:val="0"/>
          <w:numId w:val="3"/>
        </w:numPr>
        <w:ind w:left="851" w:hanging="851"/>
        <w:rPr>
          <w:szCs w:val="28"/>
        </w:rPr>
      </w:pPr>
      <w:r w:rsidRPr="000A7C5F">
        <w:rPr>
          <w:szCs w:val="28"/>
        </w:rPr>
        <w:t xml:space="preserve">DDP </w:t>
      </w:r>
      <w:r w:rsidR="005F224F" w:rsidRPr="000A7C5F">
        <w:rPr>
          <w:szCs w:val="28"/>
        </w:rPr>
        <w:t xml:space="preserve">and DDPOs </w:t>
      </w:r>
      <w:r w:rsidRPr="000A7C5F">
        <w:rPr>
          <w:szCs w:val="28"/>
        </w:rPr>
        <w:t xml:space="preserve">report increasing barriers to both finding and sustaining employment. </w:t>
      </w:r>
      <w:proofErr w:type="spellStart"/>
      <w:r w:rsidR="009037D2" w:rsidRPr="000A7C5F">
        <w:rPr>
          <w:szCs w:val="28"/>
        </w:rPr>
        <w:t>WeG</w:t>
      </w:r>
      <w:proofErr w:type="spellEnd"/>
      <w:r w:rsidRPr="000A7C5F">
        <w:rPr>
          <w:szCs w:val="28"/>
        </w:rPr>
        <w:t xml:space="preserve"> </w:t>
      </w:r>
      <w:r w:rsidR="005F224F" w:rsidRPr="000A7C5F">
        <w:rPr>
          <w:szCs w:val="28"/>
        </w:rPr>
        <w:t>has claimed a reduction in the disability employment gap but research by leading academics shows that</w:t>
      </w:r>
      <w:r w:rsidR="00A94107" w:rsidRPr="000A7C5F">
        <w:rPr>
          <w:szCs w:val="28"/>
        </w:rPr>
        <w:t xml:space="preserve">, </w:t>
      </w:r>
      <w:r w:rsidR="005F224F" w:rsidRPr="000A7C5F">
        <w:rPr>
          <w:szCs w:val="28"/>
        </w:rPr>
        <w:t xml:space="preserve">once increased numbers in the workplace identifying as Disabled people are factored in, the disability employment </w:t>
      </w:r>
      <w:r w:rsidR="00A94107" w:rsidRPr="000A7C5F">
        <w:rPr>
          <w:szCs w:val="28"/>
        </w:rPr>
        <w:t xml:space="preserve">gap </w:t>
      </w:r>
      <w:r w:rsidR="00DB71C6" w:rsidRPr="000A7C5F">
        <w:rPr>
          <w:szCs w:val="28"/>
        </w:rPr>
        <w:t xml:space="preserve">hasn’t changed since </w:t>
      </w:r>
      <w:r w:rsidR="005F224F" w:rsidRPr="000A7C5F">
        <w:rPr>
          <w:szCs w:val="28"/>
        </w:rPr>
        <w:t>2013</w:t>
      </w:r>
      <w:r w:rsidR="005F224F" w:rsidRPr="000A7C5F">
        <w:rPr>
          <w:rStyle w:val="FootnoteReference"/>
          <w:szCs w:val="28"/>
        </w:rPr>
        <w:footnoteReference w:id="234"/>
      </w:r>
      <w:r w:rsidR="00DB71C6" w:rsidRPr="000A7C5F">
        <w:rPr>
          <w:szCs w:val="28"/>
        </w:rPr>
        <w:t>, and has even widened since the pandemic</w:t>
      </w:r>
      <w:r w:rsidR="00DB71C6" w:rsidRPr="000A7C5F">
        <w:rPr>
          <w:rStyle w:val="FootnoteReference"/>
          <w:szCs w:val="28"/>
        </w:rPr>
        <w:footnoteReference w:id="235"/>
      </w:r>
      <w:r w:rsidR="00DB71C6" w:rsidRPr="000A7C5F">
        <w:rPr>
          <w:szCs w:val="28"/>
        </w:rPr>
        <w:t>.</w:t>
      </w:r>
      <w:r w:rsidRPr="000A7C5F">
        <w:rPr>
          <w:szCs w:val="28"/>
        </w:rPr>
        <w:t xml:space="preserve"> </w:t>
      </w:r>
      <w:bookmarkStart w:id="27" w:name="_Hlk93565957"/>
    </w:p>
    <w:p w14:paraId="08A55DC5" w14:textId="77777777" w:rsidR="00A07B29" w:rsidRPr="000A7C5F" w:rsidRDefault="00A07B29" w:rsidP="00E739BB">
      <w:pPr>
        <w:pStyle w:val="ListParagraph"/>
        <w:ind w:left="735"/>
        <w:rPr>
          <w:szCs w:val="28"/>
        </w:rPr>
      </w:pPr>
    </w:p>
    <w:p w14:paraId="32D46C3F" w14:textId="606DAB15" w:rsidR="00B2326F" w:rsidRPr="000A7C5F" w:rsidRDefault="007813AD" w:rsidP="00794060">
      <w:pPr>
        <w:pStyle w:val="ListParagraph"/>
        <w:numPr>
          <w:ilvl w:val="0"/>
          <w:numId w:val="3"/>
        </w:numPr>
        <w:ind w:left="851" w:hanging="851"/>
        <w:rPr>
          <w:szCs w:val="28"/>
        </w:rPr>
      </w:pPr>
      <w:r w:rsidRPr="000A7C5F">
        <w:rPr>
          <w:szCs w:val="28"/>
        </w:rPr>
        <w:t>Disabled workers earn one fifth (20%) less than non-</w:t>
      </w:r>
      <w:r w:rsidR="00147A89" w:rsidRPr="000A7C5F">
        <w:rPr>
          <w:szCs w:val="28"/>
        </w:rPr>
        <w:t>D</w:t>
      </w:r>
      <w:r w:rsidRPr="000A7C5F">
        <w:rPr>
          <w:szCs w:val="28"/>
        </w:rPr>
        <w:t>isabled workers. Disabled women face the biggest pay gap, paid on average 36% (£3.68 an hour, or around £6,700 a year) less than non-disabled men.</w:t>
      </w:r>
      <w:bookmarkEnd w:id="27"/>
      <w:r w:rsidR="00980BB4" w:rsidRPr="000A7C5F">
        <w:rPr>
          <w:rStyle w:val="FootnoteReference"/>
          <w:szCs w:val="28"/>
        </w:rPr>
        <w:footnoteReference w:id="236"/>
      </w:r>
      <w:r w:rsidR="004B3951" w:rsidRPr="000A7C5F">
        <w:rPr>
          <w:szCs w:val="28"/>
        </w:rPr>
        <w:t xml:space="preserve"> </w:t>
      </w:r>
      <w:r w:rsidRPr="000A7C5F">
        <w:rPr>
          <w:szCs w:val="28"/>
        </w:rPr>
        <w:t xml:space="preserve">DDP are over-represented in insecure work </w:t>
      </w:r>
      <w:r w:rsidRPr="000A7C5F">
        <w:rPr>
          <w:szCs w:val="28"/>
        </w:rPr>
        <w:lastRenderedPageBreak/>
        <w:t>and zero hours contracts</w:t>
      </w:r>
      <w:r w:rsidR="00282F30" w:rsidRPr="000A7C5F">
        <w:rPr>
          <w:rStyle w:val="FootnoteReference"/>
          <w:szCs w:val="28"/>
        </w:rPr>
        <w:footnoteReference w:id="237"/>
      </w:r>
      <w:r w:rsidR="00282F30" w:rsidRPr="000A7C5F">
        <w:rPr>
          <w:szCs w:val="28"/>
        </w:rPr>
        <w:t>, where they are unable to access sick pay or disability leave and employers are less likely to make reasonable adjustments for workers on insecure contracts.</w:t>
      </w:r>
      <w:r w:rsidR="00282F30" w:rsidRPr="000A7C5F">
        <w:rPr>
          <w:rStyle w:val="FootnoteReference"/>
          <w:szCs w:val="28"/>
        </w:rPr>
        <w:footnoteReference w:id="238"/>
      </w:r>
      <w:r w:rsidR="00282F30" w:rsidRPr="000A7C5F">
        <w:rPr>
          <w:szCs w:val="28"/>
        </w:rPr>
        <w:t xml:space="preserve"> </w:t>
      </w:r>
      <w:r w:rsidR="000925AE" w:rsidRPr="000A7C5F">
        <w:rPr>
          <w:szCs w:val="28"/>
        </w:rPr>
        <w:t>More than a quarter (26 per cent) of Disabled workers are in insecure work compared to 20 per cent for non-</w:t>
      </w:r>
      <w:r w:rsidR="00147A89" w:rsidRPr="000A7C5F">
        <w:rPr>
          <w:szCs w:val="28"/>
        </w:rPr>
        <w:t>D</w:t>
      </w:r>
      <w:r w:rsidR="000925AE" w:rsidRPr="000A7C5F">
        <w:rPr>
          <w:szCs w:val="28"/>
        </w:rPr>
        <w:t>isabled workers, while 15 per cent of Disabled workers are in insecure work and earn less than the Living Wage compared to 11 per cent for non-</w:t>
      </w:r>
      <w:r w:rsidR="00147A89" w:rsidRPr="000A7C5F">
        <w:rPr>
          <w:szCs w:val="28"/>
        </w:rPr>
        <w:t>D</w:t>
      </w:r>
      <w:r w:rsidR="000925AE" w:rsidRPr="000A7C5F">
        <w:rPr>
          <w:szCs w:val="28"/>
        </w:rPr>
        <w:t>isabled workers</w:t>
      </w:r>
      <w:r w:rsidR="000925AE" w:rsidRPr="000A7C5F">
        <w:rPr>
          <w:rStyle w:val="FootnoteReference"/>
          <w:szCs w:val="28"/>
        </w:rPr>
        <w:footnoteReference w:id="239"/>
      </w:r>
      <w:r w:rsidR="000925AE" w:rsidRPr="000A7C5F">
        <w:rPr>
          <w:szCs w:val="28"/>
        </w:rPr>
        <w:t xml:space="preserve">. </w:t>
      </w:r>
      <w:r w:rsidR="00282F30" w:rsidRPr="000A7C5F">
        <w:rPr>
          <w:szCs w:val="28"/>
        </w:rPr>
        <w:t>DDP workers benefited less from home working arrangements than non-</w:t>
      </w:r>
      <w:r w:rsidR="00147A89" w:rsidRPr="000A7C5F">
        <w:rPr>
          <w:szCs w:val="28"/>
        </w:rPr>
        <w:t>D</w:t>
      </w:r>
      <w:r w:rsidR="00282F30" w:rsidRPr="000A7C5F">
        <w:rPr>
          <w:szCs w:val="28"/>
        </w:rPr>
        <w:t xml:space="preserve">isabled </w:t>
      </w:r>
      <w:r w:rsidR="00A94107" w:rsidRPr="000A7C5F">
        <w:rPr>
          <w:szCs w:val="28"/>
        </w:rPr>
        <w:t xml:space="preserve">during the pandemic </w:t>
      </w:r>
      <w:r w:rsidR="00282F30" w:rsidRPr="000A7C5F">
        <w:rPr>
          <w:szCs w:val="28"/>
        </w:rPr>
        <w:t>due to being less likely to be in managerial or professional roles</w:t>
      </w:r>
      <w:r w:rsidR="00A94107" w:rsidRPr="000A7C5F">
        <w:rPr>
          <w:szCs w:val="28"/>
        </w:rPr>
        <w:t>, yet were most at risk.</w:t>
      </w:r>
      <w:r w:rsidR="00282F30" w:rsidRPr="000A7C5F">
        <w:rPr>
          <w:rStyle w:val="FootnoteReference"/>
          <w:szCs w:val="28"/>
        </w:rPr>
        <w:footnoteReference w:id="240"/>
      </w:r>
      <w:r w:rsidR="00282F30" w:rsidRPr="000A7C5F">
        <w:rPr>
          <w:szCs w:val="28"/>
        </w:rPr>
        <w:t xml:space="preserve"> Low paid low control employment negatively impacts workers and is worse for mental health than unemployment.</w:t>
      </w:r>
      <w:r w:rsidR="00282F30" w:rsidRPr="000A7C5F">
        <w:rPr>
          <w:rStyle w:val="FootnoteReference"/>
          <w:szCs w:val="28"/>
        </w:rPr>
        <w:footnoteReference w:id="241"/>
      </w:r>
      <w:r w:rsidR="00282F30" w:rsidRPr="000A7C5F">
        <w:rPr>
          <w:szCs w:val="28"/>
        </w:rPr>
        <w:t xml:space="preserve">  </w:t>
      </w:r>
    </w:p>
    <w:p w14:paraId="100A9308" w14:textId="77777777" w:rsidR="00B2326F" w:rsidRPr="000A7C5F" w:rsidRDefault="00B2326F" w:rsidP="00E739BB">
      <w:pPr>
        <w:pStyle w:val="ListParagraph"/>
        <w:ind w:left="735"/>
        <w:rPr>
          <w:szCs w:val="28"/>
        </w:rPr>
      </w:pPr>
    </w:p>
    <w:p w14:paraId="6D51A77A" w14:textId="4D6C4B68" w:rsidR="00B2326F" w:rsidRPr="000A7C5F" w:rsidRDefault="00532EF5" w:rsidP="00794060">
      <w:pPr>
        <w:pStyle w:val="ListParagraph"/>
        <w:numPr>
          <w:ilvl w:val="0"/>
          <w:numId w:val="3"/>
        </w:numPr>
        <w:ind w:left="851" w:hanging="851"/>
        <w:rPr>
          <w:szCs w:val="28"/>
        </w:rPr>
      </w:pPr>
      <w:r w:rsidRPr="000A7C5F">
        <w:rPr>
          <w:szCs w:val="28"/>
        </w:rPr>
        <w:t xml:space="preserve">Disability discrimination in the workplace is a major issue. </w:t>
      </w:r>
      <w:r w:rsidR="007813AD" w:rsidRPr="000A7C5F">
        <w:rPr>
          <w:szCs w:val="28"/>
        </w:rPr>
        <w:t xml:space="preserve">DDP report workplace bullying in large public sector organisations such as the NHS, LAs and government departments. DWP lost more </w:t>
      </w:r>
      <w:r w:rsidR="007813AD" w:rsidRPr="000A7C5F">
        <w:rPr>
          <w:szCs w:val="28"/>
        </w:rPr>
        <w:lastRenderedPageBreak/>
        <w:t>disability discrimination cases at employment tribunal than any other employer in Britain between 2016 and 2019.</w:t>
      </w:r>
      <w:r w:rsidR="007813AD" w:rsidRPr="000A7C5F">
        <w:rPr>
          <w:rStyle w:val="FootnoteReference"/>
          <w:szCs w:val="28"/>
        </w:rPr>
        <w:footnoteReference w:id="242"/>
      </w:r>
      <w:r w:rsidR="007813AD" w:rsidRPr="000A7C5F">
        <w:rPr>
          <w:szCs w:val="28"/>
        </w:rPr>
        <w:t xml:space="preserve"> </w:t>
      </w:r>
      <w:r w:rsidR="007813AD" w:rsidRPr="000A7C5F">
        <w:rPr>
          <w:rStyle w:val="FootnoteReference"/>
          <w:szCs w:val="28"/>
        </w:rPr>
        <w:footnoteReference w:id="243"/>
      </w:r>
      <w:r w:rsidR="007813AD" w:rsidRPr="000A7C5F">
        <w:rPr>
          <w:szCs w:val="28"/>
        </w:rPr>
        <w:t xml:space="preserve"> It lost a further six between 2020-2021.</w:t>
      </w:r>
      <w:r w:rsidR="007813AD" w:rsidRPr="000A7C5F">
        <w:rPr>
          <w:rStyle w:val="FootnoteReference"/>
          <w:szCs w:val="28"/>
        </w:rPr>
        <w:footnoteReference w:id="244"/>
      </w:r>
      <w:r w:rsidR="007813AD" w:rsidRPr="000A7C5F">
        <w:rPr>
          <w:szCs w:val="28"/>
        </w:rPr>
        <w:t xml:space="preserve"> This is despite signing a legally binding agreement with EHRC to improve equality and diversity in the workplace.</w:t>
      </w:r>
      <w:r w:rsidR="007813AD" w:rsidRPr="000A7C5F">
        <w:rPr>
          <w:rStyle w:val="FootnoteReference"/>
          <w:szCs w:val="28"/>
        </w:rPr>
        <w:footnoteReference w:id="245"/>
      </w:r>
      <w:r w:rsidR="007813AD" w:rsidRPr="000A7C5F">
        <w:rPr>
          <w:szCs w:val="28"/>
        </w:rPr>
        <w:t xml:space="preserve"> Many disability discrimination cases do not make it to tribunal. Barriers include the three month one day time limit for bringing cases and the need to prove you are </w:t>
      </w:r>
      <w:r w:rsidR="00A94107" w:rsidRPr="000A7C5F">
        <w:rPr>
          <w:szCs w:val="28"/>
        </w:rPr>
        <w:t>D</w:t>
      </w:r>
      <w:r w:rsidR="007813AD" w:rsidRPr="000A7C5F">
        <w:rPr>
          <w:szCs w:val="28"/>
        </w:rPr>
        <w:t>isabled in order to be covered by the law</w:t>
      </w:r>
      <w:r w:rsidR="0075674A" w:rsidRPr="000A7C5F">
        <w:rPr>
          <w:szCs w:val="28"/>
        </w:rPr>
        <w:t xml:space="preserve">. This </w:t>
      </w:r>
      <w:r w:rsidR="007813AD" w:rsidRPr="000A7C5F">
        <w:rPr>
          <w:szCs w:val="28"/>
        </w:rPr>
        <w:t>particularly impacts on people who are neurodivergent and may never have received a formal diagnosis.</w:t>
      </w:r>
      <w:r w:rsidR="007813AD" w:rsidRPr="000A7C5F">
        <w:rPr>
          <w:rStyle w:val="FootnoteReference"/>
          <w:szCs w:val="28"/>
        </w:rPr>
        <w:footnoteReference w:id="246"/>
      </w:r>
      <w:r w:rsidR="007813AD" w:rsidRPr="000A7C5F">
        <w:rPr>
          <w:szCs w:val="28"/>
        </w:rPr>
        <w:t xml:space="preserve">    </w:t>
      </w:r>
    </w:p>
    <w:p w14:paraId="20713B73" w14:textId="77777777" w:rsidR="00DB71C6" w:rsidRPr="000A7C5F" w:rsidRDefault="00DB71C6" w:rsidP="00E739BB">
      <w:pPr>
        <w:pStyle w:val="ListParagraph"/>
        <w:rPr>
          <w:szCs w:val="28"/>
        </w:rPr>
      </w:pPr>
    </w:p>
    <w:p w14:paraId="771F3D92" w14:textId="45487807" w:rsidR="0005515E" w:rsidRPr="000A7C5F" w:rsidRDefault="0005515E" w:rsidP="00794060">
      <w:pPr>
        <w:pStyle w:val="ListParagraph"/>
        <w:numPr>
          <w:ilvl w:val="0"/>
          <w:numId w:val="3"/>
        </w:numPr>
        <w:ind w:left="851" w:hanging="851"/>
        <w:rPr>
          <w:szCs w:val="28"/>
        </w:rPr>
      </w:pPr>
      <w:r w:rsidRPr="000A7C5F">
        <w:rPr>
          <w:szCs w:val="28"/>
        </w:rPr>
        <w:t xml:space="preserve">DDP report that </w:t>
      </w:r>
      <w:proofErr w:type="spellStart"/>
      <w:r w:rsidR="00A94107" w:rsidRPr="000A7C5F">
        <w:rPr>
          <w:szCs w:val="28"/>
        </w:rPr>
        <w:t>WeG’s</w:t>
      </w:r>
      <w:proofErr w:type="spellEnd"/>
      <w:r w:rsidR="00A94107" w:rsidRPr="000A7C5F">
        <w:rPr>
          <w:szCs w:val="28"/>
        </w:rPr>
        <w:t xml:space="preserve"> </w:t>
      </w:r>
      <w:r w:rsidRPr="000A7C5F">
        <w:rPr>
          <w:szCs w:val="28"/>
        </w:rPr>
        <w:t>Access to Work disability employment scheme has become increasingly difficult to access since 2013</w:t>
      </w:r>
      <w:r w:rsidR="00AE6FC8" w:rsidRPr="000A7C5F">
        <w:rPr>
          <w:rStyle w:val="FootnoteReference"/>
          <w:szCs w:val="28"/>
        </w:rPr>
        <w:footnoteReference w:id="247"/>
      </w:r>
      <w:r w:rsidRPr="000A7C5F">
        <w:rPr>
          <w:szCs w:val="28"/>
        </w:rPr>
        <w:t xml:space="preserve">. </w:t>
      </w:r>
      <w:r w:rsidR="00AE6FC8" w:rsidRPr="000A7C5F">
        <w:rPr>
          <w:szCs w:val="28"/>
        </w:rPr>
        <w:lastRenderedPageBreak/>
        <w:t>To be eligible, DDP must work over a certain number of hours and earn over a certain threshold. DDP in self</w:t>
      </w:r>
      <w:r w:rsidR="00A94107" w:rsidRPr="000A7C5F">
        <w:rPr>
          <w:szCs w:val="28"/>
        </w:rPr>
        <w:t>-</w:t>
      </w:r>
      <w:r w:rsidR="00AE6FC8" w:rsidRPr="000A7C5F">
        <w:rPr>
          <w:szCs w:val="28"/>
        </w:rPr>
        <w:t>employment must be able to show a viable three year business plan. There is a cap on individual support packages which limits DDP with high support needs from career progression to senior roles.</w:t>
      </w:r>
      <w:r w:rsidR="00A94107" w:rsidRPr="000A7C5F">
        <w:rPr>
          <w:szCs w:val="28"/>
        </w:rPr>
        <w:t xml:space="preserve"> After initiation of a legal challenge, </w:t>
      </w:r>
      <w:proofErr w:type="spellStart"/>
      <w:r w:rsidR="00A94107" w:rsidRPr="000A7C5F">
        <w:rPr>
          <w:szCs w:val="28"/>
        </w:rPr>
        <w:t>WeG</w:t>
      </w:r>
      <w:proofErr w:type="spellEnd"/>
      <w:r w:rsidR="00A94107" w:rsidRPr="000A7C5F">
        <w:rPr>
          <w:szCs w:val="28"/>
        </w:rPr>
        <w:t xml:space="preserve"> </w:t>
      </w:r>
      <w:r w:rsidR="00075A79" w:rsidRPr="000A7C5F">
        <w:rPr>
          <w:szCs w:val="28"/>
        </w:rPr>
        <w:t>raised the cap so that fewer DDP would be affected</w:t>
      </w:r>
      <w:r w:rsidR="003F044A" w:rsidRPr="000A7C5F">
        <w:rPr>
          <w:rStyle w:val="FootnoteReference"/>
          <w:szCs w:val="28"/>
        </w:rPr>
        <w:footnoteReference w:id="248"/>
      </w:r>
      <w:r w:rsidR="00075A79" w:rsidRPr="000A7C5F">
        <w:rPr>
          <w:szCs w:val="28"/>
        </w:rPr>
        <w:t>.</w:t>
      </w:r>
    </w:p>
    <w:p w14:paraId="0489FFE8" w14:textId="77777777" w:rsidR="0005515E" w:rsidRPr="000A7C5F" w:rsidRDefault="0005515E" w:rsidP="00E739BB">
      <w:pPr>
        <w:pStyle w:val="ListParagraph"/>
        <w:ind w:left="851" w:hanging="851"/>
        <w:rPr>
          <w:szCs w:val="28"/>
        </w:rPr>
      </w:pPr>
    </w:p>
    <w:p w14:paraId="19D29B24" w14:textId="1E2E73DA" w:rsidR="0005515E" w:rsidRPr="000A7C5F" w:rsidRDefault="005F224F" w:rsidP="00794060">
      <w:pPr>
        <w:pStyle w:val="ListParagraph"/>
        <w:numPr>
          <w:ilvl w:val="0"/>
          <w:numId w:val="3"/>
        </w:numPr>
        <w:ind w:left="851" w:hanging="851"/>
        <w:rPr>
          <w:szCs w:val="28"/>
        </w:rPr>
      </w:pPr>
      <w:r w:rsidRPr="000A7C5F">
        <w:rPr>
          <w:szCs w:val="28"/>
        </w:rPr>
        <w:t xml:space="preserve">Disabled workers were over-represented among redundancies during the pandemic. </w:t>
      </w:r>
      <w:r w:rsidR="004B3951" w:rsidRPr="000A7C5F">
        <w:rPr>
          <w:szCs w:val="28"/>
        </w:rPr>
        <w:t xml:space="preserve">From </w:t>
      </w:r>
      <w:r w:rsidR="00B85C48" w:rsidRPr="000A7C5F">
        <w:rPr>
          <w:szCs w:val="28"/>
        </w:rPr>
        <w:t xml:space="preserve">July to November 2020, 21.1 per thousand </w:t>
      </w:r>
      <w:r w:rsidR="004B3951" w:rsidRPr="000A7C5F">
        <w:rPr>
          <w:szCs w:val="28"/>
        </w:rPr>
        <w:t xml:space="preserve">Disabled workers </w:t>
      </w:r>
      <w:r w:rsidR="00B85C48" w:rsidRPr="000A7C5F">
        <w:rPr>
          <w:szCs w:val="28"/>
        </w:rPr>
        <w:t>were made redundant</w:t>
      </w:r>
      <w:r w:rsidR="004B3951" w:rsidRPr="000A7C5F">
        <w:rPr>
          <w:szCs w:val="28"/>
        </w:rPr>
        <w:t xml:space="preserve"> compared to</w:t>
      </w:r>
      <w:r w:rsidR="00B85C48" w:rsidRPr="000A7C5F">
        <w:rPr>
          <w:szCs w:val="28"/>
        </w:rPr>
        <w:t xml:space="preserve"> 13.0 per thousand </w:t>
      </w:r>
      <w:r w:rsidR="004B3951" w:rsidRPr="000A7C5F">
        <w:rPr>
          <w:szCs w:val="28"/>
        </w:rPr>
        <w:t>who are non-Disabled</w:t>
      </w:r>
      <w:r w:rsidR="00B85C48" w:rsidRPr="000A7C5F">
        <w:rPr>
          <w:rStyle w:val="FootnoteReference"/>
          <w:szCs w:val="28"/>
        </w:rPr>
        <w:footnoteReference w:id="249"/>
      </w:r>
      <w:r w:rsidR="00B85C48" w:rsidRPr="000A7C5F">
        <w:rPr>
          <w:szCs w:val="28"/>
        </w:rPr>
        <w:t>.</w:t>
      </w:r>
    </w:p>
    <w:p w14:paraId="07BD19B4" w14:textId="77777777" w:rsidR="0005515E" w:rsidRPr="000A7C5F" w:rsidRDefault="0005515E" w:rsidP="00E739BB">
      <w:pPr>
        <w:pStyle w:val="ListParagraph"/>
        <w:ind w:left="851" w:hanging="851"/>
        <w:rPr>
          <w:szCs w:val="28"/>
        </w:rPr>
      </w:pPr>
    </w:p>
    <w:p w14:paraId="1B74F2F3" w14:textId="0FAB942B" w:rsidR="0005515E" w:rsidRPr="000A7C5F" w:rsidRDefault="0005515E" w:rsidP="00794060">
      <w:pPr>
        <w:pStyle w:val="ListParagraph"/>
        <w:numPr>
          <w:ilvl w:val="0"/>
          <w:numId w:val="3"/>
        </w:numPr>
        <w:ind w:left="851" w:hanging="851"/>
        <w:rPr>
          <w:szCs w:val="28"/>
        </w:rPr>
      </w:pPr>
      <w:r w:rsidRPr="000A7C5F">
        <w:rPr>
          <w:szCs w:val="28"/>
        </w:rPr>
        <w:t xml:space="preserve">DWP runs </w:t>
      </w:r>
      <w:proofErr w:type="spellStart"/>
      <w:r w:rsidRPr="000A7C5F">
        <w:rPr>
          <w:szCs w:val="28"/>
        </w:rPr>
        <w:t>WeG’s</w:t>
      </w:r>
      <w:proofErr w:type="spellEnd"/>
      <w:r w:rsidRPr="000A7C5F">
        <w:rPr>
          <w:szCs w:val="28"/>
        </w:rPr>
        <w:t xml:space="preserve"> flagship disability employment scheme, Disability Confident. It is not clear what tangible difference the scheme has made. By September 2019, 13,600 employers signed up to the scheme had promised to provide 8,763 new paid jobs and 1,903 traineeships for DDP people between them, making an average of 0.78 jobs and traineeships each despite including some of the largest employers in the country.</w:t>
      </w:r>
      <w:r w:rsidRPr="000A7C5F">
        <w:rPr>
          <w:rStyle w:val="FootnoteReference"/>
          <w:szCs w:val="28"/>
        </w:rPr>
        <w:footnoteReference w:id="250"/>
      </w:r>
      <w:r w:rsidRPr="000A7C5F">
        <w:rPr>
          <w:szCs w:val="28"/>
        </w:rPr>
        <w:t xml:space="preserve"> </w:t>
      </w:r>
    </w:p>
    <w:p w14:paraId="2F1F68B5" w14:textId="77777777" w:rsidR="00705393" w:rsidRPr="000A7C5F" w:rsidRDefault="00705393" w:rsidP="00E739BB">
      <w:pPr>
        <w:pStyle w:val="ListParagraph"/>
        <w:ind w:left="851" w:hanging="851"/>
        <w:rPr>
          <w:szCs w:val="28"/>
        </w:rPr>
      </w:pPr>
    </w:p>
    <w:p w14:paraId="2E62627C" w14:textId="2B3C7330" w:rsidR="00340C66" w:rsidRPr="000A7C5F" w:rsidRDefault="00340C66" w:rsidP="00794060">
      <w:pPr>
        <w:pStyle w:val="ListParagraph"/>
        <w:numPr>
          <w:ilvl w:val="0"/>
          <w:numId w:val="3"/>
        </w:numPr>
        <w:ind w:left="851" w:hanging="851"/>
        <w:rPr>
          <w:szCs w:val="28"/>
        </w:rPr>
      </w:pPr>
      <w:r w:rsidRPr="000A7C5F">
        <w:rPr>
          <w:szCs w:val="28"/>
        </w:rPr>
        <w:t>Anecdotally we still hear reports that DWP work coaches do not have sufficient Deaf and disability awareness and that DWP advisors repeatedly communicate with Deaf and Disabled claimants in non-accessible ways</w:t>
      </w:r>
      <w:r w:rsidRPr="000A7C5F">
        <w:rPr>
          <w:rStyle w:val="FootnoteReference"/>
          <w:szCs w:val="28"/>
        </w:rPr>
        <w:footnoteReference w:id="251"/>
      </w:r>
      <w:r w:rsidRPr="000A7C5F">
        <w:rPr>
          <w:szCs w:val="28"/>
        </w:rPr>
        <w:t>. A claimant-led project is calling for community-based employment support that is removed from the DWP and separate from the benefits system</w:t>
      </w:r>
      <w:r w:rsidRPr="000A7C5F">
        <w:rPr>
          <w:rStyle w:val="FootnoteReference"/>
          <w:szCs w:val="28"/>
        </w:rPr>
        <w:footnoteReference w:id="252"/>
      </w:r>
      <w:r w:rsidRPr="000A7C5F">
        <w:rPr>
          <w:szCs w:val="28"/>
        </w:rPr>
        <w:t>.</w:t>
      </w:r>
    </w:p>
    <w:p w14:paraId="0F68E96B" w14:textId="77777777" w:rsidR="00340C66" w:rsidRPr="000A7C5F" w:rsidRDefault="00340C66" w:rsidP="00E739BB">
      <w:pPr>
        <w:pStyle w:val="ListParagraph"/>
        <w:ind w:left="851" w:hanging="851"/>
        <w:rPr>
          <w:szCs w:val="28"/>
        </w:rPr>
      </w:pPr>
    </w:p>
    <w:p w14:paraId="39D4ADE1" w14:textId="18D06A69" w:rsidR="00705393" w:rsidRPr="000A7C5F" w:rsidRDefault="00705393" w:rsidP="00794060">
      <w:pPr>
        <w:pStyle w:val="ListParagraph"/>
        <w:numPr>
          <w:ilvl w:val="0"/>
          <w:numId w:val="3"/>
        </w:numPr>
        <w:ind w:left="851" w:hanging="851"/>
        <w:rPr>
          <w:szCs w:val="28"/>
        </w:rPr>
      </w:pPr>
      <w:r w:rsidRPr="000A7C5F">
        <w:rPr>
          <w:szCs w:val="28"/>
        </w:rPr>
        <w:t>DDPOs and allies have called for flexibilities in the qualification requirements for entry to apprenticeships in order to include people with learning difficulties</w:t>
      </w:r>
      <w:r w:rsidRPr="000A7C5F">
        <w:rPr>
          <w:rStyle w:val="FootnoteReference"/>
          <w:szCs w:val="28"/>
        </w:rPr>
        <w:footnoteReference w:id="253"/>
      </w:r>
      <w:r w:rsidRPr="000A7C5F">
        <w:rPr>
          <w:szCs w:val="28"/>
        </w:rPr>
        <w:t>.</w:t>
      </w:r>
    </w:p>
    <w:p w14:paraId="1EB83CD7" w14:textId="77777777" w:rsidR="00520C4E" w:rsidRPr="000A7C5F" w:rsidRDefault="00520C4E" w:rsidP="00E739BB">
      <w:pPr>
        <w:pStyle w:val="ListParagraph"/>
        <w:ind w:left="851" w:hanging="851"/>
        <w:rPr>
          <w:szCs w:val="28"/>
        </w:rPr>
      </w:pPr>
    </w:p>
    <w:p w14:paraId="0B3725BA" w14:textId="206FD901" w:rsidR="00520C4E" w:rsidRPr="000A7C5F" w:rsidRDefault="00520C4E" w:rsidP="00794060">
      <w:pPr>
        <w:pStyle w:val="ListParagraph"/>
        <w:numPr>
          <w:ilvl w:val="0"/>
          <w:numId w:val="3"/>
        </w:numPr>
        <w:ind w:left="851" w:hanging="851"/>
        <w:rPr>
          <w:szCs w:val="28"/>
        </w:rPr>
      </w:pPr>
      <w:r w:rsidRPr="000A7C5F">
        <w:rPr>
          <w:szCs w:val="28"/>
        </w:rPr>
        <w:t>Thousands of DDP on out of work benefits are subject to mandatory work search requirements under threat of sanctions (having their benefits stopped or reduced) for non-compliance. Sanctions have been linked to benefit deaths and harm caused to DDP</w:t>
      </w:r>
      <w:r w:rsidRPr="000A7C5F">
        <w:rPr>
          <w:rStyle w:val="FootnoteReference"/>
          <w:szCs w:val="28"/>
        </w:rPr>
        <w:footnoteReference w:id="254"/>
      </w:r>
      <w:r w:rsidRPr="000A7C5F">
        <w:rPr>
          <w:szCs w:val="28"/>
        </w:rPr>
        <w:t>. They have also been found to discriminate against DDP compared to non-Disabled job-seekers</w:t>
      </w:r>
      <w:r w:rsidRPr="000A7C5F">
        <w:rPr>
          <w:rStyle w:val="FootnoteReference"/>
          <w:szCs w:val="28"/>
        </w:rPr>
        <w:footnoteReference w:id="255"/>
      </w:r>
      <w:r w:rsidRPr="000A7C5F">
        <w:rPr>
          <w:szCs w:val="28"/>
        </w:rPr>
        <w:t xml:space="preserve">. Research found that conditionality for Deaf and Disabled job-seekers is itself literally “mad-making” and is supported by a volume of robust evidence </w:t>
      </w:r>
      <w:r w:rsidRPr="000A7C5F">
        <w:rPr>
          <w:szCs w:val="28"/>
        </w:rPr>
        <w:lastRenderedPageBreak/>
        <w:t>that it moves DDP further from employability</w:t>
      </w:r>
      <w:r w:rsidRPr="000A7C5F">
        <w:rPr>
          <w:rStyle w:val="FootnoteReference"/>
          <w:szCs w:val="28"/>
        </w:rPr>
        <w:footnoteReference w:id="256"/>
      </w:r>
      <w:r w:rsidRPr="000A7C5F">
        <w:rPr>
          <w:szCs w:val="28"/>
        </w:rPr>
        <w:t xml:space="preserve">. </w:t>
      </w:r>
      <w:r w:rsidR="00EE6C60" w:rsidRPr="00EE6C60">
        <w:rPr>
          <w:szCs w:val="28"/>
        </w:rPr>
        <w:t xml:space="preserve">A DWP </w:t>
      </w:r>
      <w:proofErr w:type="spellStart"/>
      <w:r w:rsidR="00EE6C60" w:rsidRPr="00EE6C60">
        <w:rPr>
          <w:szCs w:val="28"/>
        </w:rPr>
        <w:t>whistleblower</w:t>
      </w:r>
      <w:proofErr w:type="spellEnd"/>
      <w:r w:rsidR="00EE6C60" w:rsidRPr="00EE6C60">
        <w:rPr>
          <w:szCs w:val="28"/>
        </w:rPr>
        <w:t xml:space="preserve"> recently exposed that DDP waiting for their WCA and clearly not able to safely engage in work-related activity are being forced to attend weekly job centre meetings</w:t>
      </w:r>
      <w:r w:rsidR="00EE6C60">
        <w:rPr>
          <w:szCs w:val="28"/>
        </w:rPr>
        <w:t>.</w:t>
      </w:r>
      <w:r w:rsidR="00EE6C60">
        <w:rPr>
          <w:rStyle w:val="FootnoteReference"/>
          <w:szCs w:val="28"/>
        </w:rPr>
        <w:footnoteReference w:id="257"/>
      </w:r>
      <w:r w:rsidR="00EE6C60" w:rsidRPr="00EE6C60">
        <w:rPr>
          <w:szCs w:val="28"/>
        </w:rPr>
        <w:t xml:space="preserve"> </w:t>
      </w:r>
      <w:proofErr w:type="spellStart"/>
      <w:r w:rsidRPr="000A7C5F">
        <w:rPr>
          <w:szCs w:val="28"/>
        </w:rPr>
        <w:t>WeG</w:t>
      </w:r>
      <w:proofErr w:type="spellEnd"/>
      <w:r w:rsidRPr="000A7C5F">
        <w:rPr>
          <w:szCs w:val="28"/>
        </w:rPr>
        <w:t xml:space="preserve"> has consistently ignored calls to end conditionality for this group. DDPOs are concerned by anecdotal evidence that new claimants are not being made aware of their right to undergo assessment through a WCA for exemption from conditionality due to disability</w:t>
      </w:r>
      <w:r w:rsidRPr="000A7C5F">
        <w:rPr>
          <w:rStyle w:val="FootnoteReference"/>
          <w:szCs w:val="28"/>
        </w:rPr>
        <w:footnoteReference w:id="258"/>
      </w:r>
      <w:r w:rsidRPr="000A7C5F">
        <w:rPr>
          <w:szCs w:val="28"/>
        </w:rPr>
        <w:t xml:space="preserve">. Due to a lack of disaggregated data under UC we are not able to see how many DDP are affected in this way. </w:t>
      </w:r>
    </w:p>
    <w:p w14:paraId="5ABB55B3" w14:textId="63A036B8" w:rsidR="004B176E" w:rsidRPr="000A7C5F" w:rsidRDefault="004B176E" w:rsidP="00BB6A41">
      <w:pPr>
        <w:pStyle w:val="ArticleHeading"/>
      </w:pPr>
      <w:r w:rsidRPr="000A7C5F">
        <w:t>Article 28</w:t>
      </w:r>
      <w:r w:rsidR="00A07B29" w:rsidRPr="000A7C5F">
        <w:t xml:space="preserve"> </w:t>
      </w:r>
      <w:r w:rsidR="00E739BB">
        <w:t>–</w:t>
      </w:r>
      <w:r w:rsidR="00A07B29" w:rsidRPr="000A7C5F">
        <w:t xml:space="preserve"> Adequate standard of living and social protection</w:t>
      </w:r>
    </w:p>
    <w:p w14:paraId="5FD3A1A5" w14:textId="77777777" w:rsidR="004B176E" w:rsidRPr="000A7C5F" w:rsidRDefault="004B176E" w:rsidP="00E739BB">
      <w:pPr>
        <w:pStyle w:val="Heading3"/>
      </w:pPr>
      <w:bookmarkStart w:id="29" w:name="_Toc98504899"/>
      <w:r w:rsidRPr="000A7C5F">
        <w:t>Poverty</w:t>
      </w:r>
      <w:bookmarkEnd w:id="29"/>
    </w:p>
    <w:p w14:paraId="046D7864" w14:textId="7B51E2CD" w:rsidR="00B2326F" w:rsidRPr="000A7C5F" w:rsidRDefault="004B176E" w:rsidP="00794060">
      <w:pPr>
        <w:pStyle w:val="ListParagraph"/>
        <w:numPr>
          <w:ilvl w:val="0"/>
          <w:numId w:val="3"/>
        </w:numPr>
        <w:spacing w:before="240"/>
        <w:ind w:left="851" w:hanging="851"/>
        <w:rPr>
          <w:szCs w:val="28"/>
        </w:rPr>
      </w:pPr>
      <w:r w:rsidRPr="000A7C5F">
        <w:rPr>
          <w:szCs w:val="28"/>
        </w:rPr>
        <w:t>EHRC research into the cumulative impact of welfare reform and tax measures since 2010 found that negative impacts are particularly large for households with more Disabled members, and individuals with higher support needs.</w:t>
      </w:r>
      <w:r w:rsidRPr="000A7C5F">
        <w:rPr>
          <w:rStyle w:val="FootnoteReference"/>
          <w:szCs w:val="28"/>
        </w:rPr>
        <w:footnoteReference w:id="259"/>
      </w:r>
      <w:r w:rsidRPr="000A7C5F">
        <w:rPr>
          <w:szCs w:val="28"/>
        </w:rPr>
        <w:t xml:space="preserve"> Nearly half of those in poverty, 6.8 million people, are from families in which someone is </w:t>
      </w:r>
      <w:r w:rsidRPr="000A7C5F">
        <w:rPr>
          <w:szCs w:val="28"/>
        </w:rPr>
        <w:lastRenderedPageBreak/>
        <w:t>Disabled.</w:t>
      </w:r>
      <w:r w:rsidRPr="000A7C5F">
        <w:rPr>
          <w:vertAlign w:val="superscript"/>
        </w:rPr>
        <w:footnoteReference w:id="260"/>
      </w:r>
      <w:r w:rsidRPr="000A7C5F">
        <w:rPr>
          <w:szCs w:val="28"/>
        </w:rPr>
        <w:t xml:space="preserve"> </w:t>
      </w:r>
      <w:proofErr w:type="spellStart"/>
      <w:r w:rsidR="009037D2" w:rsidRPr="000A7C5F">
        <w:rPr>
          <w:szCs w:val="28"/>
        </w:rPr>
        <w:t>WeG</w:t>
      </w:r>
      <w:proofErr w:type="spellEnd"/>
      <w:r w:rsidRPr="000A7C5F">
        <w:rPr>
          <w:szCs w:val="28"/>
        </w:rPr>
        <w:t xml:space="preserve"> has pushed on with the roll out of UC despite evidence of severe hardship caused to claimants and </w:t>
      </w:r>
      <w:r w:rsidR="00EA2F70" w:rsidRPr="000A7C5F">
        <w:rPr>
          <w:szCs w:val="28"/>
        </w:rPr>
        <w:t xml:space="preserve">dismissed </w:t>
      </w:r>
      <w:r w:rsidRPr="000A7C5F">
        <w:rPr>
          <w:szCs w:val="28"/>
        </w:rPr>
        <w:t>concerns raised by the UN Special Poverty Rapporteur.</w:t>
      </w:r>
      <w:r w:rsidRPr="000A7C5F">
        <w:rPr>
          <w:szCs w:val="28"/>
          <w:vertAlign w:val="superscript"/>
        </w:rPr>
        <w:t xml:space="preserve"> </w:t>
      </w:r>
      <w:r w:rsidRPr="000A7C5F">
        <w:rPr>
          <w:vertAlign w:val="superscript"/>
        </w:rPr>
        <w:footnoteReference w:id="261"/>
      </w:r>
      <w:r w:rsidRPr="000A7C5F">
        <w:rPr>
          <w:szCs w:val="28"/>
        </w:rPr>
        <w:t xml:space="preserve"> </w:t>
      </w:r>
    </w:p>
    <w:p w14:paraId="0F76C365" w14:textId="77777777" w:rsidR="00A03E73" w:rsidRPr="000A7C5F" w:rsidRDefault="00A03E73" w:rsidP="00E739BB">
      <w:pPr>
        <w:pStyle w:val="ListParagraph"/>
        <w:spacing w:before="240"/>
        <w:ind w:left="851" w:hanging="851"/>
        <w:rPr>
          <w:szCs w:val="28"/>
        </w:rPr>
      </w:pPr>
    </w:p>
    <w:p w14:paraId="68A4DD66" w14:textId="3E3CCB14" w:rsidR="00B2326F" w:rsidRPr="000A7C5F" w:rsidRDefault="00EA2F70" w:rsidP="00794060">
      <w:pPr>
        <w:pStyle w:val="ListParagraph"/>
        <w:numPr>
          <w:ilvl w:val="0"/>
          <w:numId w:val="3"/>
        </w:numPr>
        <w:spacing w:before="240"/>
        <w:ind w:left="851" w:hanging="851"/>
        <w:rPr>
          <w:szCs w:val="28"/>
        </w:rPr>
      </w:pPr>
      <w:r w:rsidRPr="000A7C5F">
        <w:rPr>
          <w:szCs w:val="28"/>
        </w:rPr>
        <w:t>L</w:t>
      </w:r>
      <w:r w:rsidR="004B176E" w:rsidRPr="000A7C5F">
        <w:rPr>
          <w:szCs w:val="28"/>
        </w:rPr>
        <w:t>ow incomes set against rising inflation is a big concern for DDP.</w:t>
      </w:r>
      <w:r w:rsidR="004E689E" w:rsidRPr="000A7C5F">
        <w:rPr>
          <w:szCs w:val="28"/>
        </w:rPr>
        <w:t xml:space="preserve"> 21</w:t>
      </w:r>
      <w:r w:rsidR="004B176E" w:rsidRPr="000A7C5F">
        <w:rPr>
          <w:szCs w:val="28"/>
        </w:rPr>
        <w:t xml:space="preserve">% of </w:t>
      </w:r>
      <w:r w:rsidRPr="000A7C5F">
        <w:rPr>
          <w:szCs w:val="28"/>
        </w:rPr>
        <w:t xml:space="preserve">respondents to our survey </w:t>
      </w:r>
      <w:r w:rsidR="004B176E" w:rsidRPr="000A7C5F">
        <w:rPr>
          <w:szCs w:val="28"/>
        </w:rPr>
        <w:t>(72 out of 351) raised th</w:t>
      </w:r>
      <w:r w:rsidR="00733851" w:rsidRPr="000A7C5F">
        <w:rPr>
          <w:szCs w:val="28"/>
        </w:rPr>
        <w:t>is</w:t>
      </w:r>
      <w:r w:rsidR="004B176E" w:rsidRPr="000A7C5F">
        <w:rPr>
          <w:szCs w:val="28"/>
        </w:rPr>
        <w:t xml:space="preserve"> issue</w:t>
      </w:r>
      <w:r w:rsidR="00733851" w:rsidRPr="000A7C5F">
        <w:rPr>
          <w:szCs w:val="28"/>
        </w:rPr>
        <w:t xml:space="preserve"> with some attributing it to Brexit</w:t>
      </w:r>
      <w:r w:rsidR="00733851" w:rsidRPr="000A7C5F">
        <w:rPr>
          <w:rStyle w:val="FootnoteReference"/>
          <w:szCs w:val="28"/>
        </w:rPr>
        <w:footnoteReference w:id="262"/>
      </w:r>
      <w:r w:rsidR="004B176E" w:rsidRPr="000A7C5F">
        <w:rPr>
          <w:szCs w:val="28"/>
        </w:rPr>
        <w:t xml:space="preserve">. </w:t>
      </w:r>
      <w:r w:rsidR="008D6A2A" w:rsidRPr="000A7C5F">
        <w:rPr>
          <w:szCs w:val="28"/>
        </w:rPr>
        <w:t>T</w:t>
      </w:r>
      <w:r w:rsidR="004B176E" w:rsidRPr="000A7C5F">
        <w:rPr>
          <w:szCs w:val="28"/>
        </w:rPr>
        <w:t xml:space="preserve">he four year benefit freeze </w:t>
      </w:r>
      <w:r w:rsidR="008D6A2A" w:rsidRPr="000A7C5F">
        <w:rPr>
          <w:szCs w:val="28"/>
        </w:rPr>
        <w:t xml:space="preserve">(2016 – </w:t>
      </w:r>
      <w:r w:rsidR="004B176E" w:rsidRPr="000A7C5F">
        <w:rPr>
          <w:szCs w:val="28"/>
        </w:rPr>
        <w:t>2020</w:t>
      </w:r>
      <w:r w:rsidR="008D6A2A" w:rsidRPr="000A7C5F">
        <w:rPr>
          <w:szCs w:val="28"/>
        </w:rPr>
        <w:t>)</w:t>
      </w:r>
      <w:r w:rsidR="004B176E" w:rsidRPr="000A7C5F">
        <w:rPr>
          <w:szCs w:val="28"/>
        </w:rPr>
        <w:t xml:space="preserve"> affected 27 million people while sweeping another 400,000 into poverty.</w:t>
      </w:r>
      <w:r w:rsidR="004B176E" w:rsidRPr="000A7C5F">
        <w:rPr>
          <w:rStyle w:val="FootnoteReference"/>
          <w:szCs w:val="28"/>
        </w:rPr>
        <w:footnoteReference w:id="263"/>
      </w:r>
      <w:r w:rsidR="004B176E" w:rsidRPr="000A7C5F">
        <w:rPr>
          <w:szCs w:val="28"/>
        </w:rPr>
        <w:t xml:space="preserve"> </w:t>
      </w:r>
    </w:p>
    <w:p w14:paraId="17CE7736" w14:textId="77777777" w:rsidR="00B2326F" w:rsidRPr="000A7C5F" w:rsidRDefault="00B2326F" w:rsidP="00E739BB">
      <w:pPr>
        <w:pStyle w:val="ListParagraph"/>
        <w:rPr>
          <w:szCs w:val="28"/>
        </w:rPr>
      </w:pPr>
    </w:p>
    <w:p w14:paraId="1B124158" w14:textId="138E24B3" w:rsidR="00B2326F" w:rsidRPr="000A7C5F" w:rsidRDefault="00567ED6" w:rsidP="00794060">
      <w:pPr>
        <w:pStyle w:val="ListParagraph"/>
        <w:numPr>
          <w:ilvl w:val="0"/>
          <w:numId w:val="3"/>
        </w:numPr>
        <w:spacing w:before="240"/>
        <w:ind w:left="851" w:hanging="851"/>
        <w:rPr>
          <w:szCs w:val="28"/>
        </w:rPr>
      </w:pPr>
      <w:r w:rsidRPr="000A7C5F">
        <w:rPr>
          <w:szCs w:val="28"/>
        </w:rPr>
        <w:t xml:space="preserve">Use of foodbanks and homelessness have both increased amongst DDP.  More than six in ten (62%) working-age people referred to food banks in early 2020 were </w:t>
      </w:r>
      <w:r w:rsidR="003F044A" w:rsidRPr="000A7C5F">
        <w:rPr>
          <w:szCs w:val="28"/>
        </w:rPr>
        <w:t>D</w:t>
      </w:r>
      <w:r w:rsidRPr="000A7C5F">
        <w:rPr>
          <w:szCs w:val="28"/>
        </w:rPr>
        <w:t>isabled. Of those households referred to food banks over this period, those affected by disability were generally in greater levels of debt.</w:t>
      </w:r>
      <w:r w:rsidR="003F044A" w:rsidRPr="000A7C5F">
        <w:rPr>
          <w:szCs w:val="28"/>
        </w:rPr>
        <w:t xml:space="preserve"> </w:t>
      </w:r>
      <w:r w:rsidRPr="000A7C5F">
        <w:rPr>
          <w:szCs w:val="28"/>
        </w:rPr>
        <w:t xml:space="preserve">23% </w:t>
      </w:r>
      <w:r w:rsidR="003F044A" w:rsidRPr="000A7C5F">
        <w:rPr>
          <w:szCs w:val="28"/>
        </w:rPr>
        <w:t>house</w:t>
      </w:r>
      <w:r w:rsidRPr="000A7C5F">
        <w:rPr>
          <w:szCs w:val="28"/>
        </w:rPr>
        <w:t>holds referred to food banks</w:t>
      </w:r>
      <w:r w:rsidR="003F044A" w:rsidRPr="000A7C5F">
        <w:rPr>
          <w:szCs w:val="28"/>
        </w:rPr>
        <w:t xml:space="preserve"> </w:t>
      </w:r>
      <w:r w:rsidRPr="000A7C5F">
        <w:rPr>
          <w:szCs w:val="28"/>
        </w:rPr>
        <w:t>were losing more than a quarter of their income on repaying debt or loans, compared to 14% among households not affected by disability</w:t>
      </w:r>
      <w:r w:rsidR="003F044A" w:rsidRPr="000A7C5F">
        <w:rPr>
          <w:szCs w:val="28"/>
        </w:rPr>
        <w:t xml:space="preserve">. </w:t>
      </w:r>
      <w:r w:rsidRPr="000A7C5F">
        <w:rPr>
          <w:szCs w:val="28"/>
        </w:rPr>
        <w:t xml:space="preserve">41% of </w:t>
      </w:r>
      <w:r w:rsidR="003F044A" w:rsidRPr="000A7C5F">
        <w:rPr>
          <w:szCs w:val="28"/>
        </w:rPr>
        <w:t>D</w:t>
      </w:r>
      <w:r w:rsidRPr="000A7C5F">
        <w:rPr>
          <w:szCs w:val="28"/>
        </w:rPr>
        <w:t>isabled people were in debt to the DWP.</w:t>
      </w:r>
      <w:r w:rsidRPr="000A7C5F">
        <w:rPr>
          <w:rStyle w:val="FootnoteReference"/>
          <w:szCs w:val="28"/>
        </w:rPr>
        <w:footnoteReference w:id="264"/>
      </w:r>
      <w:r w:rsidRPr="000A7C5F">
        <w:rPr>
          <w:szCs w:val="28"/>
        </w:rPr>
        <w:t xml:space="preserve"> From April to June 2021, there were 30,900 homeless </w:t>
      </w:r>
      <w:r w:rsidRPr="000A7C5F">
        <w:rPr>
          <w:szCs w:val="28"/>
        </w:rPr>
        <w:lastRenderedPageBreak/>
        <w:t xml:space="preserve">households containing a </w:t>
      </w:r>
      <w:r w:rsidR="003F044A" w:rsidRPr="000A7C5F">
        <w:rPr>
          <w:szCs w:val="28"/>
        </w:rPr>
        <w:t>D</w:t>
      </w:r>
      <w:r w:rsidRPr="000A7C5F">
        <w:rPr>
          <w:szCs w:val="28"/>
        </w:rPr>
        <w:t>isabled member. This represents a rise of 10.95% compared to the same three month period in 2019. These figures only pertain to households eligible for temporary housing from authorities.</w:t>
      </w:r>
      <w:r w:rsidRPr="000A7C5F">
        <w:rPr>
          <w:rStyle w:val="FootnoteReference"/>
          <w:szCs w:val="28"/>
        </w:rPr>
        <w:footnoteReference w:id="265"/>
      </w:r>
    </w:p>
    <w:p w14:paraId="1AC1DF01" w14:textId="77777777" w:rsidR="004C611C" w:rsidRPr="000A7C5F" w:rsidRDefault="004C611C" w:rsidP="00E739BB">
      <w:pPr>
        <w:pStyle w:val="ListParagraph"/>
        <w:ind w:left="851" w:hanging="851"/>
        <w:rPr>
          <w:szCs w:val="28"/>
        </w:rPr>
      </w:pPr>
    </w:p>
    <w:p w14:paraId="16858166" w14:textId="3F7C706D" w:rsidR="004C611C" w:rsidRPr="000A7C5F" w:rsidRDefault="004C611C" w:rsidP="00794060">
      <w:pPr>
        <w:pStyle w:val="ListParagraph"/>
        <w:numPr>
          <w:ilvl w:val="0"/>
          <w:numId w:val="3"/>
        </w:numPr>
        <w:spacing w:before="240"/>
        <w:ind w:left="851" w:hanging="851"/>
        <w:rPr>
          <w:szCs w:val="28"/>
        </w:rPr>
      </w:pPr>
      <w:r w:rsidRPr="000A7C5F">
        <w:rPr>
          <w:szCs w:val="28"/>
        </w:rPr>
        <w:t>Assessment criteria for Personal Independence Payments (PIP) – a benefit intended to cover the extra costs of disability – are unsuitable for people with certain conditions and needs, for example people with fluctuating conditions such as ELCI and</w:t>
      </w:r>
      <w:r w:rsidR="00802D33">
        <w:rPr>
          <w:szCs w:val="28"/>
        </w:rPr>
        <w:t xml:space="preserve"> mental distress</w:t>
      </w:r>
      <w:r w:rsidRPr="000A7C5F">
        <w:rPr>
          <w:rStyle w:val="FootnoteReference"/>
          <w:szCs w:val="28"/>
        </w:rPr>
        <w:footnoteReference w:id="266"/>
      </w:r>
      <w:r w:rsidRPr="000A7C5F">
        <w:rPr>
          <w:szCs w:val="28"/>
        </w:rPr>
        <w:t xml:space="preserve">.  </w:t>
      </w:r>
    </w:p>
    <w:p w14:paraId="26619F51" w14:textId="77777777" w:rsidR="00B2326F" w:rsidRPr="000A7C5F" w:rsidRDefault="00B2326F" w:rsidP="00E739BB">
      <w:pPr>
        <w:pStyle w:val="ListParagraph"/>
        <w:ind w:left="851" w:hanging="851"/>
        <w:rPr>
          <w:szCs w:val="28"/>
        </w:rPr>
      </w:pPr>
    </w:p>
    <w:p w14:paraId="38E11A79" w14:textId="2B7E9231" w:rsidR="003802C4" w:rsidRPr="000A7C5F" w:rsidRDefault="008D6A2A" w:rsidP="00794060">
      <w:pPr>
        <w:pStyle w:val="ListParagraph"/>
        <w:numPr>
          <w:ilvl w:val="0"/>
          <w:numId w:val="3"/>
        </w:numPr>
        <w:spacing w:before="240"/>
        <w:ind w:left="851" w:hanging="851"/>
        <w:rPr>
          <w:szCs w:val="28"/>
        </w:rPr>
      </w:pPr>
      <w:r w:rsidRPr="000A7C5F">
        <w:rPr>
          <w:szCs w:val="28"/>
        </w:rPr>
        <w:t xml:space="preserve">In March 2020, </w:t>
      </w:r>
      <w:proofErr w:type="spellStart"/>
      <w:r w:rsidR="009037D2" w:rsidRPr="000A7C5F">
        <w:rPr>
          <w:szCs w:val="28"/>
        </w:rPr>
        <w:t>WeG</w:t>
      </w:r>
      <w:proofErr w:type="spellEnd"/>
      <w:r w:rsidRPr="000A7C5F">
        <w:rPr>
          <w:szCs w:val="28"/>
        </w:rPr>
        <w:t xml:space="preserve"> introduced a temporary increase </w:t>
      </w:r>
      <w:r w:rsidR="00A03E73" w:rsidRPr="000A7C5F">
        <w:rPr>
          <w:szCs w:val="28"/>
        </w:rPr>
        <w:t>t</w:t>
      </w:r>
      <w:r w:rsidRPr="000A7C5F">
        <w:rPr>
          <w:szCs w:val="28"/>
        </w:rPr>
        <w:t>o</w:t>
      </w:r>
      <w:r w:rsidR="00A03E73" w:rsidRPr="000A7C5F">
        <w:rPr>
          <w:szCs w:val="28"/>
        </w:rPr>
        <w:t xml:space="preserve"> UC o</w:t>
      </w:r>
      <w:r w:rsidRPr="000A7C5F">
        <w:rPr>
          <w:szCs w:val="28"/>
        </w:rPr>
        <w:t>f £20 per week</w:t>
      </w:r>
      <w:r w:rsidR="00412A77" w:rsidRPr="000A7C5F">
        <w:rPr>
          <w:rStyle w:val="FootnoteReference"/>
          <w:szCs w:val="28"/>
        </w:rPr>
        <w:footnoteReference w:id="267"/>
      </w:r>
      <w:r w:rsidRPr="000A7C5F">
        <w:rPr>
          <w:szCs w:val="28"/>
        </w:rPr>
        <w:t xml:space="preserve">. This was not applied to over 2.2 million legacy benefit claimants, three quarters of whom are Disabled. </w:t>
      </w:r>
      <w:r w:rsidR="00892CF4" w:rsidRPr="000A7C5F">
        <w:rPr>
          <w:szCs w:val="28"/>
        </w:rPr>
        <w:t>Many of these needed to shield and as a result their essential expenditure increased considerably during the pandemic</w:t>
      </w:r>
      <w:r w:rsidR="00B72255" w:rsidRPr="000A7C5F">
        <w:rPr>
          <w:szCs w:val="28"/>
        </w:rPr>
        <w:t>, for example, for the purchase of PPE, through increased energy costs and due to online delivery fees.</w:t>
      </w:r>
      <w:r w:rsidR="00B72255" w:rsidRPr="000A7C5F">
        <w:rPr>
          <w:rStyle w:val="FootnoteReference"/>
          <w:szCs w:val="28"/>
        </w:rPr>
        <w:footnoteReference w:id="268"/>
      </w:r>
      <w:r w:rsidR="00892CF4" w:rsidRPr="000A7C5F">
        <w:rPr>
          <w:szCs w:val="28"/>
        </w:rPr>
        <w:t xml:space="preserve"> </w:t>
      </w:r>
    </w:p>
    <w:p w14:paraId="2EC165EE" w14:textId="77777777" w:rsidR="003802C4" w:rsidRPr="000A7C5F" w:rsidRDefault="003802C4" w:rsidP="00E739BB">
      <w:pPr>
        <w:pStyle w:val="ListParagraph"/>
        <w:rPr>
          <w:szCs w:val="28"/>
        </w:rPr>
      </w:pPr>
    </w:p>
    <w:p w14:paraId="29423637" w14:textId="5682911D" w:rsidR="003802C4" w:rsidRPr="000A7C5F" w:rsidRDefault="003802C4" w:rsidP="00794060">
      <w:pPr>
        <w:pStyle w:val="ListParagraph"/>
        <w:numPr>
          <w:ilvl w:val="0"/>
          <w:numId w:val="3"/>
        </w:numPr>
        <w:spacing w:before="240"/>
        <w:ind w:left="851" w:hanging="851"/>
        <w:rPr>
          <w:szCs w:val="28"/>
        </w:rPr>
      </w:pPr>
      <w:r w:rsidRPr="000A7C5F">
        <w:rPr>
          <w:szCs w:val="28"/>
        </w:rPr>
        <w:t>In a survey of 1,800 benefit claimants more than three quarters (78</w:t>
      </w:r>
      <w:r w:rsidR="00A03E73" w:rsidRPr="000A7C5F">
        <w:rPr>
          <w:szCs w:val="28"/>
        </w:rPr>
        <w:t>%</w:t>
      </w:r>
      <w:r w:rsidRPr="000A7C5F">
        <w:rPr>
          <w:szCs w:val="28"/>
        </w:rPr>
        <w:t xml:space="preserve">) said their financial situation was ‘worse’ compared to at the </w:t>
      </w:r>
      <w:r w:rsidRPr="000A7C5F">
        <w:rPr>
          <w:szCs w:val="28"/>
        </w:rPr>
        <w:lastRenderedPageBreak/>
        <w:t>start of the pandemic; half (52</w:t>
      </w:r>
      <w:r w:rsidR="00A03E73" w:rsidRPr="000A7C5F">
        <w:rPr>
          <w:szCs w:val="28"/>
        </w:rPr>
        <w:t>%</w:t>
      </w:r>
      <w:r w:rsidRPr="000A7C5F">
        <w:rPr>
          <w:szCs w:val="28"/>
        </w:rPr>
        <w:t>) were spending ‘significantly more’ on household bills and utilities than they were before the pandemic; 67% were struggling to eat a balanced diet, 67% were struggling to pay bills and just under half (46</w:t>
      </w:r>
      <w:r w:rsidR="00A03E73" w:rsidRPr="000A7C5F">
        <w:rPr>
          <w:szCs w:val="28"/>
        </w:rPr>
        <w:t>%</w:t>
      </w:r>
      <w:r w:rsidRPr="000A7C5F">
        <w:rPr>
          <w:szCs w:val="28"/>
        </w:rPr>
        <w:t xml:space="preserve">) </w:t>
      </w:r>
      <w:r w:rsidR="00A03E73" w:rsidRPr="000A7C5F">
        <w:rPr>
          <w:szCs w:val="28"/>
        </w:rPr>
        <w:t>we</w:t>
      </w:r>
      <w:r w:rsidRPr="000A7C5F">
        <w:rPr>
          <w:szCs w:val="28"/>
        </w:rPr>
        <w:t>re falling behind on rent or mortgage payments</w:t>
      </w:r>
      <w:r w:rsidR="003A4373" w:rsidRPr="000A7C5F">
        <w:rPr>
          <w:rStyle w:val="FootnoteReference"/>
          <w:szCs w:val="28"/>
        </w:rPr>
        <w:footnoteReference w:id="269"/>
      </w:r>
      <w:r w:rsidRPr="000A7C5F">
        <w:rPr>
          <w:szCs w:val="28"/>
        </w:rPr>
        <w:t>. Personal testimonies shared by legacy benefit claimants included experiences from families unable to wash or do laundry regularly.</w:t>
      </w:r>
      <w:r w:rsidR="003A4373" w:rsidRPr="000A7C5F">
        <w:rPr>
          <w:rStyle w:val="FootnoteReference"/>
          <w:szCs w:val="28"/>
        </w:rPr>
        <w:footnoteReference w:id="270"/>
      </w:r>
    </w:p>
    <w:p w14:paraId="6C26B0F2" w14:textId="77777777" w:rsidR="003802C4" w:rsidRPr="000A7C5F" w:rsidRDefault="003802C4" w:rsidP="00E739BB">
      <w:pPr>
        <w:pStyle w:val="ListParagraph"/>
        <w:ind w:left="851" w:hanging="851"/>
        <w:rPr>
          <w:szCs w:val="28"/>
        </w:rPr>
      </w:pPr>
    </w:p>
    <w:p w14:paraId="399AF0DD" w14:textId="0565B0F4" w:rsidR="00B2326F" w:rsidRPr="000A7C5F" w:rsidRDefault="00067765" w:rsidP="00794060">
      <w:pPr>
        <w:pStyle w:val="ListParagraph"/>
        <w:numPr>
          <w:ilvl w:val="0"/>
          <w:numId w:val="3"/>
        </w:numPr>
        <w:spacing w:before="240"/>
        <w:ind w:left="851" w:hanging="851"/>
        <w:rPr>
          <w:szCs w:val="28"/>
        </w:rPr>
      </w:pPr>
      <w:r w:rsidRPr="000A7C5F">
        <w:rPr>
          <w:szCs w:val="28"/>
        </w:rPr>
        <w:t>The Chancellor of the Exchequer explained that this was because the uplift was for people “in work”</w:t>
      </w:r>
      <w:r w:rsidR="00D12DCB" w:rsidRPr="000A7C5F">
        <w:rPr>
          <w:rStyle w:val="FootnoteReference"/>
          <w:szCs w:val="28"/>
        </w:rPr>
        <w:footnoteReference w:id="271"/>
      </w:r>
      <w:r w:rsidRPr="000A7C5F">
        <w:rPr>
          <w:szCs w:val="28"/>
        </w:rPr>
        <w:t xml:space="preserve">. This fuelled a view among DDP that </w:t>
      </w:r>
      <w:proofErr w:type="spellStart"/>
      <w:r w:rsidRPr="000A7C5F">
        <w:rPr>
          <w:szCs w:val="28"/>
        </w:rPr>
        <w:t>WeG</w:t>
      </w:r>
      <w:proofErr w:type="spellEnd"/>
      <w:r w:rsidRPr="000A7C5F">
        <w:rPr>
          <w:szCs w:val="28"/>
        </w:rPr>
        <w:t xml:space="preserve"> does not value their lives</w:t>
      </w:r>
      <w:r w:rsidRPr="000A7C5F">
        <w:rPr>
          <w:rStyle w:val="FootnoteReference"/>
          <w:szCs w:val="28"/>
        </w:rPr>
        <w:footnoteReference w:id="272"/>
      </w:r>
      <w:r w:rsidRPr="000A7C5F">
        <w:rPr>
          <w:szCs w:val="28"/>
        </w:rPr>
        <w:t>.</w:t>
      </w:r>
      <w:r w:rsidR="00567ED6" w:rsidRPr="000A7C5F">
        <w:rPr>
          <w:szCs w:val="28"/>
        </w:rPr>
        <w:t xml:space="preserve"> </w:t>
      </w:r>
      <w:r w:rsidR="00673817" w:rsidRPr="000A7C5F">
        <w:rPr>
          <w:szCs w:val="28"/>
        </w:rPr>
        <w:t xml:space="preserve">The Chancellor responded to an interview question from ITV’s Martin Lewis about extra help for those on legacy benefits by saying: "The original rationale for doing the temporary uplift in universal credit was to help those on low incomes. People who were in work but whose incomes were going to be affected by the crisis. It's universal credit and working tax credit that are the benefits that capture the </w:t>
      </w:r>
      <w:r w:rsidR="00673817" w:rsidRPr="000A7C5F">
        <w:rPr>
          <w:szCs w:val="28"/>
        </w:rPr>
        <w:lastRenderedPageBreak/>
        <w:t>vast, vast, vast majority if not all of those people. The legacy benefits don't do that."</w:t>
      </w:r>
      <w:r w:rsidR="00673817" w:rsidRPr="000A7C5F">
        <w:rPr>
          <w:rStyle w:val="FootnoteReference"/>
          <w:szCs w:val="28"/>
        </w:rPr>
        <w:footnoteReference w:id="273"/>
      </w:r>
    </w:p>
    <w:p w14:paraId="0817231C" w14:textId="77777777" w:rsidR="00B2326F" w:rsidRPr="000A7C5F" w:rsidRDefault="00B2326F" w:rsidP="00E739BB">
      <w:pPr>
        <w:pStyle w:val="ListParagraph"/>
        <w:rPr>
          <w:szCs w:val="28"/>
        </w:rPr>
      </w:pPr>
    </w:p>
    <w:p w14:paraId="584217A5" w14:textId="3B4135CA" w:rsidR="00B2326F" w:rsidRPr="000A7C5F" w:rsidRDefault="00567ED6" w:rsidP="00794060">
      <w:pPr>
        <w:pStyle w:val="ListParagraph"/>
        <w:numPr>
          <w:ilvl w:val="0"/>
          <w:numId w:val="3"/>
        </w:numPr>
        <w:spacing w:before="240"/>
        <w:ind w:left="851" w:hanging="851"/>
        <w:rPr>
          <w:szCs w:val="28"/>
        </w:rPr>
      </w:pPr>
      <w:r w:rsidRPr="000A7C5F">
        <w:rPr>
          <w:szCs w:val="28"/>
        </w:rPr>
        <w:t>Even after the uplift, UC represented just 43.4% of the minimum income required for a decent standard of living, and 33.9% without.</w:t>
      </w:r>
      <w:r w:rsidRPr="000A7C5F">
        <w:rPr>
          <w:rStyle w:val="FootnoteReference"/>
          <w:szCs w:val="28"/>
        </w:rPr>
        <w:footnoteReference w:id="274"/>
      </w:r>
      <w:r w:rsidRPr="000A7C5F">
        <w:rPr>
          <w:szCs w:val="28"/>
        </w:rPr>
        <w:t xml:space="preserve"> Despite widespread opposition, </w:t>
      </w:r>
      <w:proofErr w:type="spellStart"/>
      <w:r w:rsidR="009037D2" w:rsidRPr="000A7C5F">
        <w:rPr>
          <w:szCs w:val="28"/>
        </w:rPr>
        <w:t>WeG</w:t>
      </w:r>
      <w:proofErr w:type="spellEnd"/>
      <w:r w:rsidRPr="000A7C5F">
        <w:rPr>
          <w:szCs w:val="28"/>
        </w:rPr>
        <w:t xml:space="preserve"> removed the uplift on 30 September 2021.</w:t>
      </w:r>
      <w:r w:rsidRPr="000A7C5F">
        <w:rPr>
          <w:rStyle w:val="FootnoteReference"/>
          <w:szCs w:val="28"/>
        </w:rPr>
        <w:footnoteReference w:id="275"/>
      </w:r>
    </w:p>
    <w:p w14:paraId="7A920960" w14:textId="77777777" w:rsidR="00B2326F" w:rsidRPr="000A7C5F" w:rsidRDefault="00B2326F" w:rsidP="00E739BB">
      <w:pPr>
        <w:pStyle w:val="ListParagraph"/>
        <w:ind w:left="851" w:hanging="851"/>
        <w:rPr>
          <w:szCs w:val="28"/>
        </w:rPr>
      </w:pPr>
    </w:p>
    <w:p w14:paraId="1DF86E48" w14:textId="1D6FFE6B" w:rsidR="00892CF4" w:rsidRPr="000A7C5F" w:rsidRDefault="00892CF4" w:rsidP="00794060">
      <w:pPr>
        <w:pStyle w:val="ListParagraph"/>
        <w:numPr>
          <w:ilvl w:val="0"/>
          <w:numId w:val="3"/>
        </w:numPr>
        <w:spacing w:before="240"/>
        <w:ind w:left="851" w:hanging="851"/>
        <w:rPr>
          <w:szCs w:val="28"/>
        </w:rPr>
      </w:pPr>
      <w:r w:rsidRPr="000A7C5F">
        <w:rPr>
          <w:szCs w:val="28"/>
        </w:rPr>
        <w:t xml:space="preserve">One of </w:t>
      </w:r>
      <w:proofErr w:type="spellStart"/>
      <w:r w:rsidR="009037D2" w:rsidRPr="000A7C5F">
        <w:rPr>
          <w:szCs w:val="28"/>
        </w:rPr>
        <w:t>WeG</w:t>
      </w:r>
      <w:r w:rsidRPr="000A7C5F">
        <w:rPr>
          <w:szCs w:val="28"/>
        </w:rPr>
        <w:t>’s</w:t>
      </w:r>
      <w:proofErr w:type="spellEnd"/>
      <w:r w:rsidRPr="000A7C5F">
        <w:rPr>
          <w:szCs w:val="28"/>
        </w:rPr>
        <w:t xml:space="preserve"> reasons for not extending the uplift to legacy benefits was that DDP could just move onto</w:t>
      </w:r>
      <w:r w:rsidR="00A03E73" w:rsidRPr="000A7C5F">
        <w:rPr>
          <w:szCs w:val="28"/>
        </w:rPr>
        <w:t xml:space="preserve"> UC</w:t>
      </w:r>
      <w:r w:rsidRPr="000A7C5F">
        <w:rPr>
          <w:szCs w:val="28"/>
        </w:rPr>
        <w:t xml:space="preserve">. This overlooks the fact that many DDP </w:t>
      </w:r>
      <w:r w:rsidR="00D12DCB" w:rsidRPr="000A7C5F">
        <w:rPr>
          <w:szCs w:val="28"/>
        </w:rPr>
        <w:t>are</w:t>
      </w:r>
      <w:r w:rsidRPr="000A7C5F">
        <w:rPr>
          <w:szCs w:val="28"/>
        </w:rPr>
        <w:t xml:space="preserve"> worse off under UC. Neither the Severe Disability Premium not the Enhanced Disability Premium exist under UC. Two disabled men won a legal challenge against </w:t>
      </w:r>
      <w:proofErr w:type="spellStart"/>
      <w:r w:rsidR="009037D2" w:rsidRPr="000A7C5F">
        <w:rPr>
          <w:szCs w:val="28"/>
        </w:rPr>
        <w:t>WeG</w:t>
      </w:r>
      <w:proofErr w:type="spellEnd"/>
      <w:r w:rsidRPr="000A7C5F">
        <w:rPr>
          <w:szCs w:val="28"/>
        </w:rPr>
        <w:t xml:space="preserve"> concerning the loss of £180 per month for DDP in this situation</w:t>
      </w:r>
      <w:r w:rsidR="008357CC" w:rsidRPr="000A7C5F">
        <w:rPr>
          <w:rStyle w:val="FootnoteReference"/>
          <w:szCs w:val="28"/>
        </w:rPr>
        <w:footnoteReference w:id="276"/>
      </w:r>
      <w:r w:rsidRPr="000A7C5F">
        <w:rPr>
          <w:szCs w:val="28"/>
        </w:rPr>
        <w:t xml:space="preserve">. </w:t>
      </w:r>
      <w:r w:rsidRPr="000A7C5F">
        <w:rPr>
          <w:szCs w:val="28"/>
        </w:rPr>
        <w:lastRenderedPageBreak/>
        <w:t>DWP resisted fully compensating DDP for their losses resulting in a further t</w:t>
      </w:r>
      <w:r w:rsidR="002C487E" w:rsidRPr="000A7C5F">
        <w:rPr>
          <w:szCs w:val="28"/>
        </w:rPr>
        <w:t>hree</w:t>
      </w:r>
      <w:r w:rsidRPr="000A7C5F">
        <w:rPr>
          <w:szCs w:val="28"/>
        </w:rPr>
        <w:t xml:space="preserve"> high court hearings, </w:t>
      </w:r>
      <w:r w:rsidR="002C487E" w:rsidRPr="000A7C5F">
        <w:rPr>
          <w:szCs w:val="28"/>
        </w:rPr>
        <w:t>all</w:t>
      </w:r>
      <w:r w:rsidRPr="000A7C5F">
        <w:rPr>
          <w:szCs w:val="28"/>
        </w:rPr>
        <w:t xml:space="preserve"> of which </w:t>
      </w:r>
      <w:proofErr w:type="spellStart"/>
      <w:r w:rsidR="009037D2" w:rsidRPr="000A7C5F">
        <w:rPr>
          <w:szCs w:val="28"/>
        </w:rPr>
        <w:t>WeG</w:t>
      </w:r>
      <w:proofErr w:type="spellEnd"/>
      <w:r w:rsidRPr="000A7C5F">
        <w:rPr>
          <w:szCs w:val="28"/>
        </w:rPr>
        <w:t xml:space="preserve"> lost.</w:t>
      </w:r>
      <w:r w:rsidRPr="000A7C5F">
        <w:rPr>
          <w:rStyle w:val="FootnoteReference"/>
          <w:szCs w:val="28"/>
        </w:rPr>
        <w:footnoteReference w:id="277"/>
      </w:r>
      <w:r w:rsidRPr="000A7C5F">
        <w:rPr>
          <w:szCs w:val="28"/>
        </w:rPr>
        <w:t xml:space="preserve"> </w:t>
      </w:r>
      <w:r w:rsidR="002C487E" w:rsidRPr="000A7C5F">
        <w:rPr>
          <w:szCs w:val="28"/>
        </w:rPr>
        <w:t>The ruling will affect up to 50,000 people and will involve sums of up to £150 million over a six-year period to put right.</w:t>
      </w:r>
    </w:p>
    <w:p w14:paraId="5E9FFAD7" w14:textId="01FD7FE1" w:rsidR="00740A10" w:rsidRPr="000A7C5F" w:rsidRDefault="00740A10" w:rsidP="00E739BB">
      <w:pPr>
        <w:pStyle w:val="Heading3"/>
      </w:pPr>
      <w:bookmarkStart w:id="30" w:name="_Toc98504900"/>
      <w:r w:rsidRPr="000A7C5F">
        <w:t>Benefit Assessments</w:t>
      </w:r>
      <w:bookmarkEnd w:id="30"/>
    </w:p>
    <w:p w14:paraId="23D0F287" w14:textId="07A3E851" w:rsidR="00B2326F" w:rsidRPr="000A7C5F" w:rsidRDefault="004B176E" w:rsidP="00794060">
      <w:pPr>
        <w:pStyle w:val="ListParagraph"/>
        <w:numPr>
          <w:ilvl w:val="0"/>
          <w:numId w:val="3"/>
        </w:numPr>
        <w:spacing w:before="240"/>
        <w:ind w:left="851" w:hanging="851"/>
        <w:rPr>
          <w:szCs w:val="28"/>
        </w:rPr>
      </w:pPr>
      <w:r w:rsidRPr="000A7C5F">
        <w:rPr>
          <w:szCs w:val="28"/>
        </w:rPr>
        <w:t>Benefit assessments are still a major issue for DDP</w:t>
      </w:r>
      <w:r w:rsidR="00D12DCB" w:rsidRPr="000A7C5F">
        <w:rPr>
          <w:szCs w:val="28"/>
        </w:rPr>
        <w:t xml:space="preserve"> with </w:t>
      </w:r>
      <w:r w:rsidRPr="000A7C5F">
        <w:rPr>
          <w:szCs w:val="28"/>
        </w:rPr>
        <w:t>the same issues that DDP have been reporting for years. When the Work and Pensions Committee (WPC) held an inquiry into ESA and PIP assessments they received such an unprecedented volume of evidence that alongside the inquiry report and recommendations,</w:t>
      </w:r>
      <w:r w:rsidRPr="000A7C5F">
        <w:rPr>
          <w:rStyle w:val="FootnoteReference"/>
          <w:szCs w:val="28"/>
        </w:rPr>
        <w:footnoteReference w:id="278"/>
      </w:r>
      <w:r w:rsidRPr="000A7C5F">
        <w:rPr>
          <w:szCs w:val="28"/>
        </w:rPr>
        <w:t xml:space="preserve"> they brought out a second publication of claimants’ testimonies.</w:t>
      </w:r>
      <w:r w:rsidRPr="000A7C5F">
        <w:rPr>
          <w:rStyle w:val="FootnoteReference"/>
          <w:szCs w:val="28"/>
        </w:rPr>
        <w:footnoteReference w:id="279"/>
      </w:r>
    </w:p>
    <w:p w14:paraId="7890C922" w14:textId="77777777" w:rsidR="00A07B29" w:rsidRPr="000A7C5F" w:rsidRDefault="00A07B29" w:rsidP="00E739BB">
      <w:pPr>
        <w:pStyle w:val="ListParagraph"/>
        <w:spacing w:before="240"/>
        <w:ind w:left="735"/>
        <w:rPr>
          <w:szCs w:val="28"/>
        </w:rPr>
      </w:pPr>
    </w:p>
    <w:p w14:paraId="5D6F7E26" w14:textId="6217097E" w:rsidR="00B2326F" w:rsidRPr="000A7C5F" w:rsidRDefault="00412A77" w:rsidP="00794060">
      <w:pPr>
        <w:pStyle w:val="ListParagraph"/>
        <w:numPr>
          <w:ilvl w:val="0"/>
          <w:numId w:val="3"/>
        </w:numPr>
        <w:spacing w:before="240"/>
        <w:ind w:left="851" w:hanging="851"/>
        <w:rPr>
          <w:szCs w:val="28"/>
        </w:rPr>
      </w:pPr>
      <w:r w:rsidRPr="000A7C5F">
        <w:rPr>
          <w:szCs w:val="28"/>
        </w:rPr>
        <w:t>Despite five independent reviews of the Work Capability Assessments and two for the PIP assessment, too little has changed. Speaking to a Parliamentary Committee, one of the reviewers described “systematic bias” within the operational side of the DWP and that “things just haven’t been taken forwards.”</w:t>
      </w:r>
      <w:r w:rsidRPr="000A7C5F">
        <w:rPr>
          <w:vertAlign w:val="superscript"/>
        </w:rPr>
        <w:footnoteReference w:id="280"/>
      </w:r>
      <w:r w:rsidRPr="000A7C5F">
        <w:rPr>
          <w:szCs w:val="28"/>
        </w:rPr>
        <w:t xml:space="preserve"> He </w:t>
      </w:r>
      <w:r w:rsidRPr="000A7C5F">
        <w:rPr>
          <w:szCs w:val="28"/>
        </w:rPr>
        <w:lastRenderedPageBreak/>
        <w:t>said “I think it would be useful to have another review, absolutely. If one were to do that I would go back and not just look at the Work Capability Assessment but look more fundamentally at the whole concept of what we are doing.”</w:t>
      </w:r>
      <w:r w:rsidRPr="000A7C5F">
        <w:rPr>
          <w:vertAlign w:val="superscript"/>
        </w:rPr>
        <w:footnoteReference w:id="281"/>
      </w:r>
    </w:p>
    <w:p w14:paraId="624A3F22" w14:textId="77777777" w:rsidR="00B2326F" w:rsidRPr="000A7C5F" w:rsidRDefault="00B2326F" w:rsidP="00E739BB">
      <w:pPr>
        <w:pStyle w:val="ListParagraph"/>
        <w:spacing w:before="240"/>
        <w:ind w:left="851" w:hanging="851"/>
        <w:rPr>
          <w:szCs w:val="28"/>
        </w:rPr>
      </w:pPr>
    </w:p>
    <w:p w14:paraId="1F09E13A" w14:textId="1C12193B" w:rsidR="00B2326F" w:rsidRPr="000A7C5F" w:rsidRDefault="00412A77" w:rsidP="00794060">
      <w:pPr>
        <w:pStyle w:val="ListParagraph"/>
        <w:numPr>
          <w:ilvl w:val="0"/>
          <w:numId w:val="3"/>
        </w:numPr>
        <w:spacing w:before="240"/>
        <w:ind w:left="851" w:hanging="851"/>
        <w:rPr>
          <w:szCs w:val="28"/>
        </w:rPr>
      </w:pPr>
      <w:r w:rsidRPr="000A7C5F">
        <w:rPr>
          <w:szCs w:val="28"/>
        </w:rPr>
        <w:t>DDP live in constant anxiety about being called up for reassessment</w:t>
      </w:r>
      <w:r w:rsidR="00067765" w:rsidRPr="000A7C5F">
        <w:rPr>
          <w:szCs w:val="28"/>
        </w:rPr>
        <w:t>. This</w:t>
      </w:r>
      <w:r w:rsidR="00DC4A4A" w:rsidRPr="000A7C5F">
        <w:rPr>
          <w:szCs w:val="28"/>
        </w:rPr>
        <w:t xml:space="preserve"> </w:t>
      </w:r>
      <w:r w:rsidR="00067765" w:rsidRPr="000A7C5F">
        <w:rPr>
          <w:szCs w:val="28"/>
        </w:rPr>
        <w:t xml:space="preserve">has a </w:t>
      </w:r>
      <w:r w:rsidRPr="000A7C5F">
        <w:rPr>
          <w:szCs w:val="28"/>
        </w:rPr>
        <w:t>detrimental impact on people’s mental health</w:t>
      </w:r>
      <w:r w:rsidRPr="000A7C5F">
        <w:rPr>
          <w:rStyle w:val="FootnoteReference"/>
          <w:szCs w:val="28"/>
        </w:rPr>
        <w:footnoteReference w:id="282"/>
      </w:r>
      <w:r w:rsidRPr="000A7C5F">
        <w:rPr>
          <w:szCs w:val="28"/>
        </w:rPr>
        <w:t xml:space="preserve">. </w:t>
      </w:r>
    </w:p>
    <w:p w14:paraId="59121EC6" w14:textId="77777777" w:rsidR="00B2326F" w:rsidRPr="000A7C5F" w:rsidRDefault="00B2326F" w:rsidP="00E739BB">
      <w:pPr>
        <w:pStyle w:val="ListParagraph"/>
        <w:ind w:left="851" w:hanging="851"/>
        <w:rPr>
          <w:szCs w:val="28"/>
        </w:rPr>
      </w:pPr>
    </w:p>
    <w:p w14:paraId="79AD6C6A" w14:textId="22766582" w:rsidR="004C611C" w:rsidRPr="000A7C5F" w:rsidRDefault="00412A77" w:rsidP="00794060">
      <w:pPr>
        <w:pStyle w:val="ListParagraph"/>
        <w:numPr>
          <w:ilvl w:val="0"/>
          <w:numId w:val="3"/>
        </w:numPr>
        <w:spacing w:before="240"/>
        <w:ind w:left="851" w:hanging="851"/>
        <w:rPr>
          <w:szCs w:val="28"/>
        </w:rPr>
      </w:pPr>
      <w:r w:rsidRPr="000A7C5F">
        <w:rPr>
          <w:szCs w:val="28"/>
        </w:rPr>
        <w:t>DDP told us about the complexities of the assessment process which requires lengthy form filling, gathering recent medical evidence and attendance at assessment</w:t>
      </w:r>
      <w:r w:rsidR="00121892" w:rsidRPr="000A7C5F">
        <w:rPr>
          <w:rStyle w:val="FootnoteReference"/>
          <w:szCs w:val="28"/>
        </w:rPr>
        <w:footnoteReference w:id="283"/>
      </w:r>
      <w:r w:rsidRPr="000A7C5F">
        <w:rPr>
          <w:szCs w:val="28"/>
        </w:rPr>
        <w:t>. Not all assessment centres are accessible and can be many miles from a person’s home</w:t>
      </w:r>
      <w:r w:rsidR="00121892" w:rsidRPr="000A7C5F">
        <w:rPr>
          <w:rStyle w:val="FootnoteReference"/>
          <w:szCs w:val="28"/>
        </w:rPr>
        <w:footnoteReference w:id="284"/>
      </w:r>
      <w:r w:rsidRPr="000A7C5F">
        <w:rPr>
          <w:szCs w:val="28"/>
        </w:rPr>
        <w:t xml:space="preserve">. Lateness counts as a no-show; missing an assessment is punished with benefits stoppage. Claimants have no control over the time or the date of their assessment. Home visits are difficult to obtain. </w:t>
      </w:r>
    </w:p>
    <w:p w14:paraId="0D250EFB" w14:textId="77777777" w:rsidR="004C611C" w:rsidRPr="000A7C5F" w:rsidRDefault="004C611C" w:rsidP="00E739BB">
      <w:pPr>
        <w:pStyle w:val="ListParagraph"/>
        <w:rPr>
          <w:szCs w:val="28"/>
        </w:rPr>
      </w:pPr>
    </w:p>
    <w:p w14:paraId="3DB7E6AF" w14:textId="1EBDFD5C" w:rsidR="001D0C15" w:rsidRPr="000A7C5F" w:rsidRDefault="00412A77" w:rsidP="00794060">
      <w:pPr>
        <w:pStyle w:val="ListParagraph"/>
        <w:numPr>
          <w:ilvl w:val="0"/>
          <w:numId w:val="3"/>
        </w:numPr>
        <w:spacing w:before="240"/>
        <w:ind w:left="851" w:hanging="851"/>
        <w:rPr>
          <w:szCs w:val="28"/>
        </w:rPr>
      </w:pPr>
      <w:r w:rsidRPr="000A7C5F">
        <w:rPr>
          <w:szCs w:val="28"/>
        </w:rPr>
        <w:t>During the pandemic face to face assessments were replaced with telephone assessments or decisions made on the basis of the written evidence that was submitted</w:t>
      </w:r>
      <w:r w:rsidR="00121892" w:rsidRPr="000A7C5F">
        <w:rPr>
          <w:rStyle w:val="FootnoteReference"/>
          <w:szCs w:val="28"/>
        </w:rPr>
        <w:footnoteReference w:id="285"/>
      </w:r>
      <w:r w:rsidRPr="000A7C5F">
        <w:rPr>
          <w:szCs w:val="28"/>
        </w:rPr>
        <w:t xml:space="preserve">. This was not suitable for </w:t>
      </w:r>
      <w:r w:rsidRPr="000A7C5F">
        <w:rPr>
          <w:szCs w:val="28"/>
        </w:rPr>
        <w:lastRenderedPageBreak/>
        <w:t>all but for many others represented a</w:t>
      </w:r>
      <w:r w:rsidR="00067765" w:rsidRPr="000A7C5F">
        <w:rPr>
          <w:szCs w:val="28"/>
        </w:rPr>
        <w:t xml:space="preserve"> significant improvement in their lives.</w:t>
      </w:r>
    </w:p>
    <w:p w14:paraId="53198EAE" w14:textId="77777777" w:rsidR="001D0C15" w:rsidRPr="000A7C5F" w:rsidRDefault="001D0C15" w:rsidP="00E739BB">
      <w:pPr>
        <w:pStyle w:val="ListParagraph"/>
        <w:ind w:left="851" w:hanging="851"/>
        <w:rPr>
          <w:szCs w:val="28"/>
        </w:rPr>
      </w:pPr>
    </w:p>
    <w:p w14:paraId="442B93EB" w14:textId="4FFD6870" w:rsidR="001D0C15" w:rsidRPr="000A7C5F" w:rsidRDefault="001D0C15" w:rsidP="00794060">
      <w:pPr>
        <w:pStyle w:val="ListParagraph"/>
        <w:numPr>
          <w:ilvl w:val="0"/>
          <w:numId w:val="3"/>
        </w:numPr>
        <w:spacing w:before="240"/>
        <w:ind w:left="851" w:hanging="851"/>
        <w:rPr>
          <w:szCs w:val="28"/>
        </w:rPr>
      </w:pPr>
      <w:r w:rsidRPr="000A7C5F">
        <w:rPr>
          <w:szCs w:val="28"/>
        </w:rPr>
        <w:t>Disabled people are carers too</w:t>
      </w:r>
      <w:r w:rsidRPr="000A7C5F">
        <w:rPr>
          <w:rStyle w:val="FootnoteReference"/>
          <w:szCs w:val="28"/>
        </w:rPr>
        <w:footnoteReference w:id="286"/>
      </w:r>
      <w:r w:rsidRPr="000A7C5F">
        <w:rPr>
          <w:szCs w:val="28"/>
        </w:rPr>
        <w:t>. 62% of carers have some form of impairment</w:t>
      </w:r>
      <w:r w:rsidRPr="000A7C5F">
        <w:rPr>
          <w:rStyle w:val="FootnoteReference"/>
          <w:szCs w:val="28"/>
        </w:rPr>
        <w:footnoteReference w:id="287"/>
      </w:r>
      <w:r w:rsidRPr="000A7C5F">
        <w:rPr>
          <w:szCs w:val="28"/>
        </w:rPr>
        <w:t xml:space="preserve">. Insufficient attention is paid to this overlap within policy-making, </w:t>
      </w:r>
      <w:r w:rsidR="00A03E73" w:rsidRPr="000A7C5F">
        <w:rPr>
          <w:szCs w:val="28"/>
        </w:rPr>
        <w:t>including</w:t>
      </w:r>
      <w:r w:rsidRPr="000A7C5F">
        <w:rPr>
          <w:szCs w:val="28"/>
        </w:rPr>
        <w:t xml:space="preserve"> the cumulative burden on families going through multiple assessments.</w:t>
      </w:r>
    </w:p>
    <w:p w14:paraId="626FCC90" w14:textId="77777777" w:rsidR="00067765" w:rsidRPr="000A7C5F" w:rsidRDefault="00067765" w:rsidP="00E739BB">
      <w:pPr>
        <w:pStyle w:val="ListParagraph"/>
        <w:ind w:left="851" w:hanging="851"/>
        <w:rPr>
          <w:szCs w:val="28"/>
        </w:rPr>
      </w:pPr>
    </w:p>
    <w:p w14:paraId="72AD8CA2" w14:textId="46083645" w:rsidR="00B2326F" w:rsidRPr="000A7C5F" w:rsidRDefault="00067765" w:rsidP="00794060">
      <w:pPr>
        <w:pStyle w:val="ListParagraph"/>
        <w:numPr>
          <w:ilvl w:val="0"/>
          <w:numId w:val="3"/>
        </w:numPr>
        <w:spacing w:before="240"/>
        <w:ind w:left="851" w:hanging="851"/>
        <w:rPr>
          <w:szCs w:val="28"/>
        </w:rPr>
      </w:pPr>
      <w:r w:rsidRPr="000A7C5F">
        <w:rPr>
          <w:szCs w:val="28"/>
        </w:rPr>
        <w:t>I</w:t>
      </w:r>
      <w:r w:rsidR="00121892" w:rsidRPr="000A7C5F">
        <w:rPr>
          <w:szCs w:val="28"/>
        </w:rPr>
        <w:t>nteraction with benefit assessors</w:t>
      </w:r>
      <w:r w:rsidR="00733851" w:rsidRPr="000A7C5F">
        <w:rPr>
          <w:szCs w:val="28"/>
        </w:rPr>
        <w:t xml:space="preserve"> can be highly distressing, for example</w:t>
      </w:r>
      <w:r w:rsidR="00121892" w:rsidRPr="000A7C5F">
        <w:rPr>
          <w:szCs w:val="28"/>
        </w:rPr>
        <w:t xml:space="preserve"> due to </w:t>
      </w:r>
      <w:r w:rsidR="00412A77" w:rsidRPr="000A7C5F">
        <w:rPr>
          <w:szCs w:val="28"/>
        </w:rPr>
        <w:t>insensitive questions such as asking claimants with mental distress why past suicide attempts have failed, insisting claimants participate in physical examinations that cause them pain and hostile attitudes</w:t>
      </w:r>
      <w:r w:rsidR="00733851" w:rsidRPr="000A7C5F">
        <w:rPr>
          <w:szCs w:val="28"/>
        </w:rPr>
        <w:t>.</w:t>
      </w:r>
      <w:r w:rsidR="00412A77" w:rsidRPr="000A7C5F">
        <w:rPr>
          <w:szCs w:val="28"/>
        </w:rPr>
        <w:t xml:space="preserve"> </w:t>
      </w:r>
      <w:r w:rsidR="004C4AF2" w:rsidRPr="000A7C5F">
        <w:rPr>
          <w:szCs w:val="28"/>
        </w:rPr>
        <w:t>8</w:t>
      </w:r>
      <w:r w:rsidR="00412A77" w:rsidRPr="000A7C5F">
        <w:rPr>
          <w:szCs w:val="28"/>
        </w:rPr>
        <w:t xml:space="preserve"> respondents to our survey used the word “lies” to describe assessment reports. This theme was picked up by the WPC inquiry who commented in their report that: “Central to the lack of trust are concerns about the ability of the Department’s contractors to conduct accurate assessments.”</w:t>
      </w:r>
      <w:r w:rsidR="00733851" w:rsidRPr="000A7C5F">
        <w:rPr>
          <w:rStyle w:val="FootnoteReference"/>
          <w:szCs w:val="28"/>
        </w:rPr>
        <w:footnoteReference w:id="288"/>
      </w:r>
      <w:r w:rsidR="00412A77" w:rsidRPr="000A7C5F">
        <w:rPr>
          <w:szCs w:val="28"/>
        </w:rPr>
        <w:t xml:space="preserve">  </w:t>
      </w:r>
    </w:p>
    <w:p w14:paraId="06F92767" w14:textId="77777777" w:rsidR="00B2326F" w:rsidRPr="000A7C5F" w:rsidRDefault="00B2326F" w:rsidP="00E739BB">
      <w:pPr>
        <w:pStyle w:val="ListParagraph"/>
        <w:rPr>
          <w:szCs w:val="28"/>
        </w:rPr>
      </w:pPr>
    </w:p>
    <w:p w14:paraId="3FC55B28" w14:textId="38A96EE9" w:rsidR="00B2326F" w:rsidRPr="000A7C5F" w:rsidRDefault="00412A77" w:rsidP="00794060">
      <w:pPr>
        <w:pStyle w:val="ListParagraph"/>
        <w:numPr>
          <w:ilvl w:val="0"/>
          <w:numId w:val="3"/>
        </w:numPr>
        <w:spacing w:before="240"/>
        <w:ind w:left="851" w:hanging="851"/>
        <w:rPr>
          <w:szCs w:val="28"/>
        </w:rPr>
      </w:pPr>
      <w:r w:rsidRPr="000A7C5F">
        <w:rPr>
          <w:szCs w:val="28"/>
        </w:rPr>
        <w:t xml:space="preserve">DDP have for many years called for audio recordings of assessments to be provided by default (with an opt out option), believing that this would improve the accuracy of assessment reports. </w:t>
      </w:r>
      <w:r w:rsidR="009037D2" w:rsidRPr="000A7C5F">
        <w:rPr>
          <w:szCs w:val="28"/>
        </w:rPr>
        <w:t xml:space="preserve">We welcome moves towards this but </w:t>
      </w:r>
      <w:r w:rsidRPr="000A7C5F">
        <w:rPr>
          <w:szCs w:val="28"/>
        </w:rPr>
        <w:t>DWP has been slow to implement</w:t>
      </w:r>
      <w:r w:rsidRPr="000A7C5F">
        <w:rPr>
          <w:vertAlign w:val="superscript"/>
        </w:rPr>
        <w:footnoteReference w:id="289"/>
      </w:r>
      <w:r w:rsidR="00121892" w:rsidRPr="000A7C5F">
        <w:rPr>
          <w:szCs w:val="28"/>
        </w:rPr>
        <w:t>.</w:t>
      </w:r>
      <w:r w:rsidR="009037D2" w:rsidRPr="000A7C5F">
        <w:rPr>
          <w:szCs w:val="28"/>
        </w:rPr>
        <w:t xml:space="preserve">  </w:t>
      </w:r>
    </w:p>
    <w:p w14:paraId="1146E2E1" w14:textId="77777777" w:rsidR="00B2326F" w:rsidRPr="000A7C5F" w:rsidRDefault="00B2326F" w:rsidP="00E739BB">
      <w:pPr>
        <w:pStyle w:val="ListParagraph"/>
        <w:ind w:left="851" w:hanging="851"/>
        <w:rPr>
          <w:szCs w:val="28"/>
        </w:rPr>
      </w:pPr>
    </w:p>
    <w:p w14:paraId="2C97C116" w14:textId="7F8681D5" w:rsidR="00B2326F" w:rsidRPr="000A7C5F" w:rsidRDefault="00121892" w:rsidP="00794060">
      <w:pPr>
        <w:pStyle w:val="ListParagraph"/>
        <w:numPr>
          <w:ilvl w:val="0"/>
          <w:numId w:val="3"/>
        </w:numPr>
        <w:spacing w:before="240"/>
        <w:ind w:left="851" w:hanging="851"/>
        <w:rPr>
          <w:szCs w:val="28"/>
        </w:rPr>
      </w:pPr>
      <w:r w:rsidRPr="000A7C5F">
        <w:rPr>
          <w:szCs w:val="28"/>
        </w:rPr>
        <w:t>T</w:t>
      </w:r>
      <w:r w:rsidR="00412A77" w:rsidRPr="000A7C5F">
        <w:rPr>
          <w:szCs w:val="28"/>
        </w:rPr>
        <w:t>he quality of assessment reports</w:t>
      </w:r>
      <w:r w:rsidRPr="000A7C5F">
        <w:rPr>
          <w:szCs w:val="28"/>
        </w:rPr>
        <w:t xml:space="preserve"> has been a constant issue since </w:t>
      </w:r>
      <w:r w:rsidR="009037D2" w:rsidRPr="000A7C5F">
        <w:rPr>
          <w:szCs w:val="28"/>
        </w:rPr>
        <w:t>the</w:t>
      </w:r>
      <w:r w:rsidR="002937BB" w:rsidRPr="000A7C5F">
        <w:rPr>
          <w:szCs w:val="28"/>
        </w:rPr>
        <w:t>y were introduced</w:t>
      </w:r>
      <w:r w:rsidR="00412A77" w:rsidRPr="000A7C5F">
        <w:rPr>
          <w:szCs w:val="28"/>
        </w:rPr>
        <w:t>. WPC found evidence of “systematic poor quality”.</w:t>
      </w:r>
      <w:r w:rsidR="00412A77" w:rsidRPr="000A7C5F">
        <w:rPr>
          <w:vertAlign w:val="superscript"/>
        </w:rPr>
        <w:footnoteReference w:id="290"/>
      </w:r>
      <w:r w:rsidR="00412A77" w:rsidRPr="000A7C5F">
        <w:rPr>
          <w:szCs w:val="28"/>
        </w:rPr>
        <w:t xml:space="preserve"> Government figures released in May 2018 suggest that tens of thousands of ESA benefit claims could have been decided by civil servants on evidence from assessment reports that should have been rejected because their quality was “unacceptable.”</w:t>
      </w:r>
      <w:r w:rsidR="00412A77" w:rsidRPr="000A7C5F">
        <w:rPr>
          <w:vertAlign w:val="superscript"/>
        </w:rPr>
        <w:footnoteReference w:id="291"/>
      </w:r>
      <w:r w:rsidR="00412A77" w:rsidRPr="000A7C5F">
        <w:rPr>
          <w:szCs w:val="28"/>
        </w:rPr>
        <w:t xml:space="preserve"> This has a direct impact on DDP through wrongful decisions which find no eligibility for benefits. The rate of assessment decisions over-turned at appeal stood at 75% for both ESA and PIP in quarterly statistics for June – April 2019.</w:t>
      </w:r>
      <w:r w:rsidR="00412A77" w:rsidRPr="000A7C5F">
        <w:rPr>
          <w:vertAlign w:val="superscript"/>
        </w:rPr>
        <w:footnoteReference w:id="292"/>
      </w:r>
      <w:r w:rsidR="008357CC" w:rsidRPr="000A7C5F">
        <w:rPr>
          <w:szCs w:val="28"/>
        </w:rPr>
        <w:t xml:space="preserve"> </w:t>
      </w:r>
    </w:p>
    <w:p w14:paraId="3A77172B" w14:textId="77777777" w:rsidR="00A0137F" w:rsidRPr="000A7C5F" w:rsidRDefault="00A0137F" w:rsidP="00E739BB">
      <w:pPr>
        <w:pStyle w:val="ListParagraph"/>
        <w:rPr>
          <w:szCs w:val="28"/>
        </w:rPr>
      </w:pPr>
    </w:p>
    <w:p w14:paraId="4E40B4FB" w14:textId="3A74F48F" w:rsidR="008357CC" w:rsidRPr="000A7C5F" w:rsidRDefault="008357CC" w:rsidP="00794060">
      <w:pPr>
        <w:pStyle w:val="ListParagraph"/>
        <w:numPr>
          <w:ilvl w:val="0"/>
          <w:numId w:val="3"/>
        </w:numPr>
        <w:spacing w:before="240"/>
        <w:ind w:left="851" w:hanging="851"/>
        <w:rPr>
          <w:szCs w:val="28"/>
        </w:rPr>
      </w:pPr>
      <w:r w:rsidRPr="000A7C5F">
        <w:rPr>
          <w:szCs w:val="28"/>
        </w:rPr>
        <w:t xml:space="preserve">Data gaps under UC make it more difficult to </w:t>
      </w:r>
      <w:r w:rsidR="002937BB" w:rsidRPr="000A7C5F">
        <w:rPr>
          <w:szCs w:val="28"/>
        </w:rPr>
        <w:t>understand the current situation. F</w:t>
      </w:r>
      <w:r w:rsidRPr="000A7C5F">
        <w:rPr>
          <w:szCs w:val="28"/>
        </w:rPr>
        <w:t xml:space="preserve">or example, </w:t>
      </w:r>
      <w:r w:rsidR="00412A77" w:rsidRPr="000A7C5F">
        <w:rPr>
          <w:szCs w:val="28"/>
        </w:rPr>
        <w:t xml:space="preserve">we no longer have information about how many Disabled claimants are being found “Fit for Work”. New </w:t>
      </w:r>
      <w:r w:rsidR="002937BB" w:rsidRPr="000A7C5F">
        <w:rPr>
          <w:szCs w:val="28"/>
        </w:rPr>
        <w:t xml:space="preserve">benefit </w:t>
      </w:r>
      <w:r w:rsidR="00412A77" w:rsidRPr="000A7C5F">
        <w:rPr>
          <w:szCs w:val="28"/>
        </w:rPr>
        <w:t>applicants go onto U</w:t>
      </w:r>
      <w:r w:rsidR="002937BB" w:rsidRPr="000A7C5F">
        <w:rPr>
          <w:szCs w:val="28"/>
        </w:rPr>
        <w:t>C where data is not</w:t>
      </w:r>
      <w:r w:rsidR="00412A77" w:rsidRPr="000A7C5F">
        <w:rPr>
          <w:szCs w:val="28"/>
        </w:rPr>
        <w:t xml:space="preserve"> </w:t>
      </w:r>
      <w:r w:rsidR="00412A77" w:rsidRPr="000A7C5F">
        <w:rPr>
          <w:szCs w:val="28"/>
        </w:rPr>
        <w:lastRenderedPageBreak/>
        <w:t>disaggregated by disability.</w:t>
      </w:r>
      <w:r w:rsidRPr="000A7C5F">
        <w:rPr>
          <w:szCs w:val="28"/>
        </w:rPr>
        <w:t xml:space="preserve"> For further examples see </w:t>
      </w:r>
      <w:hyperlink w:anchor="_Appendix_8:_List" w:history="1">
        <w:r w:rsidRPr="00582C57">
          <w:rPr>
            <w:rStyle w:val="Hyperlink"/>
            <w:szCs w:val="28"/>
          </w:rPr>
          <w:t xml:space="preserve">Appendix </w:t>
        </w:r>
        <w:r w:rsidR="00B45975" w:rsidRPr="00582C57">
          <w:rPr>
            <w:rStyle w:val="Hyperlink"/>
            <w:szCs w:val="28"/>
          </w:rPr>
          <w:t>8</w:t>
        </w:r>
      </w:hyperlink>
      <w:r w:rsidR="005F7687" w:rsidRPr="000A7C5F">
        <w:rPr>
          <w:rStyle w:val="FootnoteReference"/>
          <w:szCs w:val="28"/>
        </w:rPr>
        <w:footnoteReference w:id="293"/>
      </w:r>
      <w:r w:rsidRPr="000A7C5F">
        <w:rPr>
          <w:szCs w:val="28"/>
        </w:rPr>
        <w:t>.</w:t>
      </w:r>
    </w:p>
    <w:p w14:paraId="60639B9B" w14:textId="77777777" w:rsidR="00B2326F" w:rsidRPr="000A7C5F" w:rsidRDefault="00B2326F" w:rsidP="00E739BB">
      <w:pPr>
        <w:pStyle w:val="ListParagraph"/>
        <w:ind w:left="851" w:hanging="851"/>
        <w:rPr>
          <w:szCs w:val="28"/>
        </w:rPr>
      </w:pPr>
    </w:p>
    <w:p w14:paraId="5F88E51E" w14:textId="506CB688" w:rsidR="00B2326F" w:rsidRPr="000A7C5F" w:rsidRDefault="00412A77" w:rsidP="00794060">
      <w:pPr>
        <w:pStyle w:val="ListParagraph"/>
        <w:numPr>
          <w:ilvl w:val="0"/>
          <w:numId w:val="3"/>
        </w:numPr>
        <w:spacing w:before="240"/>
        <w:ind w:left="851" w:hanging="851"/>
        <w:rPr>
          <w:szCs w:val="28"/>
        </w:rPr>
      </w:pPr>
      <w:r w:rsidRPr="000A7C5F">
        <w:rPr>
          <w:szCs w:val="28"/>
        </w:rPr>
        <w:t>In 2013</w:t>
      </w:r>
      <w:r w:rsidR="008357CC" w:rsidRPr="000A7C5F">
        <w:rPr>
          <w:szCs w:val="28"/>
        </w:rPr>
        <w:t>,</w:t>
      </w:r>
      <w:r w:rsidRPr="000A7C5F">
        <w:rPr>
          <w:szCs w:val="28"/>
        </w:rPr>
        <w:t xml:space="preserve"> </w:t>
      </w:r>
      <w:proofErr w:type="spellStart"/>
      <w:r w:rsidR="009037D2" w:rsidRPr="000A7C5F">
        <w:rPr>
          <w:szCs w:val="28"/>
        </w:rPr>
        <w:t>WeG</w:t>
      </w:r>
      <w:proofErr w:type="spellEnd"/>
      <w:r w:rsidRPr="000A7C5F">
        <w:rPr>
          <w:szCs w:val="28"/>
        </w:rPr>
        <w:t xml:space="preserve"> introduced an additional stage to the assessment process called “Mandatory Reconsideration”</w:t>
      </w:r>
      <w:r w:rsidR="002937BB" w:rsidRPr="000A7C5F">
        <w:rPr>
          <w:szCs w:val="28"/>
        </w:rPr>
        <w:t xml:space="preserve"> (MR)</w:t>
      </w:r>
      <w:r w:rsidRPr="000A7C5F">
        <w:rPr>
          <w:szCs w:val="28"/>
        </w:rPr>
        <w:t xml:space="preserve"> which claimants must go through before they can appeal</w:t>
      </w:r>
      <w:r w:rsidR="002937BB" w:rsidRPr="000A7C5F">
        <w:rPr>
          <w:szCs w:val="28"/>
        </w:rPr>
        <w:t xml:space="preserve"> against being turned down for benefits/having benefits reduced after re-assessment</w:t>
      </w:r>
      <w:r w:rsidRPr="000A7C5F">
        <w:rPr>
          <w:szCs w:val="28"/>
        </w:rPr>
        <w:t>. There is no set timeframe for MR</w:t>
      </w:r>
      <w:r w:rsidR="00D222CB" w:rsidRPr="000A7C5F">
        <w:rPr>
          <w:szCs w:val="28"/>
        </w:rPr>
        <w:t>.</w:t>
      </w:r>
      <w:r w:rsidRPr="000A7C5F">
        <w:rPr>
          <w:szCs w:val="28"/>
        </w:rPr>
        <w:t xml:space="preserve"> </w:t>
      </w:r>
      <w:r w:rsidR="00D222CB" w:rsidRPr="000A7C5F">
        <w:rPr>
          <w:szCs w:val="28"/>
        </w:rPr>
        <w:t>T</w:t>
      </w:r>
      <w:r w:rsidRPr="000A7C5F">
        <w:rPr>
          <w:szCs w:val="28"/>
        </w:rPr>
        <w:t xml:space="preserve">he claimant is not eligible to the benefit while going through </w:t>
      </w:r>
      <w:r w:rsidR="00D222CB" w:rsidRPr="000A7C5F">
        <w:rPr>
          <w:szCs w:val="28"/>
        </w:rPr>
        <w:t>MR</w:t>
      </w:r>
      <w:r w:rsidRPr="000A7C5F">
        <w:rPr>
          <w:szCs w:val="28"/>
        </w:rPr>
        <w:t>, although if found eligible at appeal would then receive a back payment. The majority of MRs rubber stamp the original decision</w:t>
      </w:r>
      <w:r w:rsidR="00DD00B5" w:rsidRPr="000A7C5F">
        <w:rPr>
          <w:rStyle w:val="FootnoteReference"/>
          <w:szCs w:val="28"/>
        </w:rPr>
        <w:footnoteReference w:id="294"/>
      </w:r>
      <w:r w:rsidR="00D222CB" w:rsidRPr="000A7C5F">
        <w:rPr>
          <w:szCs w:val="28"/>
        </w:rPr>
        <w:t xml:space="preserve">. </w:t>
      </w:r>
      <w:r w:rsidRPr="000A7C5F">
        <w:rPr>
          <w:szCs w:val="28"/>
        </w:rPr>
        <w:t xml:space="preserve">The introduction of MP </w:t>
      </w:r>
      <w:r w:rsidR="00DD00B5" w:rsidRPr="000A7C5F">
        <w:rPr>
          <w:szCs w:val="28"/>
        </w:rPr>
        <w:t xml:space="preserve">has </w:t>
      </w:r>
      <w:r w:rsidRPr="000A7C5F">
        <w:rPr>
          <w:szCs w:val="28"/>
        </w:rPr>
        <w:t>undoubtedly discouraged claimants to go to appeal. In 2020, the High Court ruled that forcing claimants to go through MR for ESA was unlawful</w:t>
      </w:r>
      <w:r w:rsidR="00D222CB" w:rsidRPr="000A7C5F">
        <w:rPr>
          <w:rStyle w:val="FootnoteReference"/>
          <w:szCs w:val="28"/>
        </w:rPr>
        <w:footnoteReference w:id="295"/>
      </w:r>
      <w:r w:rsidRPr="000A7C5F">
        <w:rPr>
          <w:szCs w:val="28"/>
        </w:rPr>
        <w:t xml:space="preserve">. </w:t>
      </w:r>
      <w:r w:rsidR="00DD00B5" w:rsidRPr="000A7C5F">
        <w:rPr>
          <w:szCs w:val="28"/>
        </w:rPr>
        <w:t>It remains in place for PIP.</w:t>
      </w:r>
    </w:p>
    <w:p w14:paraId="21CA9FFE" w14:textId="77777777" w:rsidR="00B2326F" w:rsidRPr="000A7C5F" w:rsidRDefault="00B2326F" w:rsidP="00E739BB">
      <w:pPr>
        <w:pStyle w:val="ListParagraph"/>
        <w:rPr>
          <w:szCs w:val="28"/>
        </w:rPr>
      </w:pPr>
    </w:p>
    <w:p w14:paraId="31A12B30" w14:textId="615A1CB8" w:rsidR="00DD00B5" w:rsidRPr="000A7C5F" w:rsidRDefault="00412A77" w:rsidP="00794060">
      <w:pPr>
        <w:pStyle w:val="ListParagraph"/>
        <w:numPr>
          <w:ilvl w:val="0"/>
          <w:numId w:val="3"/>
        </w:numPr>
        <w:spacing w:before="240"/>
        <w:ind w:left="851" w:hanging="851"/>
        <w:rPr>
          <w:szCs w:val="28"/>
        </w:rPr>
      </w:pPr>
      <w:r w:rsidRPr="000A7C5F">
        <w:rPr>
          <w:szCs w:val="28"/>
        </w:rPr>
        <w:t xml:space="preserve">Once claimants reach appeal stage and before their case is heard by tribunal, they are eligible for a standard rate of ESA </w:t>
      </w:r>
      <w:r w:rsidR="002937BB" w:rsidRPr="000A7C5F">
        <w:rPr>
          <w:szCs w:val="28"/>
        </w:rPr>
        <w:t xml:space="preserve">if their doctor sends </w:t>
      </w:r>
      <w:r w:rsidR="00E61650" w:rsidRPr="000A7C5F">
        <w:rPr>
          <w:szCs w:val="28"/>
        </w:rPr>
        <w:t xml:space="preserve">a note saying the person is </w:t>
      </w:r>
      <w:r w:rsidRPr="000A7C5F">
        <w:rPr>
          <w:szCs w:val="28"/>
        </w:rPr>
        <w:t xml:space="preserve">unfit for work. In </w:t>
      </w:r>
      <w:r w:rsidR="00E61650" w:rsidRPr="000A7C5F">
        <w:rPr>
          <w:szCs w:val="28"/>
        </w:rPr>
        <w:t xml:space="preserve">2018 it emerged that DWP had been writing to doctors instructing them not to issue the notes, thus leaving claimants with no income while </w:t>
      </w:r>
      <w:r w:rsidR="00E61650" w:rsidRPr="000A7C5F">
        <w:rPr>
          <w:szCs w:val="28"/>
        </w:rPr>
        <w:lastRenderedPageBreak/>
        <w:t xml:space="preserve">waiting for their appeal to be heard. In </w:t>
      </w:r>
      <w:r w:rsidRPr="000A7C5F">
        <w:rPr>
          <w:szCs w:val="28"/>
        </w:rPr>
        <w:t xml:space="preserve">January 2019 the Chair of the WPC wrote to the Minister for Disabled People </w:t>
      </w:r>
      <w:r w:rsidR="00E61650" w:rsidRPr="000A7C5F">
        <w:rPr>
          <w:szCs w:val="28"/>
        </w:rPr>
        <w:t>asking about this.</w:t>
      </w:r>
      <w:r w:rsidRPr="000A7C5F">
        <w:rPr>
          <w:vertAlign w:val="superscript"/>
        </w:rPr>
        <w:footnoteReference w:id="296"/>
      </w:r>
      <w:r w:rsidRPr="000A7C5F">
        <w:rPr>
          <w:szCs w:val="28"/>
        </w:rPr>
        <w:t xml:space="preserve"> </w:t>
      </w:r>
    </w:p>
    <w:p w14:paraId="0F029021" w14:textId="77777777" w:rsidR="00DD00B5" w:rsidRPr="000A7C5F" w:rsidRDefault="00DD00B5" w:rsidP="00E739BB">
      <w:pPr>
        <w:pStyle w:val="ListParagraph"/>
        <w:ind w:left="851" w:hanging="851"/>
        <w:rPr>
          <w:szCs w:val="28"/>
        </w:rPr>
      </w:pPr>
    </w:p>
    <w:p w14:paraId="296E8706" w14:textId="13636ED6" w:rsidR="00DD00B5" w:rsidRPr="000A7C5F" w:rsidRDefault="00412A77" w:rsidP="00794060">
      <w:pPr>
        <w:pStyle w:val="ListParagraph"/>
        <w:numPr>
          <w:ilvl w:val="0"/>
          <w:numId w:val="3"/>
        </w:numPr>
        <w:spacing w:before="240"/>
        <w:ind w:left="851" w:hanging="851"/>
        <w:rPr>
          <w:szCs w:val="28"/>
        </w:rPr>
      </w:pPr>
      <w:r w:rsidRPr="000A7C5F">
        <w:rPr>
          <w:szCs w:val="28"/>
        </w:rPr>
        <w:t xml:space="preserve">Reassessment puts DDP </w:t>
      </w:r>
      <w:r w:rsidR="00194553" w:rsidRPr="000A7C5F">
        <w:rPr>
          <w:szCs w:val="28"/>
        </w:rPr>
        <w:t>under threat</w:t>
      </w:r>
      <w:r w:rsidRPr="000A7C5F">
        <w:rPr>
          <w:szCs w:val="28"/>
        </w:rPr>
        <w:t xml:space="preserve"> of having all or a substantial part of our income stopped. </w:t>
      </w:r>
      <w:r w:rsidR="00194553" w:rsidRPr="000A7C5F">
        <w:rPr>
          <w:szCs w:val="28"/>
        </w:rPr>
        <w:t xml:space="preserve">DDP unable to navigate the complex assessment process and without support are put in situations of high risk. </w:t>
      </w:r>
      <w:r w:rsidR="00DD00B5" w:rsidRPr="000A7C5F">
        <w:rPr>
          <w:szCs w:val="28"/>
        </w:rPr>
        <w:t xml:space="preserve">Despite this, </w:t>
      </w:r>
      <w:proofErr w:type="spellStart"/>
      <w:r w:rsidR="00DD00B5" w:rsidRPr="000A7C5F">
        <w:rPr>
          <w:szCs w:val="28"/>
        </w:rPr>
        <w:t>WeG</w:t>
      </w:r>
      <w:proofErr w:type="spellEnd"/>
      <w:r w:rsidR="00DD00B5" w:rsidRPr="000A7C5F">
        <w:rPr>
          <w:szCs w:val="28"/>
        </w:rPr>
        <w:t xml:space="preserve"> does not accept a safeguarding duty for benefit claimants</w:t>
      </w:r>
      <w:r w:rsidR="00E61650" w:rsidRPr="000A7C5F">
        <w:rPr>
          <w:szCs w:val="28"/>
        </w:rPr>
        <w:t xml:space="preserve">. They </w:t>
      </w:r>
      <w:r w:rsidR="00DD00B5" w:rsidRPr="000A7C5F">
        <w:rPr>
          <w:szCs w:val="28"/>
        </w:rPr>
        <w:t xml:space="preserve">have continuously declined to call </w:t>
      </w:r>
      <w:r w:rsidR="00E61650" w:rsidRPr="000A7C5F">
        <w:rPr>
          <w:szCs w:val="28"/>
        </w:rPr>
        <w:t xml:space="preserve">for </w:t>
      </w:r>
      <w:r w:rsidR="00DD00B5" w:rsidRPr="000A7C5F">
        <w:rPr>
          <w:szCs w:val="28"/>
        </w:rPr>
        <w:t>an inquiry into benefit-related deaths. According to the current Secretary of State for Work and Pensions, safeguarding is the responsibility of local agencies such as social services departments and doctors’ surgeries.</w:t>
      </w:r>
      <w:r w:rsidR="00DD00B5" w:rsidRPr="000A7C5F">
        <w:rPr>
          <w:rStyle w:val="FootnoteReference"/>
          <w:szCs w:val="28"/>
        </w:rPr>
        <w:footnoteReference w:id="297"/>
      </w:r>
      <w:r w:rsidR="00DD00B5" w:rsidRPr="000A7C5F">
        <w:rPr>
          <w:vertAlign w:val="superscript"/>
        </w:rPr>
        <w:footnoteReference w:id="298"/>
      </w:r>
      <w:r w:rsidR="00DD00B5" w:rsidRPr="000A7C5F">
        <w:rPr>
          <w:szCs w:val="28"/>
        </w:rPr>
        <w:t xml:space="preserve"> </w:t>
      </w:r>
    </w:p>
    <w:p w14:paraId="52348CA5" w14:textId="77777777" w:rsidR="00E61650" w:rsidRPr="000A7C5F" w:rsidRDefault="00E61650" w:rsidP="00E739BB">
      <w:pPr>
        <w:pStyle w:val="ListParagraph"/>
        <w:rPr>
          <w:szCs w:val="28"/>
        </w:rPr>
      </w:pPr>
    </w:p>
    <w:p w14:paraId="689FB6CC" w14:textId="0E87D0F9" w:rsidR="00E61650" w:rsidRPr="00E739BB" w:rsidRDefault="00E61650" w:rsidP="00794060">
      <w:pPr>
        <w:pStyle w:val="ListParagraph"/>
        <w:numPr>
          <w:ilvl w:val="0"/>
          <w:numId w:val="3"/>
        </w:numPr>
        <w:spacing w:before="240"/>
        <w:ind w:left="851" w:hanging="851"/>
        <w:rPr>
          <w:szCs w:val="28"/>
        </w:rPr>
      </w:pPr>
      <w:r w:rsidRPr="000A7C5F">
        <w:rPr>
          <w:szCs w:val="28"/>
        </w:rPr>
        <w:t>A survey conducted in association with a Channel 4 documentary on benefit deaths found that of 3,500 survey respondents, 13 per cent said they had attempted suicide as a result of interacting with the DWP</w:t>
      </w:r>
      <w:r w:rsidRPr="000A7C5F">
        <w:rPr>
          <w:rStyle w:val="FootnoteReference"/>
          <w:szCs w:val="28"/>
        </w:rPr>
        <w:footnoteReference w:id="299"/>
      </w:r>
      <w:r w:rsidRPr="000A7C5F">
        <w:rPr>
          <w:szCs w:val="28"/>
        </w:rPr>
        <w:t xml:space="preserve">. A third said it had caused them to plan suicide, while </w:t>
      </w:r>
      <w:r w:rsidRPr="000A7C5F">
        <w:rPr>
          <w:szCs w:val="28"/>
        </w:rPr>
        <w:lastRenderedPageBreak/>
        <w:t>61 per cent said the way the system is implemented led them to have suicidal thoughts</w:t>
      </w:r>
      <w:bookmarkStart w:id="32" w:name="_Hlk96455459"/>
      <w:r w:rsidRPr="000A7C5F">
        <w:rPr>
          <w:rStyle w:val="FootnoteReference"/>
          <w:szCs w:val="28"/>
        </w:rPr>
        <w:footnoteReference w:id="300"/>
      </w:r>
      <w:bookmarkEnd w:id="32"/>
      <w:r w:rsidRPr="000A7C5F">
        <w:rPr>
          <w:szCs w:val="28"/>
        </w:rPr>
        <w:t>.</w:t>
      </w:r>
    </w:p>
    <w:p w14:paraId="3BD39478" w14:textId="77777777" w:rsidR="00B2326F" w:rsidRPr="000A7C5F" w:rsidRDefault="00B2326F" w:rsidP="00E739BB">
      <w:pPr>
        <w:pStyle w:val="ListParagraph"/>
        <w:ind w:left="851" w:hanging="851"/>
        <w:rPr>
          <w:szCs w:val="28"/>
        </w:rPr>
      </w:pPr>
    </w:p>
    <w:p w14:paraId="31F0B681" w14:textId="2B9F87D5" w:rsidR="00B2326F" w:rsidRPr="000A7C5F" w:rsidRDefault="00412A77" w:rsidP="00794060">
      <w:pPr>
        <w:pStyle w:val="ListParagraph"/>
        <w:numPr>
          <w:ilvl w:val="0"/>
          <w:numId w:val="3"/>
        </w:numPr>
        <w:spacing w:before="240"/>
        <w:ind w:left="851" w:hanging="851"/>
        <w:rPr>
          <w:szCs w:val="28"/>
        </w:rPr>
      </w:pPr>
      <w:r w:rsidRPr="000A7C5F">
        <w:rPr>
          <w:szCs w:val="28"/>
        </w:rPr>
        <w:t>An inquest into the death of Phil</w:t>
      </w:r>
      <w:r w:rsidR="00194553" w:rsidRPr="000A7C5F">
        <w:rPr>
          <w:szCs w:val="28"/>
        </w:rPr>
        <w:t>i</w:t>
      </w:r>
      <w:r w:rsidRPr="000A7C5F">
        <w:rPr>
          <w:szCs w:val="28"/>
        </w:rPr>
        <w:t>ppa Day in 2021 identified 28 instances where “systemic errors” by both the DWP and the assessment provider contractor had led to failures in the handling of her benefit claim.</w:t>
      </w:r>
      <w:r w:rsidRPr="000A7C5F">
        <w:rPr>
          <w:vertAlign w:val="superscript"/>
        </w:rPr>
        <w:footnoteReference w:id="301"/>
      </w:r>
      <w:r w:rsidRPr="000A7C5F">
        <w:rPr>
          <w:szCs w:val="28"/>
        </w:rPr>
        <w:t xml:space="preserve"> In December 2021, another coroner wrote to the DWP calling for urgent action after a severely ill benefit claimant died as a result of being told by DWP that he had to leave hospital to attend a benefits appointment in person or his claim would be stopped.</w:t>
      </w:r>
      <w:r w:rsidRPr="000A7C5F">
        <w:rPr>
          <w:vertAlign w:val="superscript"/>
        </w:rPr>
        <w:footnoteReference w:id="302"/>
      </w:r>
      <w:r w:rsidRPr="000A7C5F">
        <w:rPr>
          <w:szCs w:val="28"/>
        </w:rPr>
        <w:t xml:space="preserve"> </w:t>
      </w:r>
      <w:r w:rsidR="00DD00B5" w:rsidRPr="000A7C5F">
        <w:rPr>
          <w:szCs w:val="28"/>
        </w:rPr>
        <w:t>Five bereaved families have more recently called for a public inquiry to be held into benefit deaths</w:t>
      </w:r>
      <w:r w:rsidR="00DD00B5" w:rsidRPr="000A7C5F">
        <w:rPr>
          <w:rStyle w:val="FootnoteReference"/>
          <w:szCs w:val="28"/>
        </w:rPr>
        <w:footnoteReference w:id="303"/>
      </w:r>
      <w:r w:rsidR="00DD00B5" w:rsidRPr="000A7C5F">
        <w:rPr>
          <w:szCs w:val="28"/>
        </w:rPr>
        <w:t xml:space="preserve">. </w:t>
      </w:r>
      <w:hyperlink w:anchor="_Appendix_6:_Deaths" w:history="1">
        <w:r w:rsidR="00DD00B5" w:rsidRPr="002201ED">
          <w:rPr>
            <w:rStyle w:val="Hyperlink"/>
            <w:szCs w:val="28"/>
          </w:rPr>
          <w:t>Appendix 6</w:t>
        </w:r>
      </w:hyperlink>
      <w:r w:rsidR="00DD00B5" w:rsidRPr="000A7C5F">
        <w:rPr>
          <w:szCs w:val="28"/>
        </w:rPr>
        <w:t xml:space="preserve"> lists benefit deaths that have occurred since 2017</w:t>
      </w:r>
      <w:r w:rsidR="00DD00B5" w:rsidRPr="000A7C5F">
        <w:rPr>
          <w:rStyle w:val="FootnoteReference"/>
          <w:szCs w:val="28"/>
        </w:rPr>
        <w:footnoteReference w:id="304"/>
      </w:r>
      <w:r w:rsidR="00DD00B5" w:rsidRPr="000A7C5F">
        <w:rPr>
          <w:szCs w:val="28"/>
        </w:rPr>
        <w:t>.</w:t>
      </w:r>
    </w:p>
    <w:p w14:paraId="7A962EBA" w14:textId="77777777" w:rsidR="00B2326F" w:rsidRPr="000A7C5F" w:rsidRDefault="00B2326F" w:rsidP="00E739BB">
      <w:pPr>
        <w:pStyle w:val="ListParagraph"/>
        <w:ind w:left="851" w:hanging="851"/>
        <w:rPr>
          <w:szCs w:val="28"/>
        </w:rPr>
      </w:pPr>
    </w:p>
    <w:p w14:paraId="02EEC617" w14:textId="22CBFC6E" w:rsidR="00B2326F" w:rsidRPr="000A7C5F" w:rsidRDefault="009037D2" w:rsidP="00794060">
      <w:pPr>
        <w:pStyle w:val="ListParagraph"/>
        <w:numPr>
          <w:ilvl w:val="0"/>
          <w:numId w:val="3"/>
        </w:numPr>
        <w:spacing w:before="240"/>
        <w:ind w:left="851" w:hanging="851"/>
        <w:rPr>
          <w:szCs w:val="28"/>
        </w:rPr>
      </w:pPr>
      <w:proofErr w:type="spellStart"/>
      <w:r w:rsidRPr="000A7C5F">
        <w:rPr>
          <w:szCs w:val="28"/>
        </w:rPr>
        <w:lastRenderedPageBreak/>
        <w:t>WeG</w:t>
      </w:r>
      <w:proofErr w:type="spellEnd"/>
      <w:r w:rsidR="004B176E" w:rsidRPr="000A7C5F">
        <w:rPr>
          <w:szCs w:val="28"/>
        </w:rPr>
        <w:t xml:space="preserve"> has expand</w:t>
      </w:r>
      <w:r w:rsidR="00783A70" w:rsidRPr="000A7C5F">
        <w:rPr>
          <w:szCs w:val="28"/>
        </w:rPr>
        <w:t>ed</w:t>
      </w:r>
      <w:r w:rsidR="004B176E" w:rsidRPr="000A7C5F">
        <w:rPr>
          <w:szCs w:val="28"/>
        </w:rPr>
        <w:t xml:space="preserve"> the terminal illness "six month rule" to twelve months</w:t>
      </w:r>
      <w:r w:rsidR="00783A70" w:rsidRPr="000A7C5F">
        <w:rPr>
          <w:szCs w:val="28"/>
        </w:rPr>
        <w:t xml:space="preserve"> in response to the threat of legal action</w:t>
      </w:r>
      <w:r w:rsidRPr="000A7C5F">
        <w:rPr>
          <w:szCs w:val="28"/>
        </w:rPr>
        <w:t xml:space="preserve">. This is welcome. </w:t>
      </w:r>
      <w:r w:rsidR="004B176E" w:rsidRPr="000A7C5F">
        <w:rPr>
          <w:szCs w:val="28"/>
        </w:rPr>
        <w:t xml:space="preserve"> </w:t>
      </w:r>
      <w:r w:rsidR="00783A70" w:rsidRPr="000A7C5F">
        <w:rPr>
          <w:szCs w:val="28"/>
        </w:rPr>
        <w:t>F</w:t>
      </w:r>
      <w:r w:rsidR="004B176E" w:rsidRPr="000A7C5F">
        <w:rPr>
          <w:szCs w:val="28"/>
        </w:rPr>
        <w:t>igures revealed that more than 100 terminally ill people were being turned down for PIP each month despite having less than six months to live.</w:t>
      </w:r>
      <w:r w:rsidR="004B176E" w:rsidRPr="000A7C5F">
        <w:rPr>
          <w:rStyle w:val="FootnoteReference"/>
          <w:szCs w:val="28"/>
        </w:rPr>
        <w:footnoteReference w:id="305"/>
      </w:r>
      <w:r w:rsidR="00783A70" w:rsidRPr="000A7C5F">
        <w:rPr>
          <w:szCs w:val="28"/>
        </w:rPr>
        <w:t xml:space="preserve"> </w:t>
      </w:r>
      <w:r w:rsidRPr="000A7C5F">
        <w:rPr>
          <w:szCs w:val="28"/>
        </w:rPr>
        <w:t xml:space="preserve">However, </w:t>
      </w:r>
      <w:r w:rsidR="00783A70" w:rsidRPr="000A7C5F">
        <w:rPr>
          <w:szCs w:val="28"/>
        </w:rPr>
        <w:t xml:space="preserve">we have learned that </w:t>
      </w:r>
      <w:r w:rsidRPr="000A7C5F">
        <w:rPr>
          <w:szCs w:val="28"/>
        </w:rPr>
        <w:t>t</w:t>
      </w:r>
      <w:r w:rsidR="00941F7B" w:rsidRPr="000A7C5F">
        <w:rPr>
          <w:szCs w:val="28"/>
        </w:rPr>
        <w:t xml:space="preserve">he cost of this concession will be off-set by </w:t>
      </w:r>
      <w:proofErr w:type="spellStart"/>
      <w:r w:rsidRPr="000A7C5F">
        <w:rPr>
          <w:szCs w:val="28"/>
        </w:rPr>
        <w:t>WeG</w:t>
      </w:r>
      <w:proofErr w:type="spellEnd"/>
      <w:r w:rsidR="004B176E" w:rsidRPr="000A7C5F">
        <w:rPr>
          <w:szCs w:val="28"/>
        </w:rPr>
        <w:t xml:space="preserve"> reneging on its pledge to limit reassessments for those with unchanging or degenerative conditions</w:t>
      </w:r>
      <w:r w:rsidR="001B6B3C" w:rsidRPr="000A7C5F">
        <w:rPr>
          <w:rStyle w:val="FootnoteReference"/>
          <w:szCs w:val="28"/>
        </w:rPr>
        <w:footnoteReference w:id="306"/>
      </w:r>
      <w:r w:rsidR="004B176E" w:rsidRPr="000A7C5F">
        <w:rPr>
          <w:szCs w:val="28"/>
        </w:rPr>
        <w:t>. Policy costings attached to the 2021 Autumn Budget estimate that the combin</w:t>
      </w:r>
      <w:r w:rsidR="00941F7B" w:rsidRPr="000A7C5F">
        <w:rPr>
          <w:szCs w:val="28"/>
        </w:rPr>
        <w:t xml:space="preserve">ation of these two measures </w:t>
      </w:r>
      <w:r w:rsidR="004B176E" w:rsidRPr="000A7C5F">
        <w:rPr>
          <w:szCs w:val="28"/>
        </w:rPr>
        <w:t xml:space="preserve">will </w:t>
      </w:r>
      <w:r w:rsidR="00941F7B" w:rsidRPr="000A7C5F">
        <w:rPr>
          <w:szCs w:val="28"/>
        </w:rPr>
        <w:t xml:space="preserve">make </w:t>
      </w:r>
      <w:r w:rsidR="004B176E" w:rsidRPr="000A7C5F">
        <w:rPr>
          <w:szCs w:val="28"/>
        </w:rPr>
        <w:t xml:space="preserve">a </w:t>
      </w:r>
      <w:r w:rsidR="00941F7B" w:rsidRPr="000A7C5F">
        <w:rPr>
          <w:szCs w:val="28"/>
        </w:rPr>
        <w:t>projected</w:t>
      </w:r>
      <w:r w:rsidR="004B176E" w:rsidRPr="000A7C5F">
        <w:rPr>
          <w:szCs w:val="28"/>
        </w:rPr>
        <w:t xml:space="preserve"> saving of £70 from 2022/3</w:t>
      </w:r>
      <w:r w:rsidR="00560018">
        <w:rPr>
          <w:szCs w:val="28"/>
        </w:rPr>
        <w:t xml:space="preserve"> – </w:t>
      </w:r>
      <w:r w:rsidR="004B176E" w:rsidRPr="000A7C5F">
        <w:rPr>
          <w:szCs w:val="28"/>
        </w:rPr>
        <w:t>2024/5.</w:t>
      </w:r>
    </w:p>
    <w:p w14:paraId="1D3207C5" w14:textId="77777777" w:rsidR="00B2326F" w:rsidRPr="000A7C5F" w:rsidRDefault="00B2326F" w:rsidP="00E739BB">
      <w:pPr>
        <w:pStyle w:val="ListParagraph"/>
        <w:ind w:left="851" w:hanging="851"/>
        <w:rPr>
          <w:szCs w:val="28"/>
        </w:rPr>
      </w:pPr>
    </w:p>
    <w:p w14:paraId="61D45E9D" w14:textId="54943D51" w:rsidR="00740A10" w:rsidRPr="000A7C5F" w:rsidRDefault="004B176E" w:rsidP="00794060">
      <w:pPr>
        <w:pStyle w:val="ListParagraph"/>
        <w:numPr>
          <w:ilvl w:val="0"/>
          <w:numId w:val="3"/>
        </w:numPr>
        <w:spacing w:before="240"/>
        <w:ind w:left="851" w:hanging="851"/>
        <w:rPr>
          <w:szCs w:val="28"/>
        </w:rPr>
      </w:pPr>
      <w:r w:rsidRPr="000A7C5F">
        <w:rPr>
          <w:szCs w:val="28"/>
        </w:rPr>
        <w:t xml:space="preserve">DDP are concerned that </w:t>
      </w:r>
      <w:r w:rsidR="001B6B3C" w:rsidRPr="000A7C5F">
        <w:rPr>
          <w:szCs w:val="28"/>
        </w:rPr>
        <w:t>recent</w:t>
      </w:r>
      <w:r w:rsidRPr="000A7C5F">
        <w:rPr>
          <w:szCs w:val="28"/>
        </w:rPr>
        <w:t xml:space="preserve"> proposals to merge</w:t>
      </w:r>
      <w:r w:rsidR="001B6B3C" w:rsidRPr="000A7C5F">
        <w:rPr>
          <w:szCs w:val="28"/>
        </w:rPr>
        <w:t xml:space="preserve"> benefit</w:t>
      </w:r>
      <w:r w:rsidRPr="000A7C5F">
        <w:rPr>
          <w:szCs w:val="28"/>
        </w:rPr>
        <w:t xml:space="preserve"> assessments for ESA and PIP </w:t>
      </w:r>
      <w:r w:rsidR="001B6B3C" w:rsidRPr="000A7C5F">
        <w:rPr>
          <w:szCs w:val="28"/>
        </w:rPr>
        <w:t xml:space="preserve">will tighten eligibility </w:t>
      </w:r>
      <w:r w:rsidR="00941F7B" w:rsidRPr="000A7C5F">
        <w:rPr>
          <w:szCs w:val="28"/>
        </w:rPr>
        <w:t xml:space="preserve">and </w:t>
      </w:r>
      <w:r w:rsidR="001B6B3C" w:rsidRPr="000A7C5F">
        <w:rPr>
          <w:szCs w:val="28"/>
        </w:rPr>
        <w:t>could</w:t>
      </w:r>
      <w:r w:rsidR="00941F7B" w:rsidRPr="000A7C5F">
        <w:rPr>
          <w:szCs w:val="28"/>
        </w:rPr>
        <w:t xml:space="preserve"> </w:t>
      </w:r>
      <w:r w:rsidRPr="000A7C5F">
        <w:rPr>
          <w:szCs w:val="28"/>
        </w:rPr>
        <w:t xml:space="preserve">undermine the non-means-tested nature of PIP by linking it to </w:t>
      </w:r>
      <w:r w:rsidR="00E61650" w:rsidRPr="000A7C5F">
        <w:rPr>
          <w:szCs w:val="28"/>
        </w:rPr>
        <w:t xml:space="preserve">ESA which is an </w:t>
      </w:r>
      <w:r w:rsidRPr="000A7C5F">
        <w:rPr>
          <w:szCs w:val="28"/>
        </w:rPr>
        <w:t>out of work disability benefit.</w:t>
      </w:r>
      <w:r w:rsidRPr="000A7C5F">
        <w:rPr>
          <w:rStyle w:val="FootnoteReference"/>
          <w:szCs w:val="28"/>
        </w:rPr>
        <w:footnoteReference w:id="307"/>
      </w:r>
      <w:r w:rsidR="00941F7B" w:rsidRPr="000A7C5F">
        <w:rPr>
          <w:szCs w:val="28"/>
        </w:rPr>
        <w:t xml:space="preserve"> </w:t>
      </w:r>
      <w:r w:rsidR="00E61650" w:rsidRPr="000A7C5F">
        <w:rPr>
          <w:szCs w:val="28"/>
        </w:rPr>
        <w:t>The Health and Disability</w:t>
      </w:r>
      <w:r w:rsidR="00941F7B" w:rsidRPr="000A7C5F">
        <w:rPr>
          <w:szCs w:val="28"/>
        </w:rPr>
        <w:t xml:space="preserve"> Green Paper </w:t>
      </w:r>
      <w:r w:rsidR="00E61650" w:rsidRPr="000A7C5F">
        <w:rPr>
          <w:szCs w:val="28"/>
        </w:rPr>
        <w:t xml:space="preserve">mentions </w:t>
      </w:r>
      <w:r w:rsidR="00941F7B" w:rsidRPr="000A7C5F">
        <w:rPr>
          <w:szCs w:val="28"/>
        </w:rPr>
        <w:t xml:space="preserve">the need for an “affordable” benefits system </w:t>
      </w:r>
      <w:r w:rsidR="00E61650" w:rsidRPr="000A7C5F">
        <w:rPr>
          <w:szCs w:val="28"/>
        </w:rPr>
        <w:t>in several places</w:t>
      </w:r>
      <w:r w:rsidR="00941F7B" w:rsidRPr="000A7C5F">
        <w:rPr>
          <w:szCs w:val="28"/>
        </w:rPr>
        <w:t>.</w:t>
      </w:r>
      <w:r w:rsidR="00941F7B" w:rsidRPr="000A7C5F">
        <w:rPr>
          <w:rStyle w:val="FootnoteReference"/>
          <w:szCs w:val="28"/>
        </w:rPr>
        <w:footnoteReference w:id="308"/>
      </w:r>
      <w:r w:rsidR="00941F7B" w:rsidRPr="000A7C5F">
        <w:rPr>
          <w:szCs w:val="28"/>
        </w:rPr>
        <w:t xml:space="preserve"> </w:t>
      </w:r>
      <w:r w:rsidRPr="000A7C5F">
        <w:rPr>
          <w:szCs w:val="28"/>
        </w:rPr>
        <w:t xml:space="preserve">DDP </w:t>
      </w:r>
      <w:r w:rsidR="00941F7B" w:rsidRPr="000A7C5F">
        <w:rPr>
          <w:szCs w:val="28"/>
        </w:rPr>
        <w:t xml:space="preserve">fear that </w:t>
      </w:r>
      <w:r w:rsidR="001B6B3C" w:rsidRPr="000A7C5F">
        <w:rPr>
          <w:szCs w:val="28"/>
        </w:rPr>
        <w:t>t</w:t>
      </w:r>
      <w:r w:rsidRPr="000A7C5F">
        <w:rPr>
          <w:szCs w:val="28"/>
        </w:rPr>
        <w:t xml:space="preserve">hat </w:t>
      </w:r>
      <w:proofErr w:type="spellStart"/>
      <w:r w:rsidR="009037D2" w:rsidRPr="000A7C5F">
        <w:rPr>
          <w:szCs w:val="28"/>
        </w:rPr>
        <w:t>WeG</w:t>
      </w:r>
      <w:proofErr w:type="spellEnd"/>
      <w:r w:rsidRPr="000A7C5F">
        <w:rPr>
          <w:szCs w:val="28"/>
        </w:rPr>
        <w:t xml:space="preserve"> proposals to limit access to judicial review</w:t>
      </w:r>
      <w:r w:rsidR="009037D2" w:rsidRPr="000A7C5F">
        <w:rPr>
          <w:rStyle w:val="FootnoteReference"/>
          <w:szCs w:val="28"/>
        </w:rPr>
        <w:footnoteReference w:id="309"/>
      </w:r>
      <w:r w:rsidRPr="000A7C5F">
        <w:rPr>
          <w:szCs w:val="28"/>
        </w:rPr>
        <w:t xml:space="preserve"> are intended to prevent legal challenges against </w:t>
      </w:r>
      <w:r w:rsidR="00941F7B" w:rsidRPr="000A7C5F">
        <w:rPr>
          <w:szCs w:val="28"/>
        </w:rPr>
        <w:t>future attempts to limit eligibility</w:t>
      </w:r>
      <w:r w:rsidR="009B1500" w:rsidRPr="000A7C5F">
        <w:rPr>
          <w:szCs w:val="28"/>
        </w:rPr>
        <w:t xml:space="preserve"> and deny benefits to DDP who need them</w:t>
      </w:r>
      <w:r w:rsidRPr="000A7C5F">
        <w:rPr>
          <w:szCs w:val="28"/>
        </w:rPr>
        <w:t xml:space="preserve">. </w:t>
      </w:r>
    </w:p>
    <w:p w14:paraId="6266103B" w14:textId="77777777" w:rsidR="00FA1A2D" w:rsidRPr="000A7C5F" w:rsidRDefault="00FA1A2D" w:rsidP="00E739BB">
      <w:pPr>
        <w:pStyle w:val="ListParagraph"/>
        <w:rPr>
          <w:szCs w:val="28"/>
        </w:rPr>
      </w:pPr>
    </w:p>
    <w:p w14:paraId="53F5B480" w14:textId="14187863" w:rsidR="00BF3652" w:rsidRPr="000A7C5F" w:rsidRDefault="00FA1A2D" w:rsidP="00794060">
      <w:pPr>
        <w:pStyle w:val="ListParagraph"/>
        <w:numPr>
          <w:ilvl w:val="0"/>
          <w:numId w:val="3"/>
        </w:numPr>
        <w:spacing w:before="240"/>
        <w:ind w:left="851" w:hanging="851"/>
        <w:rPr>
          <w:szCs w:val="28"/>
        </w:rPr>
      </w:pPr>
      <w:r w:rsidRPr="000A7C5F">
        <w:rPr>
          <w:szCs w:val="28"/>
        </w:rPr>
        <w:lastRenderedPageBreak/>
        <w:t>Nothing has been done to bring benefit assessments in line with a human rights approach and they continue to be underpinned by the Waddell-Aylward biopsychosocial model of disability which is contrary to this</w:t>
      </w:r>
      <w:r w:rsidRPr="000A7C5F">
        <w:rPr>
          <w:rStyle w:val="FootnoteReference"/>
          <w:szCs w:val="28"/>
        </w:rPr>
        <w:footnoteReference w:id="310"/>
      </w:r>
      <w:r w:rsidRPr="000A7C5F">
        <w:rPr>
          <w:szCs w:val="28"/>
        </w:rPr>
        <w:t>.</w:t>
      </w:r>
    </w:p>
    <w:p w14:paraId="4CE81E57" w14:textId="72D38E0B" w:rsidR="00B45975" w:rsidRPr="00B45975" w:rsidRDefault="00941F7B" w:rsidP="00044230">
      <w:pPr>
        <w:pStyle w:val="Heading2"/>
      </w:pPr>
      <w:bookmarkStart w:id="33" w:name="_Toc98504901"/>
      <w:bookmarkStart w:id="34" w:name="_Toc98505546"/>
      <w:bookmarkStart w:id="35" w:name="_Toc98506552"/>
      <w:r w:rsidRPr="000A7C5F">
        <w:t xml:space="preserve">Theme </w:t>
      </w:r>
      <w:r w:rsidR="009B1500" w:rsidRPr="000A7C5F">
        <w:t>3</w:t>
      </w:r>
      <w:r w:rsidR="00061FFA" w:rsidRPr="000A7C5F">
        <w:t>: Silencing DDP</w:t>
      </w:r>
      <w:bookmarkEnd w:id="33"/>
      <w:bookmarkEnd w:id="34"/>
      <w:bookmarkEnd w:id="35"/>
    </w:p>
    <w:p w14:paraId="10C7E1C9" w14:textId="7002796D" w:rsidR="00E068B8" w:rsidRPr="000A7C5F" w:rsidRDefault="009037D2" w:rsidP="00794060">
      <w:pPr>
        <w:pStyle w:val="ListParagraph"/>
        <w:numPr>
          <w:ilvl w:val="0"/>
          <w:numId w:val="3"/>
        </w:numPr>
        <w:ind w:left="851" w:hanging="851"/>
        <w:rPr>
          <w:szCs w:val="28"/>
        </w:rPr>
      </w:pPr>
      <w:r w:rsidRPr="000A7C5F">
        <w:rPr>
          <w:szCs w:val="28"/>
        </w:rPr>
        <w:t xml:space="preserve">Opportunities for DDP to get our voices heard and to challenge inequality and </w:t>
      </w:r>
      <w:r w:rsidR="009B1500" w:rsidRPr="000A7C5F">
        <w:rPr>
          <w:szCs w:val="28"/>
        </w:rPr>
        <w:t>discrimination are</w:t>
      </w:r>
      <w:r w:rsidRPr="000A7C5F">
        <w:rPr>
          <w:szCs w:val="28"/>
        </w:rPr>
        <w:t xml:space="preserve"> diminishing. </w:t>
      </w:r>
      <w:proofErr w:type="spellStart"/>
      <w:r w:rsidR="002811C5" w:rsidRPr="000A7C5F">
        <w:rPr>
          <w:szCs w:val="28"/>
        </w:rPr>
        <w:t>WeG</w:t>
      </w:r>
      <w:proofErr w:type="spellEnd"/>
      <w:r w:rsidR="002811C5" w:rsidRPr="000A7C5F">
        <w:rPr>
          <w:szCs w:val="28"/>
        </w:rPr>
        <w:t xml:space="preserve"> has been criticised for appearing not to listen to criticism by numerous bodies including the National Audit Office</w:t>
      </w:r>
      <w:r w:rsidR="002811C5" w:rsidRPr="000A7C5F">
        <w:rPr>
          <w:rStyle w:val="FootnoteReference"/>
          <w:szCs w:val="28"/>
        </w:rPr>
        <w:footnoteReference w:id="311"/>
      </w:r>
      <w:r w:rsidR="002811C5" w:rsidRPr="000A7C5F">
        <w:rPr>
          <w:szCs w:val="28"/>
        </w:rPr>
        <w:t>, Parliamentary committees</w:t>
      </w:r>
      <w:r w:rsidR="002811C5" w:rsidRPr="000A7C5F">
        <w:rPr>
          <w:rStyle w:val="FootnoteReference"/>
          <w:szCs w:val="28"/>
        </w:rPr>
        <w:footnoteReference w:id="312"/>
      </w:r>
      <w:r w:rsidR="002811C5" w:rsidRPr="000A7C5F">
        <w:rPr>
          <w:szCs w:val="28"/>
        </w:rPr>
        <w:t xml:space="preserve"> and the UN Special Rapporteur on Poverty</w:t>
      </w:r>
      <w:r w:rsidR="002811C5" w:rsidRPr="000A7C5F">
        <w:rPr>
          <w:rStyle w:val="FootnoteReference"/>
          <w:szCs w:val="28"/>
        </w:rPr>
        <w:footnoteReference w:id="313"/>
      </w:r>
      <w:r w:rsidR="002811C5" w:rsidRPr="000A7C5F">
        <w:rPr>
          <w:szCs w:val="28"/>
        </w:rPr>
        <w:t>.</w:t>
      </w:r>
    </w:p>
    <w:p w14:paraId="74A14D61" w14:textId="77777777" w:rsidR="00E068B8" w:rsidRPr="000A7C5F" w:rsidRDefault="00E068B8" w:rsidP="00E739BB">
      <w:pPr>
        <w:pStyle w:val="ListParagraph"/>
        <w:ind w:left="735"/>
        <w:rPr>
          <w:szCs w:val="28"/>
        </w:rPr>
      </w:pPr>
    </w:p>
    <w:p w14:paraId="34F075DA" w14:textId="6AA8401E" w:rsidR="00BA4EBA" w:rsidRPr="000A7C5F" w:rsidRDefault="009037D2" w:rsidP="00794060">
      <w:pPr>
        <w:pStyle w:val="ListParagraph"/>
        <w:numPr>
          <w:ilvl w:val="0"/>
          <w:numId w:val="3"/>
        </w:numPr>
        <w:ind w:left="851" w:hanging="851"/>
        <w:rPr>
          <w:szCs w:val="28"/>
        </w:rPr>
      </w:pPr>
      <w:r w:rsidRPr="000A7C5F">
        <w:rPr>
          <w:szCs w:val="28"/>
        </w:rPr>
        <w:lastRenderedPageBreak/>
        <w:t>It is well established that DDP die earlier than non-</w:t>
      </w:r>
      <w:r w:rsidR="00147A89" w:rsidRPr="000A7C5F">
        <w:rPr>
          <w:szCs w:val="28"/>
        </w:rPr>
        <w:t>D</w:t>
      </w:r>
      <w:r w:rsidRPr="000A7C5F">
        <w:rPr>
          <w:szCs w:val="28"/>
        </w:rPr>
        <w:t>isabled people</w:t>
      </w:r>
      <w:r w:rsidR="00E068B8" w:rsidRPr="000A7C5F">
        <w:rPr>
          <w:rStyle w:val="FootnoteReference"/>
          <w:szCs w:val="28"/>
        </w:rPr>
        <w:footnoteReference w:id="314"/>
      </w:r>
      <w:r w:rsidRPr="000A7C5F">
        <w:rPr>
          <w:szCs w:val="28"/>
        </w:rPr>
        <w:t xml:space="preserve">. This trend has been exacerbated by austerity and </w:t>
      </w:r>
      <w:proofErr w:type="spellStart"/>
      <w:r w:rsidRPr="000A7C5F">
        <w:rPr>
          <w:szCs w:val="28"/>
        </w:rPr>
        <w:t>WeG’s</w:t>
      </w:r>
      <w:proofErr w:type="spellEnd"/>
      <w:r w:rsidRPr="000A7C5F">
        <w:rPr>
          <w:szCs w:val="28"/>
        </w:rPr>
        <w:t xml:space="preserve"> response to COVID where DDP died disproportionately</w:t>
      </w:r>
      <w:r w:rsidR="00E068B8" w:rsidRPr="000A7C5F">
        <w:rPr>
          <w:rStyle w:val="FootnoteReference"/>
          <w:szCs w:val="28"/>
        </w:rPr>
        <w:footnoteReference w:id="315"/>
      </w:r>
      <w:r w:rsidRPr="000A7C5F">
        <w:rPr>
          <w:szCs w:val="28"/>
        </w:rPr>
        <w:t xml:space="preserve">. </w:t>
      </w:r>
      <w:r w:rsidR="00BD18CE" w:rsidRPr="000A7C5F">
        <w:rPr>
          <w:szCs w:val="28"/>
        </w:rPr>
        <w:t xml:space="preserve">DDP </w:t>
      </w:r>
      <w:r w:rsidR="009B1500" w:rsidRPr="000A7C5F">
        <w:rPr>
          <w:szCs w:val="28"/>
        </w:rPr>
        <w:t>are dying who have</w:t>
      </w:r>
      <w:r w:rsidR="00BD18CE" w:rsidRPr="000A7C5F">
        <w:rPr>
          <w:szCs w:val="28"/>
        </w:rPr>
        <w:t xml:space="preserve"> experience of living in the community</w:t>
      </w:r>
      <w:r w:rsidRPr="000A7C5F">
        <w:rPr>
          <w:szCs w:val="28"/>
        </w:rPr>
        <w:t xml:space="preserve"> </w:t>
      </w:r>
      <w:r w:rsidR="00BD18CE" w:rsidRPr="000A7C5F">
        <w:rPr>
          <w:szCs w:val="28"/>
        </w:rPr>
        <w:t>and speaking up on disability justice issues</w:t>
      </w:r>
      <w:r w:rsidR="009B1500" w:rsidRPr="000A7C5F">
        <w:rPr>
          <w:szCs w:val="28"/>
        </w:rPr>
        <w:t xml:space="preserve">, </w:t>
      </w:r>
      <w:r w:rsidR="00BD18CE" w:rsidRPr="000A7C5F">
        <w:rPr>
          <w:szCs w:val="28"/>
        </w:rPr>
        <w:t>while the younger generation are being segregated</w:t>
      </w:r>
      <w:r w:rsidR="009B1500" w:rsidRPr="000A7C5F">
        <w:rPr>
          <w:szCs w:val="28"/>
        </w:rPr>
        <w:t xml:space="preserve"> out of sight in places where they are spoken </w:t>
      </w:r>
      <w:r w:rsidR="008D2AF2" w:rsidRPr="000A7C5F">
        <w:rPr>
          <w:i/>
          <w:iCs/>
          <w:szCs w:val="28"/>
        </w:rPr>
        <w:t>about</w:t>
      </w:r>
      <w:r w:rsidR="008D2AF2" w:rsidRPr="000A7C5F">
        <w:rPr>
          <w:szCs w:val="28"/>
        </w:rPr>
        <w:t xml:space="preserve"> and </w:t>
      </w:r>
      <w:r w:rsidR="009B1500" w:rsidRPr="000A7C5F">
        <w:rPr>
          <w:i/>
          <w:iCs/>
          <w:szCs w:val="28"/>
        </w:rPr>
        <w:t>for</w:t>
      </w:r>
      <w:r w:rsidR="00BD18CE" w:rsidRPr="000A7C5F">
        <w:rPr>
          <w:rStyle w:val="FootnoteReference"/>
          <w:szCs w:val="28"/>
        </w:rPr>
        <w:footnoteReference w:id="316"/>
      </w:r>
      <w:r w:rsidR="00BD18CE" w:rsidRPr="000A7C5F">
        <w:rPr>
          <w:szCs w:val="28"/>
        </w:rPr>
        <w:t xml:space="preserve">. </w:t>
      </w:r>
    </w:p>
    <w:p w14:paraId="2A69BBCA" w14:textId="6403B512" w:rsidR="00034253" w:rsidRPr="00134999" w:rsidRDefault="00134999" w:rsidP="00BB6A41">
      <w:pPr>
        <w:pStyle w:val="ArticleHeading"/>
        <w:rPr>
          <w:lang w:val="en-GB"/>
        </w:rPr>
      </w:pPr>
      <w:bookmarkStart w:id="36" w:name="AccesstoJusticeArticle13"/>
      <w:bookmarkEnd w:id="36"/>
      <w:r w:rsidRPr="00134999">
        <w:rPr>
          <w:lang w:val="en-GB"/>
        </w:rPr>
        <w:t xml:space="preserve">Article 13 </w:t>
      </w:r>
      <w:r w:rsidR="0039655C">
        <w:rPr>
          <w:lang w:val="en-GB"/>
        </w:rPr>
        <w:t xml:space="preserve">– </w:t>
      </w:r>
      <w:r w:rsidRPr="00134999">
        <w:rPr>
          <w:lang w:val="en-GB"/>
        </w:rPr>
        <w:t>Access to Justice</w:t>
      </w:r>
    </w:p>
    <w:p w14:paraId="3D22A001" w14:textId="125FB807" w:rsidR="00034253" w:rsidRPr="000A7C5F" w:rsidRDefault="002D6A75" w:rsidP="00794060">
      <w:pPr>
        <w:pStyle w:val="ListParagraph"/>
        <w:numPr>
          <w:ilvl w:val="0"/>
          <w:numId w:val="3"/>
        </w:numPr>
        <w:ind w:left="851" w:hanging="851"/>
        <w:rPr>
          <w:szCs w:val="28"/>
        </w:rPr>
      </w:pPr>
      <w:bookmarkStart w:id="37" w:name="accesstojustice"/>
      <w:bookmarkEnd w:id="37"/>
      <w:r w:rsidRPr="000A7C5F">
        <w:rPr>
          <w:rFonts w:cstheme="minorHAnsi"/>
          <w:szCs w:val="28"/>
        </w:rPr>
        <w:t>In 2018, a report by the EHRC found: “access to justice has</w:t>
      </w:r>
      <w:r w:rsidR="00207D59" w:rsidRPr="000A7C5F">
        <w:rPr>
          <w:rFonts w:cstheme="minorHAnsi"/>
          <w:szCs w:val="28"/>
        </w:rPr>
        <w:t xml:space="preserve"> </w:t>
      </w:r>
      <w:r w:rsidRPr="000A7C5F">
        <w:rPr>
          <w:rFonts w:cstheme="minorHAnsi"/>
          <w:szCs w:val="28"/>
        </w:rPr>
        <w:t>deteriorated</w:t>
      </w:r>
      <w:r w:rsidR="007561A6" w:rsidRPr="000A7C5F">
        <w:rPr>
          <w:rFonts w:cstheme="minorHAnsi"/>
          <w:szCs w:val="28"/>
        </w:rPr>
        <w:t>”</w:t>
      </w:r>
      <w:r w:rsidR="007561A6" w:rsidRPr="000A7C5F">
        <w:rPr>
          <w:rStyle w:val="FootnoteReference"/>
          <w:rFonts w:cstheme="minorHAnsi"/>
          <w:szCs w:val="28"/>
        </w:rPr>
        <w:footnoteReference w:id="317"/>
      </w:r>
      <w:r w:rsidRPr="000A7C5F">
        <w:rPr>
          <w:rFonts w:cstheme="minorHAnsi"/>
          <w:szCs w:val="28"/>
        </w:rPr>
        <w:t>.</w:t>
      </w:r>
      <w:r w:rsidR="00E068B8" w:rsidRPr="000A7C5F">
        <w:t xml:space="preserve"> </w:t>
      </w:r>
      <w:proofErr w:type="spellStart"/>
      <w:r w:rsidR="009037D2" w:rsidRPr="000A7C5F">
        <w:rPr>
          <w:rFonts w:cstheme="minorHAnsi"/>
          <w:szCs w:val="28"/>
        </w:rPr>
        <w:t>WeG</w:t>
      </w:r>
      <w:r w:rsidR="007561A6" w:rsidRPr="000A7C5F">
        <w:rPr>
          <w:rFonts w:cstheme="minorHAnsi"/>
          <w:szCs w:val="28"/>
        </w:rPr>
        <w:t>’s</w:t>
      </w:r>
      <w:proofErr w:type="spellEnd"/>
      <w:r w:rsidR="007561A6" w:rsidRPr="000A7C5F">
        <w:rPr>
          <w:rFonts w:cstheme="minorHAnsi"/>
          <w:szCs w:val="28"/>
        </w:rPr>
        <w:t xml:space="preserve"> long-awaited LASPO review</w:t>
      </w:r>
      <w:r w:rsidR="00E622C5" w:rsidRPr="000A7C5F">
        <w:rPr>
          <w:vertAlign w:val="superscript"/>
        </w:rPr>
        <w:t xml:space="preserve"> </w:t>
      </w:r>
      <w:r w:rsidR="007561A6" w:rsidRPr="000A7C5F">
        <w:rPr>
          <w:rFonts w:cstheme="minorHAnsi"/>
          <w:szCs w:val="28"/>
        </w:rPr>
        <w:t>and associated Action Plan were disappointing in that they offered no immediate improvement to this situation</w:t>
      </w:r>
      <w:r w:rsidR="00E622C5" w:rsidRPr="000A7C5F">
        <w:rPr>
          <w:rStyle w:val="FootnoteReference"/>
          <w:rFonts w:cstheme="minorHAnsi"/>
          <w:szCs w:val="28"/>
        </w:rPr>
        <w:footnoteReference w:id="318"/>
      </w:r>
      <w:r w:rsidR="007561A6" w:rsidRPr="000A7C5F">
        <w:rPr>
          <w:rFonts w:cstheme="minorHAnsi"/>
          <w:szCs w:val="28"/>
        </w:rPr>
        <w:t xml:space="preserve">. </w:t>
      </w:r>
      <w:r w:rsidR="008D2AF2" w:rsidRPr="000A7C5F">
        <w:rPr>
          <w:rFonts w:cstheme="minorHAnsi"/>
          <w:szCs w:val="28"/>
        </w:rPr>
        <w:t>N</w:t>
      </w:r>
      <w:r w:rsidR="007561A6" w:rsidRPr="000A7C5F">
        <w:rPr>
          <w:rFonts w:cstheme="minorHAnsi"/>
          <w:szCs w:val="28"/>
        </w:rPr>
        <w:t xml:space="preserve">othing </w:t>
      </w:r>
      <w:r w:rsidR="008D2AF2" w:rsidRPr="000A7C5F">
        <w:rPr>
          <w:rFonts w:cstheme="minorHAnsi"/>
          <w:szCs w:val="28"/>
        </w:rPr>
        <w:t xml:space="preserve">was included </w:t>
      </w:r>
      <w:r w:rsidR="007561A6" w:rsidRPr="000A7C5F">
        <w:rPr>
          <w:rFonts w:cstheme="minorHAnsi"/>
          <w:szCs w:val="28"/>
        </w:rPr>
        <w:t xml:space="preserve">about reinstating legal aid for initial welfare advice and employment claims despite clear evidence that the lack of support to resolve </w:t>
      </w:r>
      <w:r w:rsidR="007561A6" w:rsidRPr="000A7C5F">
        <w:rPr>
          <w:rFonts w:cstheme="minorHAnsi"/>
          <w:szCs w:val="28"/>
        </w:rPr>
        <w:lastRenderedPageBreak/>
        <w:t xml:space="preserve">legal issues has negative </w:t>
      </w:r>
      <w:r w:rsidR="008D2AF2" w:rsidRPr="000A7C5F">
        <w:rPr>
          <w:rFonts w:cstheme="minorHAnsi"/>
          <w:szCs w:val="28"/>
        </w:rPr>
        <w:t xml:space="preserve">impacts on </w:t>
      </w:r>
      <w:r w:rsidR="007561A6" w:rsidRPr="000A7C5F">
        <w:rPr>
          <w:rFonts w:cstheme="minorHAnsi"/>
          <w:szCs w:val="28"/>
        </w:rPr>
        <w:t>emotional, social, financial and mental health.</w:t>
      </w:r>
      <w:r w:rsidR="007561A6" w:rsidRPr="000A7C5F">
        <w:rPr>
          <w:vertAlign w:val="superscript"/>
        </w:rPr>
        <w:footnoteReference w:id="319"/>
      </w:r>
      <w:r w:rsidR="007561A6" w:rsidRPr="000A7C5F">
        <w:rPr>
          <w:rFonts w:cstheme="minorHAnsi"/>
          <w:szCs w:val="28"/>
        </w:rPr>
        <w:t xml:space="preserve"> </w:t>
      </w:r>
      <w:proofErr w:type="spellStart"/>
      <w:r w:rsidR="009037D2" w:rsidRPr="000A7C5F">
        <w:rPr>
          <w:rFonts w:cstheme="minorHAnsi"/>
          <w:szCs w:val="28"/>
        </w:rPr>
        <w:t>WeG</w:t>
      </w:r>
      <w:proofErr w:type="spellEnd"/>
      <w:r w:rsidR="007561A6" w:rsidRPr="000A7C5F">
        <w:rPr>
          <w:rFonts w:cstheme="minorHAnsi"/>
          <w:szCs w:val="28"/>
        </w:rPr>
        <w:t xml:space="preserve"> committed to reviewing thresholds for legal aid but there is no guarantee they will up them.</w:t>
      </w:r>
    </w:p>
    <w:p w14:paraId="746126CB" w14:textId="77777777" w:rsidR="00034253" w:rsidRPr="000A7C5F" w:rsidRDefault="00034253" w:rsidP="00E739BB">
      <w:pPr>
        <w:pStyle w:val="ListParagraph"/>
        <w:ind w:left="851" w:hanging="851"/>
        <w:rPr>
          <w:rFonts w:cstheme="minorHAnsi"/>
          <w:szCs w:val="28"/>
        </w:rPr>
      </w:pPr>
    </w:p>
    <w:p w14:paraId="2CE901E6" w14:textId="77777777" w:rsidR="00034253" w:rsidRPr="000A7C5F" w:rsidRDefault="002D6A75" w:rsidP="00794060">
      <w:pPr>
        <w:pStyle w:val="ListParagraph"/>
        <w:numPr>
          <w:ilvl w:val="0"/>
          <w:numId w:val="3"/>
        </w:numPr>
        <w:ind w:left="851" w:hanging="851"/>
        <w:rPr>
          <w:szCs w:val="28"/>
        </w:rPr>
      </w:pPr>
      <w:r w:rsidRPr="000A7C5F">
        <w:rPr>
          <w:rFonts w:cstheme="minorHAnsi"/>
          <w:szCs w:val="28"/>
        </w:rPr>
        <w:t xml:space="preserve">Financial eligibility rules for legal aid funding prevent discrimination cases from going forwards. </w:t>
      </w:r>
      <w:r w:rsidR="00C3214F" w:rsidRPr="000A7C5F">
        <w:rPr>
          <w:rFonts w:cstheme="minorHAnsi"/>
          <w:szCs w:val="28"/>
        </w:rPr>
        <w:t xml:space="preserve">An inquiry by the EHRC </w:t>
      </w:r>
      <w:r w:rsidRPr="000A7C5F">
        <w:rPr>
          <w:rFonts w:cstheme="minorHAnsi"/>
          <w:szCs w:val="28"/>
        </w:rPr>
        <w:t>found that</w:t>
      </w:r>
      <w:r w:rsidR="00C3214F" w:rsidRPr="000A7C5F">
        <w:rPr>
          <w:rFonts w:cstheme="minorHAnsi"/>
          <w:szCs w:val="28"/>
        </w:rPr>
        <w:t xml:space="preserve"> “Victims of discrimination are being denied their fundamental right to justice and perpetrators are going unchallenged because of the current legal aid system.”</w:t>
      </w:r>
      <w:r w:rsidR="00C3214F" w:rsidRPr="000A7C5F">
        <w:rPr>
          <w:vertAlign w:val="superscript"/>
        </w:rPr>
        <w:footnoteReference w:id="320"/>
      </w:r>
    </w:p>
    <w:p w14:paraId="01FAAF72" w14:textId="77777777" w:rsidR="00034253" w:rsidRPr="000A7C5F" w:rsidRDefault="00034253" w:rsidP="00E739BB">
      <w:pPr>
        <w:pStyle w:val="ListParagraph"/>
        <w:ind w:left="851" w:hanging="851"/>
        <w:rPr>
          <w:rFonts w:cstheme="minorHAnsi"/>
          <w:szCs w:val="28"/>
        </w:rPr>
      </w:pPr>
    </w:p>
    <w:p w14:paraId="206FE9B7" w14:textId="06045CAE" w:rsidR="002D4BAF" w:rsidRPr="000A7C5F" w:rsidRDefault="002D4BAF" w:rsidP="00794060">
      <w:pPr>
        <w:pStyle w:val="ListParagraph"/>
        <w:numPr>
          <w:ilvl w:val="0"/>
          <w:numId w:val="3"/>
        </w:numPr>
        <w:ind w:left="851" w:hanging="851"/>
        <w:rPr>
          <w:szCs w:val="28"/>
        </w:rPr>
      </w:pPr>
      <w:r w:rsidRPr="000A7C5F">
        <w:rPr>
          <w:szCs w:val="28"/>
        </w:rPr>
        <w:t xml:space="preserve">The availability of community care lawyers to challenge LA decisions in breach of the Care Act 2014 </w:t>
      </w:r>
      <w:r w:rsidR="008D2AF2" w:rsidRPr="000A7C5F">
        <w:rPr>
          <w:szCs w:val="28"/>
        </w:rPr>
        <w:t>has been badly impacted</w:t>
      </w:r>
      <w:r w:rsidRPr="000A7C5F">
        <w:rPr>
          <w:szCs w:val="28"/>
        </w:rPr>
        <w:t xml:space="preserve"> as a consequence of legal aid cuts</w:t>
      </w:r>
      <w:r w:rsidRPr="000A7C5F">
        <w:rPr>
          <w:rStyle w:val="FootnoteReference"/>
          <w:szCs w:val="28"/>
        </w:rPr>
        <w:footnoteReference w:id="321"/>
      </w:r>
      <w:r w:rsidRPr="000A7C5F">
        <w:rPr>
          <w:szCs w:val="28"/>
        </w:rPr>
        <w:t>. LA complaints procedures are difficult to navigate for many DDP and the appeals process under the Care Act has never been introduced. Once LA complaints procedures have been exhausted, complainants can take their case to the LGSCO who has spoken out against “the general erosion to the visibility, capacity, and status of complaint functions within councils.” The LGSCO annual review for 2020-2021 showed that investigations are increasingly finding systemic problems rather than one-off mistakes with local government services</w:t>
      </w:r>
      <w:r w:rsidRPr="000A7C5F">
        <w:rPr>
          <w:rStyle w:val="FootnoteReference"/>
          <w:szCs w:val="28"/>
        </w:rPr>
        <w:footnoteReference w:id="322"/>
      </w:r>
      <w:r w:rsidRPr="000A7C5F">
        <w:rPr>
          <w:szCs w:val="28"/>
        </w:rPr>
        <w:t>.</w:t>
      </w:r>
    </w:p>
    <w:p w14:paraId="695B8F64" w14:textId="77777777" w:rsidR="002D4BAF" w:rsidRPr="000A7C5F" w:rsidRDefault="002D4BAF" w:rsidP="00E739BB">
      <w:pPr>
        <w:pStyle w:val="ListParagraph"/>
        <w:ind w:left="735"/>
        <w:rPr>
          <w:szCs w:val="28"/>
        </w:rPr>
      </w:pPr>
    </w:p>
    <w:p w14:paraId="4791E513" w14:textId="06C35D72" w:rsidR="000859A7" w:rsidRPr="000A7C5F" w:rsidRDefault="00DB5B0C" w:rsidP="00794060">
      <w:pPr>
        <w:pStyle w:val="ListParagraph"/>
        <w:numPr>
          <w:ilvl w:val="0"/>
          <w:numId w:val="3"/>
        </w:numPr>
        <w:ind w:left="851" w:hanging="851"/>
        <w:rPr>
          <w:szCs w:val="28"/>
        </w:rPr>
      </w:pPr>
      <w:bookmarkStart w:id="38" w:name="judicialreview"/>
      <w:bookmarkEnd w:id="38"/>
      <w:r w:rsidRPr="000A7C5F">
        <w:rPr>
          <w:rFonts w:cstheme="minorHAnsi"/>
          <w:szCs w:val="28"/>
        </w:rPr>
        <w:lastRenderedPageBreak/>
        <w:t xml:space="preserve">DDP and DDPOs are concerned that </w:t>
      </w:r>
      <w:proofErr w:type="spellStart"/>
      <w:r w:rsidR="009037D2" w:rsidRPr="000A7C5F">
        <w:rPr>
          <w:rFonts w:cstheme="minorHAnsi"/>
          <w:szCs w:val="28"/>
        </w:rPr>
        <w:t>WeG</w:t>
      </w:r>
      <w:proofErr w:type="spellEnd"/>
      <w:r w:rsidR="00207D59" w:rsidRPr="000A7C5F">
        <w:rPr>
          <w:rFonts w:cstheme="minorHAnsi"/>
          <w:szCs w:val="28"/>
        </w:rPr>
        <w:t xml:space="preserve"> proposals to limit access to judicial review </w:t>
      </w:r>
      <w:r w:rsidR="00285005" w:rsidRPr="000A7C5F">
        <w:rPr>
          <w:rFonts w:cstheme="minorHAnsi"/>
          <w:szCs w:val="28"/>
        </w:rPr>
        <w:t xml:space="preserve">(JR) </w:t>
      </w:r>
      <w:r w:rsidRPr="000A7C5F">
        <w:rPr>
          <w:rFonts w:cstheme="minorHAnsi"/>
          <w:szCs w:val="28"/>
        </w:rPr>
        <w:t xml:space="preserve">will </w:t>
      </w:r>
      <w:r w:rsidR="00F263FB" w:rsidRPr="000A7C5F">
        <w:rPr>
          <w:rFonts w:cstheme="minorHAnsi"/>
          <w:szCs w:val="28"/>
        </w:rPr>
        <w:t>make it even more difficult</w:t>
      </w:r>
      <w:r w:rsidR="00285005" w:rsidRPr="000A7C5F">
        <w:rPr>
          <w:rFonts w:cstheme="minorHAnsi"/>
          <w:szCs w:val="28"/>
        </w:rPr>
        <w:t xml:space="preserve"> to </w:t>
      </w:r>
      <w:r w:rsidRPr="000A7C5F">
        <w:rPr>
          <w:rFonts w:cstheme="minorHAnsi"/>
          <w:szCs w:val="28"/>
        </w:rPr>
        <w:t>challeng</w:t>
      </w:r>
      <w:r w:rsidR="00285005" w:rsidRPr="000A7C5F">
        <w:rPr>
          <w:rFonts w:cstheme="minorHAnsi"/>
          <w:szCs w:val="28"/>
        </w:rPr>
        <w:t>e</w:t>
      </w:r>
      <w:r w:rsidRPr="000A7C5F">
        <w:rPr>
          <w:rFonts w:cstheme="minorHAnsi"/>
          <w:szCs w:val="28"/>
        </w:rPr>
        <w:t xml:space="preserve"> and over-turn discriminatory legislative and policy measures</w:t>
      </w:r>
      <w:r w:rsidRPr="000A7C5F">
        <w:rPr>
          <w:rStyle w:val="FootnoteReference"/>
          <w:rFonts w:cstheme="minorHAnsi"/>
          <w:szCs w:val="28"/>
        </w:rPr>
        <w:footnoteReference w:id="323"/>
      </w:r>
      <w:r w:rsidRPr="000A7C5F">
        <w:rPr>
          <w:rFonts w:cstheme="minorHAnsi"/>
          <w:szCs w:val="28"/>
        </w:rPr>
        <w:t xml:space="preserve">. </w:t>
      </w:r>
      <w:hyperlink w:anchor="_Appendix_3:_List" w:history="1">
        <w:r w:rsidRPr="00EB6181">
          <w:rPr>
            <w:rStyle w:val="Hyperlink"/>
            <w:rFonts w:cstheme="minorHAnsi"/>
            <w:szCs w:val="28"/>
          </w:rPr>
          <w:t>Appendix 3</w:t>
        </w:r>
      </w:hyperlink>
      <w:r w:rsidRPr="000A7C5F">
        <w:rPr>
          <w:rFonts w:cstheme="minorHAnsi"/>
          <w:szCs w:val="28"/>
        </w:rPr>
        <w:t xml:space="preserve"> </w:t>
      </w:r>
      <w:r w:rsidR="00A8493B" w:rsidRPr="000A7C5F">
        <w:rPr>
          <w:rFonts w:cstheme="minorHAnsi"/>
          <w:szCs w:val="28"/>
        </w:rPr>
        <w:t xml:space="preserve">lists key disability-related </w:t>
      </w:r>
      <w:r w:rsidR="00285005" w:rsidRPr="000A7C5F">
        <w:rPr>
          <w:rFonts w:cstheme="minorHAnsi"/>
          <w:szCs w:val="28"/>
        </w:rPr>
        <w:t>JR</w:t>
      </w:r>
      <w:r w:rsidR="00A8493B" w:rsidRPr="000A7C5F">
        <w:rPr>
          <w:rFonts w:cstheme="minorHAnsi"/>
          <w:szCs w:val="28"/>
        </w:rPr>
        <w:t>s that have taken place since 2017</w:t>
      </w:r>
      <w:r w:rsidR="00F263FB" w:rsidRPr="000A7C5F">
        <w:rPr>
          <w:rFonts w:cstheme="minorHAnsi"/>
          <w:szCs w:val="28"/>
        </w:rPr>
        <w:t xml:space="preserve"> and which evidence the need for continued access</w:t>
      </w:r>
      <w:r w:rsidR="00A8493B" w:rsidRPr="000A7C5F">
        <w:rPr>
          <w:rStyle w:val="FootnoteReference"/>
          <w:rFonts w:cstheme="minorHAnsi"/>
          <w:szCs w:val="28"/>
        </w:rPr>
        <w:footnoteReference w:id="324"/>
      </w:r>
      <w:r w:rsidR="00A8493B" w:rsidRPr="000A7C5F">
        <w:rPr>
          <w:rFonts w:cstheme="minorHAnsi"/>
          <w:szCs w:val="28"/>
        </w:rPr>
        <w:t>.</w:t>
      </w:r>
      <w:r w:rsidR="00285005" w:rsidRPr="000A7C5F">
        <w:rPr>
          <w:rFonts w:cstheme="minorHAnsi"/>
          <w:szCs w:val="28"/>
        </w:rPr>
        <w:t xml:space="preserve"> DDPOs would rather see expanded access through extension of the time-limit and ability for organisations to bring JRs, removing the pressure on individuals who are personally affected to act as claimants. </w:t>
      </w:r>
    </w:p>
    <w:p w14:paraId="04357D26" w14:textId="77777777" w:rsidR="008D2AF2" w:rsidRPr="000A7C5F" w:rsidRDefault="008D2AF2" w:rsidP="00E739BB">
      <w:pPr>
        <w:pStyle w:val="ListParagraph"/>
        <w:rPr>
          <w:szCs w:val="28"/>
        </w:rPr>
      </w:pPr>
    </w:p>
    <w:p w14:paraId="021BEBE6" w14:textId="08951B32" w:rsidR="008D2AF2" w:rsidRPr="00044230" w:rsidRDefault="008D2AF2" w:rsidP="00044230">
      <w:pPr>
        <w:pStyle w:val="ListParagraph"/>
        <w:numPr>
          <w:ilvl w:val="0"/>
          <w:numId w:val="3"/>
        </w:numPr>
        <w:ind w:left="851" w:hanging="851"/>
        <w:rPr>
          <w:szCs w:val="28"/>
        </w:rPr>
      </w:pPr>
      <w:r w:rsidRPr="000A7C5F">
        <w:rPr>
          <w:szCs w:val="28"/>
        </w:rPr>
        <w:t>DHSC officially supports the Act, Listen, Do principles and yet in practice people with learning difficulties report inaccessible complaints procedures and challenges to being heard</w:t>
      </w:r>
      <w:r w:rsidRPr="000A7C5F">
        <w:rPr>
          <w:rStyle w:val="FootnoteReference"/>
          <w:szCs w:val="28"/>
        </w:rPr>
        <w:footnoteReference w:id="325"/>
      </w:r>
      <w:r w:rsidRPr="000A7C5F">
        <w:rPr>
          <w:szCs w:val="28"/>
        </w:rPr>
        <w:t>.</w:t>
      </w:r>
    </w:p>
    <w:p w14:paraId="08A2C4E2" w14:textId="48AC2AB7" w:rsidR="00EB6A1F" w:rsidRPr="000A7C5F" w:rsidRDefault="000859A7" w:rsidP="00BB6A41">
      <w:pPr>
        <w:pStyle w:val="ArticleHeading"/>
      </w:pPr>
      <w:r w:rsidRPr="000A7C5F">
        <w:t xml:space="preserve">Article </w:t>
      </w:r>
      <w:r w:rsidR="00350DDA" w:rsidRPr="000A7C5F">
        <w:t xml:space="preserve">21 </w:t>
      </w:r>
      <w:r w:rsidR="00E739BB">
        <w:t>–</w:t>
      </w:r>
      <w:r w:rsidRPr="000A7C5F">
        <w:t xml:space="preserve"> Freedom of expression and opinion, and access to information</w:t>
      </w:r>
    </w:p>
    <w:p w14:paraId="32DC6161" w14:textId="370B1C3E" w:rsidR="00C77615" w:rsidRPr="000A7C5F" w:rsidRDefault="00C77615" w:rsidP="00794060">
      <w:pPr>
        <w:pStyle w:val="ListParagraph"/>
        <w:numPr>
          <w:ilvl w:val="0"/>
          <w:numId w:val="3"/>
        </w:numPr>
        <w:ind w:left="851" w:hanging="851"/>
        <w:rPr>
          <w:szCs w:val="28"/>
        </w:rPr>
      </w:pPr>
      <w:r w:rsidRPr="000A7C5F">
        <w:rPr>
          <w:szCs w:val="28"/>
        </w:rPr>
        <w:t>DDP’s ability to peacefully protest is undermined by the passing of information from police to DWP</w:t>
      </w:r>
      <w:r w:rsidRPr="000A7C5F">
        <w:rPr>
          <w:rStyle w:val="FootnoteReference"/>
          <w:szCs w:val="28"/>
        </w:rPr>
        <w:footnoteReference w:id="326"/>
      </w:r>
      <w:r w:rsidRPr="000A7C5F">
        <w:rPr>
          <w:szCs w:val="28"/>
        </w:rPr>
        <w:t xml:space="preserve">. On the grounds that ability to protest indicates ability to work, protestors have then been called up for benefit reassessments under threat of losing their </w:t>
      </w:r>
      <w:r w:rsidRPr="000A7C5F">
        <w:rPr>
          <w:szCs w:val="28"/>
        </w:rPr>
        <w:lastRenderedPageBreak/>
        <w:t>incomes</w:t>
      </w:r>
      <w:r w:rsidRPr="000A7C5F">
        <w:rPr>
          <w:rStyle w:val="FootnoteReference"/>
          <w:szCs w:val="28"/>
        </w:rPr>
        <w:footnoteReference w:id="327"/>
      </w:r>
      <w:r w:rsidRPr="000A7C5F">
        <w:rPr>
          <w:szCs w:val="28"/>
        </w:rPr>
        <w:t>. In Lancashire in 2018 Disabled anti-fracking protestors were apparently targeted by police</w:t>
      </w:r>
      <w:r w:rsidR="0002289A" w:rsidRPr="000A7C5F">
        <w:rPr>
          <w:szCs w:val="28"/>
        </w:rPr>
        <w:t xml:space="preserve"> actions that put them at risk of injury</w:t>
      </w:r>
      <w:r w:rsidR="0002289A" w:rsidRPr="000A7C5F">
        <w:rPr>
          <w:rStyle w:val="FootnoteReference"/>
          <w:szCs w:val="28"/>
        </w:rPr>
        <w:footnoteReference w:id="328"/>
      </w:r>
      <w:r w:rsidR="0002289A" w:rsidRPr="000A7C5F">
        <w:rPr>
          <w:szCs w:val="28"/>
        </w:rPr>
        <w:t>.</w:t>
      </w:r>
    </w:p>
    <w:p w14:paraId="7FE19BE0" w14:textId="77777777" w:rsidR="00C77615" w:rsidRPr="000A7C5F" w:rsidRDefault="00C77615" w:rsidP="00E739BB">
      <w:pPr>
        <w:pStyle w:val="ListParagraph"/>
        <w:ind w:left="735"/>
        <w:rPr>
          <w:szCs w:val="28"/>
        </w:rPr>
      </w:pPr>
    </w:p>
    <w:p w14:paraId="5517C6C8" w14:textId="3AC1AB7B" w:rsidR="00052BC8" w:rsidRPr="000A7C5F" w:rsidRDefault="00A8493B" w:rsidP="00794060">
      <w:pPr>
        <w:pStyle w:val="ListParagraph"/>
        <w:numPr>
          <w:ilvl w:val="0"/>
          <w:numId w:val="3"/>
        </w:numPr>
        <w:ind w:left="851" w:hanging="851"/>
        <w:rPr>
          <w:szCs w:val="28"/>
        </w:rPr>
      </w:pPr>
      <w:r w:rsidRPr="000A7C5F">
        <w:rPr>
          <w:szCs w:val="28"/>
        </w:rPr>
        <w:t>The new Police, Crime, Sentencing and Courts Bill threatens to restrict</w:t>
      </w:r>
      <w:r w:rsidR="00EB6A1F" w:rsidRPr="000A7C5F">
        <w:rPr>
          <w:szCs w:val="28"/>
        </w:rPr>
        <w:t xml:space="preserve"> </w:t>
      </w:r>
      <w:r w:rsidR="003D7F26" w:rsidRPr="000A7C5F">
        <w:rPr>
          <w:szCs w:val="28"/>
        </w:rPr>
        <w:t>the public’s</w:t>
      </w:r>
      <w:r w:rsidRPr="000A7C5F">
        <w:rPr>
          <w:szCs w:val="28"/>
        </w:rPr>
        <w:t xml:space="preserve"> ability to </w:t>
      </w:r>
      <w:r w:rsidR="003D7F26" w:rsidRPr="000A7C5F">
        <w:rPr>
          <w:szCs w:val="28"/>
        </w:rPr>
        <w:t xml:space="preserve">peacefully </w:t>
      </w:r>
      <w:r w:rsidRPr="000A7C5F">
        <w:rPr>
          <w:szCs w:val="28"/>
        </w:rPr>
        <w:t xml:space="preserve">express opposition to </w:t>
      </w:r>
      <w:proofErr w:type="spellStart"/>
      <w:r w:rsidR="009037D2" w:rsidRPr="000A7C5F">
        <w:rPr>
          <w:szCs w:val="28"/>
        </w:rPr>
        <w:t>WeG</w:t>
      </w:r>
      <w:proofErr w:type="spellEnd"/>
      <w:r w:rsidRPr="000A7C5F">
        <w:rPr>
          <w:szCs w:val="28"/>
        </w:rPr>
        <w:t xml:space="preserve"> measures that adversely impact on </w:t>
      </w:r>
      <w:r w:rsidR="003D7F26" w:rsidRPr="000A7C5F">
        <w:rPr>
          <w:szCs w:val="28"/>
        </w:rPr>
        <w:t>DDP</w:t>
      </w:r>
      <w:r w:rsidRPr="000A7C5F">
        <w:rPr>
          <w:szCs w:val="28"/>
        </w:rPr>
        <w:t>. Under the new legislation,</w:t>
      </w:r>
      <w:r w:rsidR="00EB6A1F" w:rsidRPr="000A7C5F">
        <w:rPr>
          <w:szCs w:val="28"/>
        </w:rPr>
        <w:t xml:space="preserve"> </w:t>
      </w:r>
      <w:r w:rsidRPr="000A7C5F">
        <w:rPr>
          <w:szCs w:val="28"/>
        </w:rPr>
        <w:t xml:space="preserve">police </w:t>
      </w:r>
      <w:r w:rsidR="00EB6A1F" w:rsidRPr="000A7C5F">
        <w:rPr>
          <w:szCs w:val="28"/>
        </w:rPr>
        <w:t xml:space="preserve">will have </w:t>
      </w:r>
      <w:r w:rsidRPr="000A7C5F">
        <w:rPr>
          <w:szCs w:val="28"/>
        </w:rPr>
        <w:t>new powers to stop protests in England and Wales if they are deemed too noisy and disruptive</w:t>
      </w:r>
      <w:r w:rsidR="00EB6A1F" w:rsidRPr="000A7C5F">
        <w:rPr>
          <w:szCs w:val="28"/>
        </w:rPr>
        <w:t xml:space="preserve"> and large protests in or near Parliament will be prohibited</w:t>
      </w:r>
      <w:r w:rsidR="00EB6A1F" w:rsidRPr="000A7C5F">
        <w:rPr>
          <w:rStyle w:val="FootnoteReference"/>
          <w:szCs w:val="28"/>
        </w:rPr>
        <w:footnoteReference w:id="329"/>
      </w:r>
      <w:r w:rsidRPr="000A7C5F">
        <w:rPr>
          <w:szCs w:val="28"/>
        </w:rPr>
        <w:t>.</w:t>
      </w:r>
    </w:p>
    <w:p w14:paraId="0A3C075B" w14:textId="77777777" w:rsidR="00E068B8" w:rsidRPr="000A7C5F" w:rsidRDefault="00E068B8" w:rsidP="00BB6A41">
      <w:pPr>
        <w:pStyle w:val="ArticleHeading"/>
      </w:pPr>
      <w:r w:rsidRPr="000A7C5F">
        <w:t>Article 29 – Participation in Politics and Public Life</w:t>
      </w:r>
    </w:p>
    <w:p w14:paraId="474CBF4B" w14:textId="3BD3B108" w:rsidR="003420BD" w:rsidRPr="000A7C5F" w:rsidRDefault="003420BD" w:rsidP="00794060">
      <w:pPr>
        <w:pStyle w:val="ListParagraph"/>
        <w:numPr>
          <w:ilvl w:val="0"/>
          <w:numId w:val="3"/>
        </w:numPr>
        <w:ind w:left="851" w:hanging="851"/>
        <w:rPr>
          <w:szCs w:val="28"/>
        </w:rPr>
      </w:pPr>
      <w:r w:rsidRPr="000A7C5F">
        <w:rPr>
          <w:szCs w:val="28"/>
        </w:rPr>
        <w:t>DDP continue to face unequal access to voting</w:t>
      </w:r>
      <w:r w:rsidRPr="000A7C5F">
        <w:rPr>
          <w:rStyle w:val="FootnoteReference"/>
          <w:szCs w:val="28"/>
        </w:rPr>
        <w:footnoteReference w:id="330"/>
      </w:r>
      <w:r w:rsidRPr="000A7C5F">
        <w:rPr>
          <w:szCs w:val="28"/>
        </w:rPr>
        <w:t xml:space="preserve">. </w:t>
      </w:r>
      <w:r w:rsidR="00B772D6" w:rsidRPr="000A7C5F">
        <w:rPr>
          <w:szCs w:val="28"/>
        </w:rPr>
        <w:t xml:space="preserve">Voting provisions for people who are blind and visually impaired were ruled unlawful in May 2019 with Mr Justice Swift describing them as “a parody of </w:t>
      </w:r>
      <w:r w:rsidR="00B772D6" w:rsidRPr="000A7C5F">
        <w:rPr>
          <w:szCs w:val="28"/>
        </w:rPr>
        <w:lastRenderedPageBreak/>
        <w:t>the electoral process”</w:t>
      </w:r>
      <w:r w:rsidR="00B772D6" w:rsidRPr="000A7C5F">
        <w:rPr>
          <w:rStyle w:val="FootnoteReference"/>
          <w:szCs w:val="28"/>
        </w:rPr>
        <w:footnoteReference w:id="331"/>
      </w:r>
      <w:r w:rsidR="00B772D6" w:rsidRPr="000A7C5F">
        <w:rPr>
          <w:szCs w:val="28"/>
        </w:rPr>
        <w:t xml:space="preserve">.  Provisions remained unchanged for the December 2019 General Election </w:t>
      </w:r>
      <w:r w:rsidR="001D277F" w:rsidRPr="000A7C5F">
        <w:rPr>
          <w:szCs w:val="28"/>
        </w:rPr>
        <w:t>in which 87% of blind respondents surveyed by RNIB were unable to vote independently and in secret</w:t>
      </w:r>
      <w:r w:rsidR="001D277F" w:rsidRPr="000A7C5F">
        <w:rPr>
          <w:rStyle w:val="FootnoteReference"/>
          <w:szCs w:val="28"/>
        </w:rPr>
        <w:footnoteReference w:id="332"/>
      </w:r>
      <w:r w:rsidR="001D277F" w:rsidRPr="000A7C5F">
        <w:rPr>
          <w:szCs w:val="28"/>
        </w:rPr>
        <w:t xml:space="preserve">. </w:t>
      </w:r>
      <w:r w:rsidRPr="000A7C5F">
        <w:rPr>
          <w:szCs w:val="28"/>
        </w:rPr>
        <w:t>People with learning difficulties</w:t>
      </w:r>
      <w:r w:rsidR="001D277F" w:rsidRPr="000A7C5F">
        <w:rPr>
          <w:szCs w:val="28"/>
        </w:rPr>
        <w:t xml:space="preserve"> are discouraged from voting by inaccessible elections information and lack of awareness concerning their right to vote</w:t>
      </w:r>
      <w:r w:rsidR="001D277F" w:rsidRPr="000A7C5F">
        <w:rPr>
          <w:rStyle w:val="FootnoteReference"/>
          <w:szCs w:val="28"/>
        </w:rPr>
        <w:footnoteReference w:id="333"/>
      </w:r>
      <w:r w:rsidRPr="000A7C5F">
        <w:rPr>
          <w:szCs w:val="28"/>
        </w:rPr>
        <w:t xml:space="preserve">. </w:t>
      </w:r>
      <w:r w:rsidR="00D96374" w:rsidRPr="000A7C5F">
        <w:rPr>
          <w:szCs w:val="28"/>
        </w:rPr>
        <w:t xml:space="preserve">The introduction of a requirement to produce photographic identification at polling stations will create </w:t>
      </w:r>
      <w:r w:rsidRPr="000A7C5F">
        <w:rPr>
          <w:szCs w:val="28"/>
        </w:rPr>
        <w:t>additional barriers</w:t>
      </w:r>
      <w:r w:rsidR="00D96374" w:rsidRPr="000A7C5F">
        <w:rPr>
          <w:szCs w:val="28"/>
        </w:rPr>
        <w:t xml:space="preserve"> for DDP wishing to vote in person</w:t>
      </w:r>
      <w:r w:rsidR="001D277F" w:rsidRPr="000A7C5F">
        <w:rPr>
          <w:rStyle w:val="FootnoteReference"/>
          <w:szCs w:val="28"/>
        </w:rPr>
        <w:footnoteReference w:id="334"/>
      </w:r>
      <w:r w:rsidRPr="000A7C5F">
        <w:rPr>
          <w:szCs w:val="28"/>
        </w:rPr>
        <w:t xml:space="preserve">. </w:t>
      </w:r>
      <w:r w:rsidR="00D96374" w:rsidRPr="000A7C5F">
        <w:rPr>
          <w:szCs w:val="28"/>
        </w:rPr>
        <w:t>A new Voter Card will be available for those who do not have any of the accepted forms of ID</w:t>
      </w:r>
      <w:r w:rsidR="007F1FAA" w:rsidRPr="000A7C5F">
        <w:rPr>
          <w:rStyle w:val="FootnoteReference"/>
          <w:szCs w:val="28"/>
        </w:rPr>
        <w:footnoteReference w:id="335"/>
      </w:r>
      <w:r w:rsidR="00D96374" w:rsidRPr="000A7C5F">
        <w:rPr>
          <w:szCs w:val="28"/>
        </w:rPr>
        <w:t>, but this will require an application process which entails an additional step between those who are marginalised and the</w:t>
      </w:r>
      <w:r w:rsidR="007F1FAA" w:rsidRPr="000A7C5F">
        <w:rPr>
          <w:szCs w:val="28"/>
        </w:rPr>
        <w:t>ir vote</w:t>
      </w:r>
      <w:r w:rsidR="008D2AF2" w:rsidRPr="000A7C5F">
        <w:rPr>
          <w:szCs w:val="28"/>
        </w:rPr>
        <w:t xml:space="preserve">. This </w:t>
      </w:r>
      <w:r w:rsidR="007F1FAA" w:rsidRPr="000A7C5F">
        <w:rPr>
          <w:szCs w:val="28"/>
        </w:rPr>
        <w:t xml:space="preserve">will inevitably lead to reduced participation. </w:t>
      </w:r>
    </w:p>
    <w:p w14:paraId="42F0281C" w14:textId="77777777" w:rsidR="007F1FAA" w:rsidRPr="000A7C5F" w:rsidRDefault="007F1FAA" w:rsidP="00E739BB">
      <w:pPr>
        <w:pStyle w:val="ListParagraph"/>
        <w:ind w:left="735"/>
        <w:rPr>
          <w:szCs w:val="28"/>
        </w:rPr>
      </w:pPr>
    </w:p>
    <w:p w14:paraId="521ADCF7" w14:textId="0A250627" w:rsidR="00E068B8" w:rsidRPr="000A7C5F" w:rsidRDefault="006A1275" w:rsidP="00794060">
      <w:pPr>
        <w:pStyle w:val="ListParagraph"/>
        <w:numPr>
          <w:ilvl w:val="0"/>
          <w:numId w:val="3"/>
        </w:numPr>
        <w:ind w:left="851" w:hanging="851"/>
        <w:rPr>
          <w:szCs w:val="28"/>
        </w:rPr>
      </w:pPr>
      <w:r w:rsidRPr="000A7C5F">
        <w:rPr>
          <w:szCs w:val="28"/>
        </w:rPr>
        <w:t>The combined impact of rising barriers to mainstream education</w:t>
      </w:r>
      <w:r w:rsidR="004A2095" w:rsidRPr="000A7C5F">
        <w:rPr>
          <w:szCs w:val="28"/>
        </w:rPr>
        <w:t>, digital exclusion, inadequate incomes</w:t>
      </w:r>
      <w:r w:rsidRPr="000A7C5F">
        <w:rPr>
          <w:szCs w:val="28"/>
        </w:rPr>
        <w:t xml:space="preserve"> and lack of support to participate in the community mean that DDP remain under-</w:t>
      </w:r>
      <w:r w:rsidRPr="000A7C5F">
        <w:rPr>
          <w:szCs w:val="28"/>
        </w:rPr>
        <w:lastRenderedPageBreak/>
        <w:t>represented within public and political life</w:t>
      </w:r>
      <w:r w:rsidR="003420BD" w:rsidRPr="000A7C5F">
        <w:rPr>
          <w:rStyle w:val="FootnoteReference"/>
          <w:szCs w:val="28"/>
        </w:rPr>
        <w:footnoteReference w:id="336"/>
      </w:r>
      <w:r w:rsidRPr="000A7C5F">
        <w:rPr>
          <w:szCs w:val="28"/>
        </w:rPr>
        <w:t xml:space="preserve">. </w:t>
      </w:r>
      <w:r w:rsidR="004A2095" w:rsidRPr="000A7C5F">
        <w:rPr>
          <w:szCs w:val="28"/>
        </w:rPr>
        <w:t>Accessibility gains through increased use of remote participation in the pandemic are being taken away again</w:t>
      </w:r>
      <w:r w:rsidR="004A2095" w:rsidRPr="000A7C5F">
        <w:rPr>
          <w:rStyle w:val="FootnoteReference"/>
          <w:szCs w:val="28"/>
        </w:rPr>
        <w:footnoteReference w:id="337"/>
      </w:r>
      <w:r w:rsidR="004A2095" w:rsidRPr="000A7C5F">
        <w:rPr>
          <w:szCs w:val="28"/>
        </w:rPr>
        <w:t>.</w:t>
      </w:r>
    </w:p>
    <w:p w14:paraId="7643002F" w14:textId="77777777" w:rsidR="008E1968" w:rsidRPr="000A7C5F" w:rsidRDefault="008E1968" w:rsidP="00E739BB">
      <w:pPr>
        <w:pStyle w:val="ListParagraph"/>
        <w:ind w:left="851" w:hanging="851"/>
        <w:rPr>
          <w:szCs w:val="28"/>
        </w:rPr>
      </w:pPr>
    </w:p>
    <w:p w14:paraId="53F34C95" w14:textId="0DB3332C" w:rsidR="004A2095" w:rsidRPr="000A7C5F" w:rsidRDefault="008523C2" w:rsidP="00794060">
      <w:pPr>
        <w:pStyle w:val="ListParagraph"/>
        <w:numPr>
          <w:ilvl w:val="0"/>
          <w:numId w:val="3"/>
        </w:numPr>
        <w:ind w:left="851" w:hanging="851"/>
        <w:rPr>
          <w:szCs w:val="28"/>
        </w:rPr>
      </w:pPr>
      <w:r w:rsidRPr="000A7C5F">
        <w:rPr>
          <w:szCs w:val="28"/>
        </w:rPr>
        <w:t>A Government report concluded that Disabled politicians face a “multitude” of barriers and that equalities legislation has been broken</w:t>
      </w:r>
      <w:r w:rsidRPr="000A7C5F">
        <w:rPr>
          <w:rStyle w:val="FootnoteReference"/>
          <w:szCs w:val="28"/>
        </w:rPr>
        <w:footnoteReference w:id="338"/>
      </w:r>
      <w:r w:rsidRPr="000A7C5F">
        <w:rPr>
          <w:szCs w:val="28"/>
        </w:rPr>
        <w:t xml:space="preserve">. </w:t>
      </w:r>
      <w:r w:rsidR="00783A70" w:rsidRPr="000A7C5F">
        <w:rPr>
          <w:szCs w:val="28"/>
        </w:rPr>
        <w:t xml:space="preserve">Just six out of 650 MPs openly identify as Disabled. </w:t>
      </w:r>
      <w:r w:rsidRPr="000A7C5F">
        <w:rPr>
          <w:szCs w:val="28"/>
        </w:rPr>
        <w:t>MPs are still unable to job-share which is a barrier to Disabled candidates</w:t>
      </w:r>
      <w:r w:rsidRPr="000A7C5F">
        <w:rPr>
          <w:rStyle w:val="FootnoteReference"/>
          <w:szCs w:val="28"/>
        </w:rPr>
        <w:footnoteReference w:id="339"/>
      </w:r>
      <w:r w:rsidRPr="000A7C5F">
        <w:rPr>
          <w:szCs w:val="28"/>
        </w:rPr>
        <w:t>. Information obtained through FOIs revealed that the House of Commons refused to take action after Disabled members of staff, MPs and peers raised concerns about their safety during the COVID-19 pandemic</w:t>
      </w:r>
      <w:r w:rsidRPr="000A7C5F">
        <w:rPr>
          <w:rStyle w:val="FootnoteReference"/>
          <w:szCs w:val="28"/>
        </w:rPr>
        <w:footnoteReference w:id="340"/>
      </w:r>
      <w:r w:rsidRPr="000A7C5F">
        <w:rPr>
          <w:szCs w:val="28"/>
        </w:rPr>
        <w:t>.</w:t>
      </w:r>
    </w:p>
    <w:p w14:paraId="49FC0B84" w14:textId="77777777" w:rsidR="00F263FB" w:rsidRPr="000A7C5F" w:rsidRDefault="00F263FB" w:rsidP="00E739BB">
      <w:pPr>
        <w:pStyle w:val="ListParagraph"/>
        <w:ind w:left="735"/>
        <w:rPr>
          <w:szCs w:val="28"/>
        </w:rPr>
      </w:pPr>
    </w:p>
    <w:p w14:paraId="2C767062" w14:textId="2E9B536E" w:rsidR="00F263FB" w:rsidRPr="00044230" w:rsidRDefault="00F263FB" w:rsidP="00044230">
      <w:pPr>
        <w:pStyle w:val="ListParagraph"/>
        <w:numPr>
          <w:ilvl w:val="0"/>
          <w:numId w:val="3"/>
        </w:numPr>
        <w:ind w:left="851" w:hanging="851"/>
        <w:rPr>
          <w:szCs w:val="28"/>
        </w:rPr>
      </w:pPr>
      <w:bookmarkStart w:id="39" w:name="Para144"/>
      <w:bookmarkEnd w:id="39"/>
      <w:r w:rsidRPr="000A7C5F">
        <w:rPr>
          <w:szCs w:val="28"/>
        </w:rPr>
        <w:t>Actions included in the recent NDS such as permitting Deaf jurors</w:t>
      </w:r>
      <w:r w:rsidRPr="000A7C5F">
        <w:rPr>
          <w:rStyle w:val="FootnoteReference"/>
          <w:szCs w:val="28"/>
        </w:rPr>
        <w:footnoteReference w:id="341"/>
      </w:r>
      <w:r w:rsidRPr="000A7C5F">
        <w:rPr>
          <w:szCs w:val="28"/>
        </w:rPr>
        <w:t xml:space="preserve"> and reinstating a support fund for standing for elected </w:t>
      </w:r>
      <w:r w:rsidRPr="000A7C5F">
        <w:rPr>
          <w:szCs w:val="28"/>
        </w:rPr>
        <w:lastRenderedPageBreak/>
        <w:t>office</w:t>
      </w:r>
      <w:r w:rsidRPr="000A7C5F">
        <w:rPr>
          <w:rStyle w:val="FootnoteReference"/>
          <w:szCs w:val="28"/>
        </w:rPr>
        <w:footnoteReference w:id="342"/>
      </w:r>
      <w:r w:rsidRPr="000A7C5F">
        <w:rPr>
          <w:szCs w:val="28"/>
        </w:rPr>
        <w:t xml:space="preserve"> are welcome but will not address wider </w:t>
      </w:r>
      <w:r w:rsidR="008523C2" w:rsidRPr="000A7C5F">
        <w:rPr>
          <w:szCs w:val="28"/>
        </w:rPr>
        <w:t xml:space="preserve">socio-economic and attitudinal barriers. </w:t>
      </w:r>
      <w:r w:rsidRPr="000A7C5F">
        <w:rPr>
          <w:szCs w:val="28"/>
        </w:rPr>
        <w:t xml:space="preserve"> </w:t>
      </w:r>
    </w:p>
    <w:p w14:paraId="6BEC1738" w14:textId="52068208" w:rsidR="00052BC8" w:rsidRPr="000A7C5F" w:rsidRDefault="00052BC8" w:rsidP="00BB6A41">
      <w:pPr>
        <w:pStyle w:val="ArticleHeading"/>
      </w:pPr>
      <w:r w:rsidRPr="000A7C5F">
        <w:t xml:space="preserve">Article 31 </w:t>
      </w:r>
      <w:r w:rsidR="00E739BB">
        <w:t>–</w:t>
      </w:r>
      <w:r w:rsidRPr="000A7C5F">
        <w:t xml:space="preserve"> Statistics and data collection</w:t>
      </w:r>
    </w:p>
    <w:p w14:paraId="5DF4B4D6" w14:textId="1409A91C" w:rsidR="00052BC8" w:rsidRPr="000A7C5F" w:rsidRDefault="00052BC8" w:rsidP="00794060">
      <w:pPr>
        <w:pStyle w:val="ListParagraph"/>
        <w:numPr>
          <w:ilvl w:val="0"/>
          <w:numId w:val="3"/>
        </w:numPr>
        <w:ind w:left="851" w:hanging="851"/>
        <w:rPr>
          <w:szCs w:val="28"/>
        </w:rPr>
      </w:pPr>
      <w:r w:rsidRPr="000A7C5F">
        <w:rPr>
          <w:szCs w:val="28"/>
        </w:rPr>
        <w:t xml:space="preserve">There is a reduction in disability data collection preventing scrutiny. See </w:t>
      </w:r>
      <w:hyperlink w:anchor="Appendix8" w:history="1">
        <w:r w:rsidRPr="00DB3ABC">
          <w:rPr>
            <w:rStyle w:val="Hyperlink"/>
            <w:szCs w:val="28"/>
          </w:rPr>
          <w:t xml:space="preserve">Appendix </w:t>
        </w:r>
        <w:r w:rsidR="00044B6A" w:rsidRPr="00DB3ABC">
          <w:rPr>
            <w:rStyle w:val="Hyperlink"/>
            <w:szCs w:val="28"/>
          </w:rPr>
          <w:t>8</w:t>
        </w:r>
      </w:hyperlink>
      <w:r w:rsidRPr="000A7C5F">
        <w:rPr>
          <w:szCs w:val="28"/>
        </w:rPr>
        <w:t xml:space="preserve"> for a list of data gaps</w:t>
      </w:r>
      <w:r w:rsidR="00F263FB" w:rsidRPr="000A7C5F">
        <w:rPr>
          <w:rStyle w:val="FootnoteReference"/>
          <w:szCs w:val="28"/>
        </w:rPr>
        <w:footnoteReference w:id="343"/>
      </w:r>
      <w:r w:rsidRPr="000A7C5F">
        <w:rPr>
          <w:szCs w:val="28"/>
        </w:rPr>
        <w:t>. The depth and robustness of the evidence that triggered the Special Inquiry can no longer be replicated due to missing information.</w:t>
      </w:r>
      <w:r w:rsidR="00890777" w:rsidRPr="000A7C5F">
        <w:rPr>
          <w:szCs w:val="28"/>
        </w:rPr>
        <w:t xml:space="preserve"> </w:t>
      </w:r>
      <w:r w:rsidRPr="000A7C5F">
        <w:rPr>
          <w:szCs w:val="28"/>
        </w:rPr>
        <w:t>NDS includes actions to improve data collection but omits social security among these.</w:t>
      </w:r>
      <w:r w:rsidRPr="000A7C5F">
        <w:rPr>
          <w:rStyle w:val="FootnoteReference"/>
          <w:szCs w:val="28"/>
        </w:rPr>
        <w:footnoteReference w:id="344"/>
      </w:r>
      <w:r w:rsidRPr="000A7C5F">
        <w:rPr>
          <w:szCs w:val="28"/>
        </w:rPr>
        <w:t xml:space="preserve"> </w:t>
      </w:r>
    </w:p>
    <w:p w14:paraId="26F7E871" w14:textId="3AC8408A" w:rsidR="0033672B" w:rsidRPr="000A7C5F" w:rsidRDefault="0033672B" w:rsidP="00BB6A41">
      <w:pPr>
        <w:pStyle w:val="ArticleHeading"/>
      </w:pPr>
      <w:r w:rsidRPr="000A7C5F">
        <w:t xml:space="preserve">Article 33 </w:t>
      </w:r>
      <w:r w:rsidR="00E739BB">
        <w:t>–</w:t>
      </w:r>
      <w:r w:rsidRPr="000A7C5F">
        <w:t xml:space="preserve"> National implementation and monitoring</w:t>
      </w:r>
    </w:p>
    <w:p w14:paraId="3B9EC232" w14:textId="6CDCAAEE" w:rsidR="0033672B" w:rsidRPr="000A7C5F" w:rsidRDefault="0033672B" w:rsidP="00794060">
      <w:pPr>
        <w:pStyle w:val="ListParagraph"/>
        <w:numPr>
          <w:ilvl w:val="0"/>
          <w:numId w:val="3"/>
        </w:numPr>
        <w:ind w:left="851" w:hanging="851"/>
        <w:rPr>
          <w:szCs w:val="28"/>
        </w:rPr>
      </w:pPr>
      <w:proofErr w:type="spellStart"/>
      <w:r w:rsidRPr="000A7C5F">
        <w:rPr>
          <w:szCs w:val="28"/>
        </w:rPr>
        <w:t>WeG’s</w:t>
      </w:r>
      <w:proofErr w:type="spellEnd"/>
      <w:r w:rsidRPr="000A7C5F">
        <w:rPr>
          <w:szCs w:val="28"/>
        </w:rPr>
        <w:t xml:space="preserve"> </w:t>
      </w:r>
      <w:r w:rsidR="00F263FB" w:rsidRPr="000A7C5F">
        <w:rPr>
          <w:szCs w:val="28"/>
        </w:rPr>
        <w:t xml:space="preserve">NDS </w:t>
      </w:r>
      <w:r w:rsidRPr="000A7C5F">
        <w:rPr>
          <w:szCs w:val="28"/>
        </w:rPr>
        <w:t>was put together with inadequate engagement and consultation with DDP</w:t>
      </w:r>
      <w:r w:rsidRPr="000A7C5F">
        <w:rPr>
          <w:rStyle w:val="FootnoteReference"/>
          <w:szCs w:val="28"/>
        </w:rPr>
        <w:footnoteReference w:id="345"/>
      </w:r>
      <w:r w:rsidRPr="000A7C5F">
        <w:rPr>
          <w:szCs w:val="28"/>
        </w:rPr>
        <w:t xml:space="preserve">. An online survey that was conducted to inform the NDS asked DDP about their views and lived experience but with no indication of what the proposals for the strategy were. In January 2022 the High Court ruled that </w:t>
      </w:r>
      <w:proofErr w:type="spellStart"/>
      <w:r w:rsidRPr="000A7C5F">
        <w:rPr>
          <w:szCs w:val="28"/>
        </w:rPr>
        <w:t>WeG</w:t>
      </w:r>
      <w:proofErr w:type="spellEnd"/>
      <w:r w:rsidRPr="000A7C5F">
        <w:rPr>
          <w:szCs w:val="28"/>
        </w:rPr>
        <w:t xml:space="preserve"> had not discharged its duty to consult via the survey</w:t>
      </w:r>
      <w:r w:rsidR="001D759D" w:rsidRPr="000A7C5F">
        <w:rPr>
          <w:szCs w:val="28"/>
        </w:rPr>
        <w:t xml:space="preserve"> and it is therefore </w:t>
      </w:r>
      <w:r w:rsidRPr="000A7C5F">
        <w:rPr>
          <w:szCs w:val="28"/>
        </w:rPr>
        <w:t>unlawful</w:t>
      </w:r>
      <w:r w:rsidRPr="000A7C5F">
        <w:rPr>
          <w:rStyle w:val="FootnoteReference"/>
          <w:szCs w:val="28"/>
        </w:rPr>
        <w:footnoteReference w:id="346"/>
      </w:r>
      <w:r w:rsidRPr="000A7C5F">
        <w:rPr>
          <w:szCs w:val="28"/>
        </w:rPr>
        <w:t>.</w:t>
      </w:r>
    </w:p>
    <w:p w14:paraId="240F123D" w14:textId="77777777" w:rsidR="00052BC8" w:rsidRPr="000A7C5F" w:rsidRDefault="00052BC8" w:rsidP="00E739BB">
      <w:pPr>
        <w:pStyle w:val="ListParagraph"/>
        <w:ind w:left="735"/>
        <w:rPr>
          <w:szCs w:val="28"/>
        </w:rPr>
      </w:pPr>
    </w:p>
    <w:p w14:paraId="713B77E3" w14:textId="77777777" w:rsidR="00052BC8" w:rsidRPr="000A7C5F" w:rsidRDefault="00052BC8" w:rsidP="00794060">
      <w:pPr>
        <w:pStyle w:val="ListParagraph"/>
        <w:numPr>
          <w:ilvl w:val="0"/>
          <w:numId w:val="3"/>
        </w:numPr>
        <w:ind w:left="851" w:hanging="851"/>
        <w:rPr>
          <w:b/>
          <w:bCs/>
          <w:szCs w:val="28"/>
        </w:rPr>
      </w:pPr>
      <w:r w:rsidRPr="000A7C5F">
        <w:rPr>
          <w:szCs w:val="28"/>
        </w:rPr>
        <w:t>In June 2021, the Minister for Disabled People shut the DPO Forum he had set up just one year earlier and after only three meetings</w:t>
      </w:r>
      <w:r w:rsidRPr="000A7C5F">
        <w:rPr>
          <w:rStyle w:val="FootnoteReference"/>
          <w:szCs w:val="28"/>
        </w:rPr>
        <w:footnoteReference w:id="347"/>
      </w:r>
      <w:r w:rsidRPr="000A7C5F">
        <w:rPr>
          <w:szCs w:val="28"/>
        </w:rPr>
        <w:t xml:space="preserve">. In </w:t>
      </w:r>
      <w:proofErr w:type="spellStart"/>
      <w:r w:rsidRPr="000A7C5F">
        <w:rPr>
          <w:szCs w:val="28"/>
        </w:rPr>
        <w:t>WeG’s</w:t>
      </w:r>
      <w:proofErr w:type="spellEnd"/>
      <w:r w:rsidRPr="000A7C5F">
        <w:rPr>
          <w:szCs w:val="28"/>
        </w:rPr>
        <w:t xml:space="preserve"> recent report back to the Committee (in fulfilment of paragraph 73 of the Concluding Observations) there are repeated references to engagement with non-user led charities</w:t>
      </w:r>
      <w:r w:rsidRPr="000A7C5F">
        <w:rPr>
          <w:rStyle w:val="FootnoteReference"/>
          <w:szCs w:val="28"/>
        </w:rPr>
        <w:footnoteReference w:id="348"/>
      </w:r>
      <w:r w:rsidRPr="000A7C5F">
        <w:rPr>
          <w:szCs w:val="28"/>
        </w:rPr>
        <w:t>. This is not consistent with Article 33 obligations and as defined by General Comment No. 7.</w:t>
      </w:r>
      <w:r w:rsidRPr="000A7C5F">
        <w:rPr>
          <w:rStyle w:val="FootnoteReference"/>
          <w:szCs w:val="28"/>
        </w:rPr>
        <w:footnoteReference w:id="349"/>
      </w:r>
      <w:r w:rsidRPr="000A7C5F">
        <w:rPr>
          <w:szCs w:val="28"/>
        </w:rPr>
        <w:t xml:space="preserve"> There is no support for DDPOs through the NDS. </w:t>
      </w:r>
      <w:proofErr w:type="spellStart"/>
      <w:r w:rsidRPr="000A7C5F">
        <w:rPr>
          <w:szCs w:val="28"/>
        </w:rPr>
        <w:t>WeG</w:t>
      </w:r>
      <w:proofErr w:type="spellEnd"/>
      <w:r w:rsidRPr="000A7C5F">
        <w:rPr>
          <w:szCs w:val="28"/>
        </w:rPr>
        <w:t xml:space="preserve"> recently awarded a large sum of money to the national disability charities as grant funding. This was not offered through due procurement processes and DDPOs were not given an opportunity to bid.</w:t>
      </w:r>
      <w:r w:rsidRPr="000A7C5F">
        <w:rPr>
          <w:rStyle w:val="FootnoteReference"/>
          <w:szCs w:val="28"/>
        </w:rPr>
        <w:footnoteReference w:id="350"/>
      </w:r>
    </w:p>
    <w:p w14:paraId="548CC6B0" w14:textId="77777777" w:rsidR="0033672B" w:rsidRPr="000A7C5F" w:rsidRDefault="0033672B" w:rsidP="00E739BB">
      <w:pPr>
        <w:pStyle w:val="ListParagraph"/>
        <w:rPr>
          <w:szCs w:val="28"/>
        </w:rPr>
      </w:pPr>
    </w:p>
    <w:p w14:paraId="37AF3590" w14:textId="7FB24E10" w:rsidR="0033672B" w:rsidRPr="000A7C5F" w:rsidRDefault="0033672B" w:rsidP="00794060">
      <w:pPr>
        <w:pStyle w:val="ListParagraph"/>
        <w:numPr>
          <w:ilvl w:val="0"/>
          <w:numId w:val="3"/>
        </w:numPr>
        <w:ind w:left="851" w:hanging="851"/>
        <w:rPr>
          <w:szCs w:val="28"/>
        </w:rPr>
      </w:pPr>
      <w:proofErr w:type="spellStart"/>
      <w:r w:rsidRPr="000A7C5F">
        <w:rPr>
          <w:szCs w:val="28"/>
        </w:rPr>
        <w:lastRenderedPageBreak/>
        <w:t>WeG</w:t>
      </w:r>
      <w:proofErr w:type="spellEnd"/>
      <w:r w:rsidRPr="000A7C5F">
        <w:rPr>
          <w:szCs w:val="28"/>
        </w:rPr>
        <w:t xml:space="preserve"> did not engage with DDP or our organisations when formulating their response to the pandemic, despite DDP being </w:t>
      </w:r>
      <w:r w:rsidR="001D759D" w:rsidRPr="000A7C5F">
        <w:rPr>
          <w:szCs w:val="28"/>
        </w:rPr>
        <w:t xml:space="preserve">both </w:t>
      </w:r>
      <w:r w:rsidRPr="000A7C5F">
        <w:rPr>
          <w:szCs w:val="28"/>
        </w:rPr>
        <w:t xml:space="preserve">most at risk from COVID-19 and worst impacted by measures adopted to contain the pandemic. In their inquiry into DDP’s experiences of the pandemic, WEC found that “While Ministers described their engagement with disabled stakeholders during the pandemic as very positive, open and effective, some disabled people and their organisations felt excluded and ignored.” They exhorted </w:t>
      </w:r>
      <w:proofErr w:type="spellStart"/>
      <w:r w:rsidRPr="000A7C5F">
        <w:rPr>
          <w:szCs w:val="28"/>
        </w:rPr>
        <w:t>WeG</w:t>
      </w:r>
      <w:proofErr w:type="spellEnd"/>
      <w:r w:rsidRPr="000A7C5F">
        <w:rPr>
          <w:szCs w:val="28"/>
        </w:rPr>
        <w:t xml:space="preserve"> to “consult widely with disabled people and their organisations on … genuinely effective mechanisms by which disabled people can influence policies and practices which directly affect them.</w:t>
      </w:r>
      <w:r w:rsidRPr="000A7C5F">
        <w:rPr>
          <w:rStyle w:val="FootnoteReference"/>
          <w:szCs w:val="28"/>
        </w:rPr>
        <w:footnoteReference w:id="351"/>
      </w:r>
      <w:r w:rsidRPr="000A7C5F">
        <w:rPr>
          <w:szCs w:val="28"/>
        </w:rPr>
        <w:t>”</w:t>
      </w:r>
    </w:p>
    <w:p w14:paraId="4E487375" w14:textId="77777777" w:rsidR="00B40F3B" w:rsidRPr="000A7C5F" w:rsidRDefault="00B40F3B" w:rsidP="00E739BB">
      <w:pPr>
        <w:pStyle w:val="ListParagraph"/>
        <w:ind w:left="851" w:hanging="851"/>
        <w:rPr>
          <w:szCs w:val="28"/>
        </w:rPr>
      </w:pPr>
    </w:p>
    <w:p w14:paraId="26682FB4" w14:textId="7669A95B" w:rsidR="00B40F3B" w:rsidRPr="000A7C5F" w:rsidRDefault="00B40F3B" w:rsidP="00794060">
      <w:pPr>
        <w:pStyle w:val="ListParagraph"/>
        <w:numPr>
          <w:ilvl w:val="0"/>
          <w:numId w:val="3"/>
        </w:numPr>
        <w:ind w:left="851" w:hanging="851"/>
        <w:rPr>
          <w:szCs w:val="28"/>
        </w:rPr>
      </w:pPr>
      <w:r w:rsidRPr="000A7C5F">
        <w:rPr>
          <w:szCs w:val="28"/>
        </w:rPr>
        <w:t>DDPOs report difficulties accessing information</w:t>
      </w:r>
      <w:r w:rsidR="001D759D" w:rsidRPr="000A7C5F">
        <w:rPr>
          <w:szCs w:val="28"/>
        </w:rPr>
        <w:t>,</w:t>
      </w:r>
      <w:r w:rsidRPr="000A7C5F">
        <w:rPr>
          <w:szCs w:val="28"/>
        </w:rPr>
        <w:t xml:space="preserve"> in particular from the DWP. Inclusion London paid the ONS for employment breakdown figures they were able to calculate within less than half a day after DWP claimed these were too expensive to produce</w:t>
      </w:r>
      <w:r w:rsidRPr="000A7C5F">
        <w:rPr>
          <w:rStyle w:val="FootnoteReference"/>
          <w:szCs w:val="28"/>
        </w:rPr>
        <w:footnoteReference w:id="352"/>
      </w:r>
      <w:r w:rsidRPr="000A7C5F">
        <w:rPr>
          <w:szCs w:val="28"/>
        </w:rPr>
        <w:t>. The Information Commissioners Office (ICO) has needed to intervene on countless occasions for release of information relating to benefit deaths</w:t>
      </w:r>
      <w:r w:rsidRPr="000A7C5F">
        <w:rPr>
          <w:rStyle w:val="FootnoteReference"/>
          <w:szCs w:val="28"/>
        </w:rPr>
        <w:footnoteReference w:id="353"/>
      </w:r>
      <w:r w:rsidRPr="000A7C5F">
        <w:rPr>
          <w:szCs w:val="28"/>
        </w:rPr>
        <w:t xml:space="preserve">. The NAO found that DWP has no mechanism </w:t>
      </w:r>
      <w:r w:rsidRPr="000A7C5F">
        <w:rPr>
          <w:szCs w:val="28"/>
        </w:rPr>
        <w:lastRenderedPageBreak/>
        <w:t>for tracking or monitoring of recommendations made by internal review processes following deaths of claimants linked to changes to their benefits</w:t>
      </w:r>
      <w:r w:rsidRPr="000A7C5F">
        <w:rPr>
          <w:rStyle w:val="FootnoteReference"/>
          <w:szCs w:val="28"/>
        </w:rPr>
        <w:footnoteReference w:id="354"/>
      </w:r>
      <w:r w:rsidRPr="000A7C5F">
        <w:rPr>
          <w:szCs w:val="28"/>
        </w:rPr>
        <w:t>. Internal reports for cases pre-2015 were not passed to independent teams reviewing the WPC linked to a number of these deaths</w:t>
      </w:r>
      <w:r w:rsidRPr="000A7C5F">
        <w:rPr>
          <w:rStyle w:val="FootnoteReference"/>
          <w:szCs w:val="28"/>
        </w:rPr>
        <w:footnoteReference w:id="355"/>
      </w:r>
      <w:r w:rsidRPr="000A7C5F">
        <w:rPr>
          <w:szCs w:val="28"/>
        </w:rPr>
        <w:t xml:space="preserve"> and records were apparently destroyed</w:t>
      </w:r>
      <w:r w:rsidRPr="000A7C5F">
        <w:rPr>
          <w:rStyle w:val="FootnoteReference"/>
          <w:szCs w:val="28"/>
        </w:rPr>
        <w:footnoteReference w:id="356"/>
      </w:r>
      <w:r w:rsidRPr="000A7C5F">
        <w:rPr>
          <w:szCs w:val="28"/>
        </w:rPr>
        <w:t xml:space="preserve">. WPC used their Parliamentary powers to publish a report into the experiences of “vulnerable” benefit claimants that </w:t>
      </w:r>
      <w:proofErr w:type="spellStart"/>
      <w:r w:rsidRPr="000A7C5F">
        <w:rPr>
          <w:szCs w:val="28"/>
        </w:rPr>
        <w:t>WeG</w:t>
      </w:r>
      <w:proofErr w:type="spellEnd"/>
      <w:r w:rsidRPr="000A7C5F">
        <w:rPr>
          <w:szCs w:val="28"/>
        </w:rPr>
        <w:t xml:space="preserve"> refused to release</w:t>
      </w:r>
      <w:r w:rsidRPr="000A7C5F">
        <w:rPr>
          <w:rStyle w:val="FootnoteReference"/>
          <w:szCs w:val="28"/>
        </w:rPr>
        <w:footnoteReference w:id="357"/>
      </w:r>
      <w:r w:rsidRPr="000A7C5F">
        <w:rPr>
          <w:szCs w:val="28"/>
        </w:rPr>
        <w:t>. Although DWP has now conducted a long-promised review of the effectiveness of sanctions, they are withholding the findings</w:t>
      </w:r>
      <w:r w:rsidRPr="000A7C5F">
        <w:rPr>
          <w:rStyle w:val="FootnoteReference"/>
          <w:szCs w:val="28"/>
        </w:rPr>
        <w:footnoteReference w:id="358"/>
      </w:r>
      <w:r w:rsidRPr="000A7C5F">
        <w:rPr>
          <w:szCs w:val="28"/>
        </w:rPr>
        <w:t xml:space="preserve">. This leads to high levels of distrust </w:t>
      </w:r>
      <w:r w:rsidRPr="000A7C5F">
        <w:rPr>
          <w:szCs w:val="28"/>
        </w:rPr>
        <w:lastRenderedPageBreak/>
        <w:t xml:space="preserve">from DDP towards DWP which both WPC and officials on </w:t>
      </w:r>
      <w:proofErr w:type="spellStart"/>
      <w:r w:rsidRPr="000A7C5F">
        <w:rPr>
          <w:szCs w:val="28"/>
        </w:rPr>
        <w:t>WeG’s</w:t>
      </w:r>
      <w:proofErr w:type="spellEnd"/>
      <w:r w:rsidRPr="000A7C5F">
        <w:rPr>
          <w:szCs w:val="28"/>
        </w:rPr>
        <w:t xml:space="preserve"> Social Security Affairs Committee (SSAC) have highlighted</w:t>
      </w:r>
      <w:r w:rsidRPr="000A7C5F">
        <w:rPr>
          <w:rStyle w:val="FootnoteReference"/>
          <w:szCs w:val="28"/>
        </w:rPr>
        <w:footnoteReference w:id="359"/>
      </w:r>
      <w:r w:rsidRPr="000A7C5F">
        <w:rPr>
          <w:szCs w:val="28"/>
        </w:rPr>
        <w:t xml:space="preserve">. </w:t>
      </w:r>
    </w:p>
    <w:p w14:paraId="5D6410F4" w14:textId="77777777" w:rsidR="008E1968" w:rsidRPr="000A7C5F" w:rsidRDefault="008E1968" w:rsidP="00E739BB">
      <w:pPr>
        <w:pStyle w:val="ListParagraph"/>
        <w:rPr>
          <w:szCs w:val="28"/>
        </w:rPr>
      </w:pPr>
    </w:p>
    <w:p w14:paraId="68CA7C72" w14:textId="233E0F84" w:rsidR="00FD6F43" w:rsidRPr="00FD6F43" w:rsidRDefault="008E1968" w:rsidP="00FD6F43">
      <w:pPr>
        <w:pStyle w:val="ListParagraph"/>
        <w:numPr>
          <w:ilvl w:val="0"/>
          <w:numId w:val="3"/>
        </w:numPr>
        <w:ind w:left="851" w:hanging="851"/>
        <w:rPr>
          <w:sz w:val="32"/>
          <w:szCs w:val="32"/>
        </w:rPr>
      </w:pPr>
      <w:r w:rsidRPr="000A7C5F">
        <w:rPr>
          <w:szCs w:val="28"/>
        </w:rPr>
        <w:t xml:space="preserve">Good practice examples of engagement with DDP/DDPOs at regional and local levels have not been replicated by </w:t>
      </w:r>
      <w:proofErr w:type="spellStart"/>
      <w:r w:rsidRPr="000A7C5F">
        <w:rPr>
          <w:szCs w:val="28"/>
        </w:rPr>
        <w:t>WeG</w:t>
      </w:r>
      <w:proofErr w:type="spellEnd"/>
      <w:r w:rsidRPr="000A7C5F">
        <w:rPr>
          <w:szCs w:val="28"/>
        </w:rPr>
        <w:t>. Examples at LA level include the Disabled People’s Commission in Hammersmith and Fulham</w:t>
      </w:r>
      <w:r w:rsidRPr="000A7C5F">
        <w:rPr>
          <w:rStyle w:val="FootnoteReference"/>
          <w:szCs w:val="28"/>
        </w:rPr>
        <w:footnoteReference w:id="360"/>
      </w:r>
      <w:r w:rsidRPr="000A7C5F">
        <w:rPr>
          <w:szCs w:val="28"/>
        </w:rPr>
        <w:t>, and the Disabled People’s Panel in Cheshire</w:t>
      </w:r>
      <w:r w:rsidRPr="000A7C5F">
        <w:rPr>
          <w:rStyle w:val="FootnoteReference"/>
          <w:szCs w:val="28"/>
        </w:rPr>
        <w:footnoteReference w:id="361"/>
      </w:r>
      <w:r w:rsidRPr="000A7C5F">
        <w:rPr>
          <w:szCs w:val="28"/>
        </w:rPr>
        <w:t>, and at regional level the Disabled People’s Panel in Greater Manchester</w:t>
      </w:r>
      <w:r w:rsidRPr="000A7C5F">
        <w:rPr>
          <w:rStyle w:val="FootnoteReference"/>
          <w:szCs w:val="28"/>
        </w:rPr>
        <w:footnoteReference w:id="362"/>
      </w:r>
      <w:r w:rsidRPr="000A7C5F">
        <w:rPr>
          <w:szCs w:val="28"/>
        </w:rPr>
        <w:t>.</w:t>
      </w:r>
      <w:r w:rsidR="00FD6F43">
        <w:rPr>
          <w:szCs w:val="28"/>
        </w:rPr>
        <w:t xml:space="preserve"> </w:t>
      </w:r>
      <w:r w:rsidR="00FD6F43" w:rsidRPr="00FD6F43">
        <w:rPr>
          <w:szCs w:val="28"/>
        </w:rPr>
        <w:t>Two examples of progressive actions arising from this panel include the reinstatement of the Safer Town initiative in Northwich (Cheshire) in response to rocketing disability hate crime figures and a joint initiative between the metro mayor regions of Greater Manchester and Liverpool to promote safer travel for DDP on local transport. In all examples Deaf and Disabled people are remunerated for their time and co-production is resourced by the authority.</w:t>
      </w:r>
    </w:p>
    <w:p w14:paraId="78D5C2A7" w14:textId="77777777" w:rsidR="00FD6F43" w:rsidRPr="00FD6F43" w:rsidRDefault="00FD6F43" w:rsidP="00FD6F43">
      <w:pPr>
        <w:pStyle w:val="ListParagraph"/>
        <w:rPr>
          <w:sz w:val="32"/>
          <w:szCs w:val="32"/>
        </w:rPr>
      </w:pPr>
    </w:p>
    <w:p w14:paraId="1EE6018A" w14:textId="16C6CFBA" w:rsidR="00FD6F43" w:rsidRPr="00FD6F43" w:rsidRDefault="00FD6F43" w:rsidP="00FD6F43">
      <w:pPr>
        <w:pStyle w:val="ListParagraph"/>
        <w:numPr>
          <w:ilvl w:val="0"/>
          <w:numId w:val="3"/>
        </w:numPr>
        <w:ind w:left="851" w:hanging="851"/>
        <w:rPr>
          <w:szCs w:val="28"/>
        </w:rPr>
      </w:pPr>
      <w:r w:rsidRPr="00FD6F43">
        <w:rPr>
          <w:szCs w:val="28"/>
        </w:rPr>
        <w:t>At an LA level DDPOs are frightened of speaking out and challenging LA decisions for fear of losing funding and being unable to run user-led services for the benefit of local DDP</w:t>
      </w:r>
      <w:r>
        <w:rPr>
          <w:rStyle w:val="FootnoteReference"/>
          <w:szCs w:val="28"/>
        </w:rPr>
        <w:footnoteReference w:id="363"/>
      </w:r>
      <w:r w:rsidRPr="00FD6F43">
        <w:rPr>
          <w:szCs w:val="28"/>
        </w:rPr>
        <w:t xml:space="preserve">. Such </w:t>
      </w:r>
      <w:r w:rsidRPr="00FD6F43">
        <w:rPr>
          <w:szCs w:val="28"/>
        </w:rPr>
        <w:lastRenderedPageBreak/>
        <w:t>fears led one DDPO to submit evidence to us for this report anonymously. Lack of funding has forced many organisations to close. In 2019 the National Service User Network reported the closure of 200 user led organisations over the past two years</w:t>
      </w:r>
      <w:r w:rsidR="00AE7DF0">
        <w:rPr>
          <w:rStyle w:val="FootnoteReference"/>
          <w:szCs w:val="28"/>
        </w:rPr>
        <w:footnoteReference w:id="364"/>
      </w:r>
      <w:r w:rsidRPr="00FD6F43">
        <w:rPr>
          <w:szCs w:val="28"/>
        </w:rPr>
        <w:t xml:space="preserve">. The consequence is that increasingly we are returning to a situation where DDP are spoken about and for and </w:t>
      </w:r>
      <w:proofErr w:type="spellStart"/>
      <w:r w:rsidRPr="00FD6F43">
        <w:rPr>
          <w:szCs w:val="28"/>
        </w:rPr>
        <w:t>non user</w:t>
      </w:r>
      <w:proofErr w:type="spellEnd"/>
      <w:r w:rsidRPr="00FD6F43">
        <w:rPr>
          <w:szCs w:val="28"/>
        </w:rPr>
        <w:t>-led charities dominate the disability sector reinforcing the charity model of disability.</w:t>
      </w:r>
    </w:p>
    <w:p w14:paraId="0A69B1EF" w14:textId="77777777" w:rsidR="00BF3652" w:rsidRPr="000A7C5F" w:rsidRDefault="00BF3652" w:rsidP="00E739BB">
      <w:pPr>
        <w:pStyle w:val="ListParagraph"/>
        <w:rPr>
          <w:szCs w:val="28"/>
        </w:rPr>
      </w:pPr>
    </w:p>
    <w:p w14:paraId="540B5371" w14:textId="5E14FCF2" w:rsidR="007450E4" w:rsidRDefault="00BF3652" w:rsidP="007450E4">
      <w:pPr>
        <w:pStyle w:val="ListParagraph"/>
        <w:numPr>
          <w:ilvl w:val="0"/>
          <w:numId w:val="3"/>
        </w:numPr>
        <w:ind w:left="851" w:hanging="851"/>
        <w:rPr>
          <w:szCs w:val="28"/>
        </w:rPr>
      </w:pPr>
      <w:r w:rsidRPr="007450E4">
        <w:rPr>
          <w:szCs w:val="28"/>
        </w:rPr>
        <w:t xml:space="preserve">DDP are concerned that the EHRC is unable to adequately </w:t>
      </w:r>
      <w:r w:rsidR="001D759D" w:rsidRPr="007450E4">
        <w:rPr>
          <w:szCs w:val="28"/>
        </w:rPr>
        <w:t xml:space="preserve">fulfil its role as the National Human Rights Institution for England and Wales, </w:t>
      </w:r>
      <w:r w:rsidRPr="007450E4">
        <w:rPr>
          <w:szCs w:val="28"/>
        </w:rPr>
        <w:t>having experienced budget cuts down from £62m in 2010 to £17.4m by 2020.</w:t>
      </w:r>
      <w:r w:rsidRPr="000A7C5F">
        <w:rPr>
          <w:rStyle w:val="FootnoteReference"/>
          <w:szCs w:val="28"/>
        </w:rPr>
        <w:footnoteReference w:id="365"/>
      </w:r>
      <w:r w:rsidRPr="007450E4">
        <w:rPr>
          <w:szCs w:val="28"/>
        </w:rPr>
        <w:t xml:space="preserve"> EHRC has consistently declined to carry out an independent inquiry into benefit deaths.</w:t>
      </w:r>
      <w:r w:rsidRPr="000A7C5F">
        <w:rPr>
          <w:rStyle w:val="FootnoteReference"/>
          <w:szCs w:val="28"/>
        </w:rPr>
        <w:footnoteReference w:id="366"/>
      </w:r>
      <w:r w:rsidRPr="007450E4">
        <w:rPr>
          <w:szCs w:val="28"/>
        </w:rPr>
        <w:t xml:space="preserve"> Recent EHRC consultations have not met good practice accessibility standards</w:t>
      </w:r>
      <w:r w:rsidRPr="000A7C5F">
        <w:rPr>
          <w:rStyle w:val="FootnoteReference"/>
          <w:szCs w:val="28"/>
        </w:rPr>
        <w:footnoteReference w:id="367"/>
      </w:r>
      <w:r w:rsidR="0049221B" w:rsidRPr="007450E4">
        <w:rPr>
          <w:szCs w:val="28"/>
        </w:rPr>
        <w:t xml:space="preserve">. </w:t>
      </w:r>
      <w:r w:rsidR="007450E4" w:rsidRPr="007450E4">
        <w:rPr>
          <w:szCs w:val="28"/>
        </w:rPr>
        <w:t xml:space="preserve">The EHRC Disability Advisory Committee (DAC) is due to be scrapped without an equality impact assessment or consultation </w:t>
      </w:r>
      <w:r w:rsidR="007450E4" w:rsidRPr="007450E4">
        <w:rPr>
          <w:szCs w:val="28"/>
        </w:rPr>
        <w:lastRenderedPageBreak/>
        <w:t>with DDPOs</w:t>
      </w:r>
      <w:r w:rsidR="007450E4">
        <w:rPr>
          <w:rStyle w:val="FootnoteReference"/>
          <w:szCs w:val="28"/>
        </w:rPr>
        <w:footnoteReference w:id="368"/>
      </w:r>
      <w:r w:rsidR="007450E4" w:rsidRPr="007450E4">
        <w:rPr>
          <w:szCs w:val="28"/>
        </w:rPr>
        <w:t>. Instead, they plan to discuss future engagement with a range of disability stakeholders</w:t>
      </w:r>
      <w:r w:rsidR="007450E4">
        <w:rPr>
          <w:rStyle w:val="FootnoteReference"/>
          <w:szCs w:val="28"/>
        </w:rPr>
        <w:footnoteReference w:id="369"/>
      </w:r>
      <w:r w:rsidR="007450E4" w:rsidRPr="007450E4">
        <w:rPr>
          <w:szCs w:val="28"/>
        </w:rPr>
        <w:t>. The original EHRC Disability Committee was downgraded in July 2013 against the advice of an independent reviewer and 70% of consultation responses</w:t>
      </w:r>
      <w:r w:rsidR="007450E4">
        <w:rPr>
          <w:rStyle w:val="FootnoteReference"/>
          <w:szCs w:val="28"/>
        </w:rPr>
        <w:footnoteReference w:id="370"/>
      </w:r>
      <w:r w:rsidR="007450E4" w:rsidRPr="007450E4">
        <w:rPr>
          <w:szCs w:val="28"/>
        </w:rPr>
        <w:t>. Findings of the Special Inquiry in 2016, Concluding Observations in 2017, EHRC’s own finding of growing disability inequality in 2018 and the disproportionate deaths of DDP due to discrimination during the pandemic are some of the reasons why DDP consider the DAC is still needed</w:t>
      </w:r>
      <w:r w:rsidR="007450E4">
        <w:rPr>
          <w:rStyle w:val="FootnoteReference"/>
          <w:szCs w:val="28"/>
        </w:rPr>
        <w:footnoteReference w:id="371"/>
      </w:r>
      <w:r w:rsidR="007450E4">
        <w:rPr>
          <w:szCs w:val="28"/>
        </w:rPr>
        <w:t>.</w:t>
      </w:r>
    </w:p>
    <w:p w14:paraId="5B218E4B" w14:textId="77777777" w:rsidR="007450E4" w:rsidRPr="007450E4" w:rsidRDefault="007450E4" w:rsidP="007450E4">
      <w:pPr>
        <w:pStyle w:val="ListParagraph"/>
        <w:rPr>
          <w:szCs w:val="28"/>
        </w:rPr>
      </w:pPr>
    </w:p>
    <w:p w14:paraId="42504B71" w14:textId="3D74FD1D" w:rsidR="00A24767" w:rsidRPr="00BB6A41" w:rsidRDefault="007450E4" w:rsidP="00BB6A41">
      <w:pPr>
        <w:pStyle w:val="ListParagraph"/>
        <w:numPr>
          <w:ilvl w:val="0"/>
          <w:numId w:val="3"/>
        </w:numPr>
        <w:ind w:left="851" w:hanging="851"/>
        <w:rPr>
          <w:szCs w:val="28"/>
        </w:rPr>
      </w:pPr>
      <w:r w:rsidRPr="007450E4">
        <w:rPr>
          <w:szCs w:val="28"/>
        </w:rPr>
        <w:t>DDP who are transgender have raised concerns about the EHRC’s independence and their position on trans rights issues in line with a wider outcry from LGBT+ organisations seeking to have their “A rating” removed</w:t>
      </w:r>
      <w:r>
        <w:rPr>
          <w:rStyle w:val="FootnoteReference"/>
          <w:szCs w:val="28"/>
        </w:rPr>
        <w:footnoteReference w:id="372"/>
      </w:r>
      <w:r w:rsidRPr="007450E4">
        <w:rPr>
          <w:szCs w:val="28"/>
        </w:rPr>
        <w:t>.</w:t>
      </w:r>
    </w:p>
    <w:p w14:paraId="01C812BA" w14:textId="646A4EA6" w:rsidR="00E113EB" w:rsidRPr="000A7C5F" w:rsidRDefault="00EB6A1F" w:rsidP="00BB6A41">
      <w:pPr>
        <w:pStyle w:val="Heading2"/>
      </w:pPr>
      <w:bookmarkStart w:id="40" w:name="_Toc98504902"/>
      <w:bookmarkStart w:id="41" w:name="_Toc98505547"/>
      <w:bookmarkStart w:id="42" w:name="_Toc98506553"/>
      <w:r w:rsidRPr="000A7C5F">
        <w:lastRenderedPageBreak/>
        <w:t xml:space="preserve">Theme 3: </w:t>
      </w:r>
      <w:proofErr w:type="spellStart"/>
      <w:r w:rsidR="00350DDA" w:rsidRPr="000A7C5F">
        <w:t>I</w:t>
      </w:r>
      <w:r w:rsidR="004D2ED1" w:rsidRPr="000A7C5F">
        <w:t>nstitutionalisation</w:t>
      </w:r>
      <w:bookmarkEnd w:id="40"/>
      <w:bookmarkEnd w:id="41"/>
      <w:bookmarkEnd w:id="42"/>
      <w:proofErr w:type="spellEnd"/>
    </w:p>
    <w:p w14:paraId="20C54B24" w14:textId="4D50BEF2" w:rsidR="00895915" w:rsidRPr="000A7C5F" w:rsidRDefault="009037D2" w:rsidP="00794060">
      <w:pPr>
        <w:pStyle w:val="ListParagraph"/>
        <w:numPr>
          <w:ilvl w:val="0"/>
          <w:numId w:val="3"/>
        </w:numPr>
        <w:ind w:left="851" w:hanging="851"/>
        <w:rPr>
          <w:szCs w:val="28"/>
        </w:rPr>
      </w:pPr>
      <w:proofErr w:type="spellStart"/>
      <w:r w:rsidRPr="000A7C5F">
        <w:rPr>
          <w:szCs w:val="28"/>
        </w:rPr>
        <w:t>WeG</w:t>
      </w:r>
      <w:proofErr w:type="spellEnd"/>
      <w:r w:rsidR="00890EE3" w:rsidRPr="000A7C5F">
        <w:rPr>
          <w:szCs w:val="28"/>
        </w:rPr>
        <w:t xml:space="preserve"> continues to employ legislation</w:t>
      </w:r>
      <w:r w:rsidR="00895915" w:rsidRPr="000A7C5F">
        <w:rPr>
          <w:szCs w:val="28"/>
        </w:rPr>
        <w:t xml:space="preserve"> entrenched in a medical as opposed to a human rights approach and which </w:t>
      </w:r>
      <w:r w:rsidR="00890EE3" w:rsidRPr="000A7C5F">
        <w:rPr>
          <w:szCs w:val="28"/>
        </w:rPr>
        <w:t>authorises substitute decision-making, detention in psychiatric institutions, involuntary treatment and the use of community treatment orders.</w:t>
      </w:r>
      <w:r w:rsidR="00417453" w:rsidRPr="000A7C5F">
        <w:rPr>
          <w:szCs w:val="28"/>
        </w:rPr>
        <w:t xml:space="preserve"> </w:t>
      </w:r>
      <w:r w:rsidR="00AD2526" w:rsidRPr="000A7C5F">
        <w:rPr>
          <w:szCs w:val="28"/>
        </w:rPr>
        <w:t>DDP continue to have no right to independent living enshrined in domestic legislation</w:t>
      </w:r>
      <w:r w:rsidR="00AD2526" w:rsidRPr="000A7C5F">
        <w:rPr>
          <w:rStyle w:val="FootnoteReference"/>
          <w:szCs w:val="28"/>
        </w:rPr>
        <w:footnoteReference w:id="373"/>
      </w:r>
      <w:r w:rsidR="00AD2526" w:rsidRPr="000A7C5F">
        <w:rPr>
          <w:szCs w:val="28"/>
        </w:rPr>
        <w:t>.</w:t>
      </w:r>
    </w:p>
    <w:p w14:paraId="7C20AB00" w14:textId="77777777" w:rsidR="00895915" w:rsidRPr="000A7C5F" w:rsidRDefault="00895915" w:rsidP="00E739BB">
      <w:pPr>
        <w:pStyle w:val="ListParagraph"/>
        <w:ind w:left="851" w:hanging="851"/>
        <w:rPr>
          <w:szCs w:val="28"/>
        </w:rPr>
      </w:pPr>
    </w:p>
    <w:p w14:paraId="5DD8F48D" w14:textId="0ED39CB6" w:rsidR="00134999" w:rsidRPr="00134999" w:rsidRDefault="00417453" w:rsidP="00134999">
      <w:pPr>
        <w:pStyle w:val="ListParagraph"/>
        <w:numPr>
          <w:ilvl w:val="0"/>
          <w:numId w:val="3"/>
        </w:numPr>
        <w:ind w:left="851" w:hanging="851"/>
        <w:rPr>
          <w:szCs w:val="28"/>
        </w:rPr>
      </w:pPr>
      <w:r w:rsidRPr="000A7C5F">
        <w:rPr>
          <w:szCs w:val="28"/>
        </w:rPr>
        <w:t>Opportunities were lost to achieve compliance with the CRDP</w:t>
      </w:r>
      <w:r w:rsidRPr="000A7C5F">
        <w:t xml:space="preserve"> </w:t>
      </w:r>
      <w:r w:rsidRPr="000A7C5F">
        <w:rPr>
          <w:szCs w:val="28"/>
        </w:rPr>
        <w:t xml:space="preserve">through recent/planned legal reforms </w:t>
      </w:r>
      <w:r w:rsidR="00895915" w:rsidRPr="000A7C5F">
        <w:rPr>
          <w:szCs w:val="28"/>
        </w:rPr>
        <w:t>including</w:t>
      </w:r>
      <w:r w:rsidRPr="000A7C5F">
        <w:rPr>
          <w:szCs w:val="28"/>
        </w:rPr>
        <w:t xml:space="preserve"> the Mental Capacity (Amendment) Act 2019, due for implementation on 1st April 2022</w:t>
      </w:r>
      <w:r w:rsidR="001D759D" w:rsidRPr="000A7C5F">
        <w:rPr>
          <w:szCs w:val="28"/>
        </w:rPr>
        <w:t>,</w:t>
      </w:r>
      <w:r w:rsidRPr="000A7C5F">
        <w:rPr>
          <w:szCs w:val="28"/>
        </w:rPr>
        <w:t xml:space="preserve"> and the White Paper (2021) on reforming the Mental Health Act 1983</w:t>
      </w:r>
      <w:r w:rsidR="001D759D" w:rsidRPr="000A7C5F">
        <w:rPr>
          <w:szCs w:val="28"/>
        </w:rPr>
        <w:t>.</w:t>
      </w:r>
      <w:r w:rsidRPr="000A7C5F">
        <w:rPr>
          <w:szCs w:val="28"/>
        </w:rPr>
        <w:t xml:space="preserve">  </w:t>
      </w:r>
      <w:r w:rsidR="00890EE3" w:rsidRPr="000A7C5F">
        <w:rPr>
          <w:szCs w:val="28"/>
        </w:rPr>
        <w:t xml:space="preserve"> This is in contravention of </w:t>
      </w:r>
      <w:r w:rsidRPr="000A7C5F">
        <w:rPr>
          <w:szCs w:val="28"/>
        </w:rPr>
        <w:t xml:space="preserve">the below </w:t>
      </w:r>
      <w:r w:rsidR="001D759D" w:rsidRPr="000A7C5F">
        <w:rPr>
          <w:szCs w:val="28"/>
        </w:rPr>
        <w:t>a</w:t>
      </w:r>
      <w:r w:rsidRPr="000A7C5F">
        <w:rPr>
          <w:szCs w:val="28"/>
        </w:rPr>
        <w:t>rticles,</w:t>
      </w:r>
      <w:r w:rsidR="001D759D" w:rsidRPr="000A7C5F">
        <w:rPr>
          <w:szCs w:val="28"/>
        </w:rPr>
        <w:t xml:space="preserve"> of</w:t>
      </w:r>
      <w:r w:rsidRPr="000A7C5F">
        <w:rPr>
          <w:szCs w:val="28"/>
        </w:rPr>
        <w:t xml:space="preserve"> General Comment 1, and Guidance on Article 14 as well as A</w:t>
      </w:r>
      <w:r w:rsidR="00890EE3" w:rsidRPr="000A7C5F">
        <w:rPr>
          <w:szCs w:val="28"/>
        </w:rPr>
        <w:t>rticle 19 and General Comment 5,</w:t>
      </w:r>
      <w:r w:rsidR="00890EE3" w:rsidRPr="000A7C5F">
        <w:rPr>
          <w:vertAlign w:val="superscript"/>
        </w:rPr>
        <w:footnoteReference w:id="374"/>
      </w:r>
      <w:r w:rsidR="00890EE3" w:rsidRPr="000A7C5F">
        <w:rPr>
          <w:szCs w:val="28"/>
        </w:rPr>
        <w:t xml:space="preserve"> which are absolutely clear that an end to </w:t>
      </w:r>
      <w:r w:rsidRPr="000A7C5F">
        <w:rPr>
          <w:szCs w:val="28"/>
        </w:rPr>
        <w:t>coercion</w:t>
      </w:r>
      <w:r w:rsidR="00890EE3" w:rsidRPr="000A7C5F">
        <w:rPr>
          <w:szCs w:val="28"/>
        </w:rPr>
        <w:t xml:space="preserve"> is fundamental to living independently and being included in the community</w:t>
      </w:r>
      <w:r w:rsidR="00FA1A2D" w:rsidRPr="000A7C5F">
        <w:rPr>
          <w:szCs w:val="28"/>
        </w:rPr>
        <w:t>.</w:t>
      </w:r>
      <w:r w:rsidR="00FA1A2D" w:rsidRPr="000A7C5F">
        <w:rPr>
          <w:rStyle w:val="FootnoteReference"/>
          <w:szCs w:val="28"/>
        </w:rPr>
        <w:footnoteReference w:id="375"/>
      </w:r>
      <w:r w:rsidR="00AD5058" w:rsidRPr="000A7C5F">
        <w:rPr>
          <w:szCs w:val="28"/>
        </w:rPr>
        <w:t xml:space="preserve"> </w:t>
      </w:r>
      <w:r w:rsidR="00134999">
        <w:rPr>
          <w:szCs w:val="28"/>
        </w:rPr>
        <w:br/>
      </w:r>
    </w:p>
    <w:p w14:paraId="0DB698AD" w14:textId="79944B6D" w:rsidR="00895915" w:rsidRPr="000A7C5F" w:rsidRDefault="00895915" w:rsidP="00794060">
      <w:pPr>
        <w:pStyle w:val="ListParagraph"/>
        <w:numPr>
          <w:ilvl w:val="0"/>
          <w:numId w:val="3"/>
        </w:numPr>
        <w:ind w:left="851" w:hanging="851"/>
        <w:rPr>
          <w:szCs w:val="28"/>
        </w:rPr>
      </w:pPr>
      <w:r w:rsidRPr="000A7C5F">
        <w:rPr>
          <w:szCs w:val="28"/>
        </w:rPr>
        <w:t xml:space="preserve">The White Paper recognises that neither a diagnosis of autism, nor a learning difficulty alone justify detention under mental health legislation. Detention is still allowed where a mental health </w:t>
      </w:r>
      <w:r w:rsidRPr="000A7C5F">
        <w:rPr>
          <w:szCs w:val="28"/>
        </w:rPr>
        <w:lastRenderedPageBreak/>
        <w:t>diagnosis is also given and deprivation of liberty will remain possible under the Mental Capacity (Amendment) Act 2019. There are concerns that removal of provision from civil sections of the law will lead to more compulsory detentions of autistic people/people with learning difficulties under criminal law</w:t>
      </w:r>
      <w:r w:rsidRPr="000A7C5F">
        <w:rPr>
          <w:rStyle w:val="FootnoteReference"/>
          <w:szCs w:val="28"/>
        </w:rPr>
        <w:footnoteReference w:id="376"/>
      </w:r>
      <w:r w:rsidRPr="000A7C5F">
        <w:rPr>
          <w:szCs w:val="28"/>
        </w:rPr>
        <w:t>.</w:t>
      </w:r>
    </w:p>
    <w:p w14:paraId="21079A22" w14:textId="77777777" w:rsidR="0067329A" w:rsidRPr="000A7C5F" w:rsidRDefault="0067329A" w:rsidP="00E739BB">
      <w:pPr>
        <w:pStyle w:val="ListParagraph"/>
        <w:rPr>
          <w:szCs w:val="28"/>
        </w:rPr>
      </w:pPr>
    </w:p>
    <w:p w14:paraId="407CA09D" w14:textId="77777777" w:rsidR="00824610" w:rsidRPr="000A7C5F" w:rsidRDefault="0067329A" w:rsidP="00794060">
      <w:pPr>
        <w:pStyle w:val="ListParagraph"/>
        <w:numPr>
          <w:ilvl w:val="0"/>
          <w:numId w:val="3"/>
        </w:numPr>
        <w:ind w:left="851" w:hanging="851"/>
        <w:rPr>
          <w:szCs w:val="28"/>
        </w:rPr>
      </w:pPr>
      <w:r w:rsidRPr="000A7C5F">
        <w:rPr>
          <w:szCs w:val="28"/>
        </w:rPr>
        <w:t xml:space="preserve">Under the White Paper people at risk of detention will be able to nominate a person to represent them (in place of automatic selection of their nearest relative) but this will be capacity-based. </w:t>
      </w:r>
      <w:r w:rsidR="00824610" w:rsidRPr="000A7C5F">
        <w:rPr>
          <w:szCs w:val="28"/>
        </w:rPr>
        <w:t xml:space="preserve">Expansion of the role of </w:t>
      </w:r>
      <w:r w:rsidRPr="000A7C5F">
        <w:rPr>
          <w:szCs w:val="28"/>
        </w:rPr>
        <w:t>Independent Mental Health Advocates (IMHAs)</w:t>
      </w:r>
      <w:r w:rsidR="00824610" w:rsidRPr="000A7C5F">
        <w:rPr>
          <w:szCs w:val="28"/>
        </w:rPr>
        <w:t xml:space="preserve"> is welcome but the shortage of advocacy provision must be addressed.</w:t>
      </w:r>
    </w:p>
    <w:p w14:paraId="082A7B1C" w14:textId="77777777" w:rsidR="00824610" w:rsidRPr="000A7C5F" w:rsidRDefault="00824610" w:rsidP="00E739BB">
      <w:pPr>
        <w:pStyle w:val="ListParagraph"/>
        <w:rPr>
          <w:szCs w:val="28"/>
        </w:rPr>
      </w:pPr>
    </w:p>
    <w:p w14:paraId="22561E25" w14:textId="108624D2" w:rsidR="00824610" w:rsidRDefault="00824610" w:rsidP="00794060">
      <w:pPr>
        <w:pStyle w:val="ListParagraph"/>
        <w:numPr>
          <w:ilvl w:val="0"/>
          <w:numId w:val="3"/>
        </w:numPr>
        <w:ind w:left="851" w:hanging="851"/>
        <w:rPr>
          <w:szCs w:val="28"/>
        </w:rPr>
      </w:pPr>
      <w:r w:rsidRPr="000A7C5F">
        <w:rPr>
          <w:szCs w:val="28"/>
        </w:rPr>
        <w:t>The White Paper 2020</w:t>
      </w:r>
      <w:r w:rsidRPr="000A7C5F">
        <w:rPr>
          <w:rStyle w:val="FootnoteReference"/>
          <w:szCs w:val="28"/>
        </w:rPr>
        <w:footnoteReference w:id="377"/>
      </w:r>
      <w:r w:rsidRPr="000A7C5F">
        <w:rPr>
          <w:szCs w:val="28"/>
        </w:rPr>
        <w:t xml:space="preserve"> rightly has a strong focus on people in mental distress from racialised communities, CYP, and people who are autistic or have learning difficulties, but is inadequate in its lack of attention to structural inequalities and people who are </w:t>
      </w:r>
      <w:r w:rsidR="006B7C3E" w:rsidRPr="000A7C5F">
        <w:rPr>
          <w:szCs w:val="28"/>
        </w:rPr>
        <w:t xml:space="preserve">women, </w:t>
      </w:r>
      <w:r w:rsidRPr="000A7C5F">
        <w:rPr>
          <w:szCs w:val="28"/>
        </w:rPr>
        <w:t>older, LGBTQ+, and have physical and/or sensory impairments</w:t>
      </w:r>
      <w:r w:rsidRPr="000A7C5F">
        <w:rPr>
          <w:rStyle w:val="FootnoteReference"/>
          <w:szCs w:val="28"/>
        </w:rPr>
        <w:footnoteReference w:id="378"/>
      </w:r>
      <w:r w:rsidRPr="000A7C5F">
        <w:rPr>
          <w:szCs w:val="28"/>
        </w:rPr>
        <w:t>.</w:t>
      </w:r>
    </w:p>
    <w:p w14:paraId="69275539" w14:textId="77777777" w:rsidR="00134999" w:rsidRPr="00134999" w:rsidRDefault="00134999" w:rsidP="00134999">
      <w:pPr>
        <w:pStyle w:val="ListParagraph"/>
        <w:rPr>
          <w:szCs w:val="28"/>
        </w:rPr>
      </w:pPr>
    </w:p>
    <w:p w14:paraId="01AEABFC" w14:textId="76FC4C48" w:rsidR="00895915" w:rsidRPr="00B522F2" w:rsidRDefault="00134999" w:rsidP="00B522F2">
      <w:pPr>
        <w:pStyle w:val="ListParagraph"/>
        <w:numPr>
          <w:ilvl w:val="0"/>
          <w:numId w:val="3"/>
        </w:numPr>
        <w:ind w:left="851" w:hanging="851"/>
        <w:rPr>
          <w:szCs w:val="28"/>
        </w:rPr>
      </w:pPr>
      <w:r w:rsidRPr="000A7C5F">
        <w:rPr>
          <w:szCs w:val="28"/>
        </w:rPr>
        <w:t xml:space="preserve">In a review of three safeguarding cases, Sir Stephen </w:t>
      </w:r>
      <w:proofErr w:type="spellStart"/>
      <w:r w:rsidRPr="000A7C5F">
        <w:rPr>
          <w:szCs w:val="28"/>
        </w:rPr>
        <w:t>Bubb</w:t>
      </w:r>
      <w:proofErr w:type="spellEnd"/>
      <w:r w:rsidRPr="000A7C5F">
        <w:rPr>
          <w:szCs w:val="28"/>
        </w:rPr>
        <w:t xml:space="preserve"> described a “national system of care and support for people with learning disabilities and autism that is wholly inadequate”</w:t>
      </w:r>
      <w:r w:rsidRPr="000A7C5F">
        <w:rPr>
          <w:rStyle w:val="FootnoteReference"/>
          <w:szCs w:val="28"/>
        </w:rPr>
        <w:footnoteReference w:id="379"/>
      </w:r>
      <w:r w:rsidRPr="000A7C5F">
        <w:rPr>
          <w:szCs w:val="28"/>
        </w:rPr>
        <w:t xml:space="preserve">. He </w:t>
      </w:r>
      <w:r w:rsidRPr="000A7C5F">
        <w:rPr>
          <w:szCs w:val="28"/>
        </w:rPr>
        <w:lastRenderedPageBreak/>
        <w:t>discovered a history of inappropriate placements, ineffective multi agency support and lack of understanding of the problems faced by the families, also that families found it extraordinarily difficult to challenge decisions being made about their loved ones. The review identifies serious failings by the police, British Transport Police, criminal justice system (CJS), LA and secure institutions. These include failure to understand needs, abuse, denial of human rights and lack of community-based support.</w:t>
      </w:r>
    </w:p>
    <w:p w14:paraId="38373B98" w14:textId="2EEFF6D1" w:rsidR="00522F93" w:rsidRPr="000A7C5F" w:rsidRDefault="00522F93" w:rsidP="00BB6A41">
      <w:pPr>
        <w:pStyle w:val="ArticleHeading"/>
      </w:pPr>
      <w:r w:rsidRPr="000A7C5F">
        <w:t>Article 12 – Equal recognition before the law</w:t>
      </w:r>
      <w:r w:rsidR="0033672B" w:rsidRPr="000A7C5F">
        <w:t xml:space="preserve">; </w:t>
      </w:r>
      <w:r w:rsidRPr="000A7C5F">
        <w:t>Article 14 – Liberty and security of person</w:t>
      </w:r>
    </w:p>
    <w:p w14:paraId="258C104B" w14:textId="7746EAB4" w:rsidR="0067329A" w:rsidRPr="000A7C5F" w:rsidRDefault="0067329A" w:rsidP="00794060">
      <w:pPr>
        <w:pStyle w:val="ListParagraph"/>
        <w:numPr>
          <w:ilvl w:val="0"/>
          <w:numId w:val="3"/>
        </w:numPr>
        <w:ind w:left="851" w:hanging="851"/>
        <w:rPr>
          <w:szCs w:val="28"/>
        </w:rPr>
      </w:pPr>
      <w:r w:rsidRPr="000A7C5F">
        <w:rPr>
          <w:szCs w:val="28"/>
        </w:rPr>
        <w:t>Under proposed Advance Choice Documents, people will be able to express choice of treatment if detained but will only carry full weight if the person is judged to have had capacity when drawing up the Document.  Even then, a clinician will be able to overrule the person’s choices provided they have recorded reasons for doing so.</w:t>
      </w:r>
    </w:p>
    <w:p w14:paraId="2D363D77" w14:textId="77777777" w:rsidR="0067329A" w:rsidRPr="000A7C5F" w:rsidRDefault="0067329A" w:rsidP="008C0617">
      <w:pPr>
        <w:pStyle w:val="ListParagraph"/>
        <w:ind w:left="851" w:hanging="851"/>
        <w:rPr>
          <w:szCs w:val="28"/>
        </w:rPr>
      </w:pPr>
    </w:p>
    <w:p w14:paraId="60F71DCD" w14:textId="71E97DCD" w:rsidR="00522F93" w:rsidRPr="000A7C5F" w:rsidRDefault="00522F93" w:rsidP="00794060">
      <w:pPr>
        <w:pStyle w:val="ListParagraph"/>
        <w:numPr>
          <w:ilvl w:val="0"/>
          <w:numId w:val="3"/>
        </w:numPr>
        <w:ind w:left="851" w:hanging="851"/>
        <w:rPr>
          <w:szCs w:val="28"/>
        </w:rPr>
      </w:pPr>
      <w:r w:rsidRPr="000A7C5F">
        <w:rPr>
          <w:szCs w:val="28"/>
        </w:rPr>
        <w:t>A shortage of</w:t>
      </w:r>
      <w:r w:rsidR="00705393" w:rsidRPr="000A7C5F">
        <w:rPr>
          <w:szCs w:val="28"/>
        </w:rPr>
        <w:t xml:space="preserve"> </w:t>
      </w:r>
      <w:r w:rsidRPr="000A7C5F">
        <w:rPr>
          <w:szCs w:val="28"/>
        </w:rPr>
        <w:t>Independent Mental Capacity Advocates (IMCAs) means that the right to equal recognition before the law for DDP judged to lack capacity cannot be upheld</w:t>
      </w:r>
      <w:r w:rsidRPr="000A7C5F">
        <w:rPr>
          <w:rStyle w:val="FootnoteReference"/>
          <w:szCs w:val="28"/>
        </w:rPr>
        <w:footnoteReference w:id="380"/>
      </w:r>
      <w:r w:rsidRPr="000A7C5F">
        <w:rPr>
          <w:szCs w:val="28"/>
        </w:rPr>
        <w:t>.</w:t>
      </w:r>
    </w:p>
    <w:p w14:paraId="3CDC03E6" w14:textId="76A6F6DF" w:rsidR="00034253" w:rsidRPr="000A7C5F" w:rsidRDefault="0067329A" w:rsidP="008C0617">
      <w:pPr>
        <w:pStyle w:val="ListParagraph"/>
        <w:tabs>
          <w:tab w:val="left" w:pos="7746"/>
        </w:tabs>
        <w:ind w:left="851" w:hanging="851"/>
        <w:rPr>
          <w:szCs w:val="28"/>
        </w:rPr>
      </w:pPr>
      <w:r w:rsidRPr="000A7C5F">
        <w:rPr>
          <w:szCs w:val="28"/>
        </w:rPr>
        <w:tab/>
      </w:r>
    </w:p>
    <w:p w14:paraId="79C3DEB6" w14:textId="77777777" w:rsidR="00034253" w:rsidRPr="000A7C5F" w:rsidRDefault="00085CE1" w:rsidP="00794060">
      <w:pPr>
        <w:pStyle w:val="ListParagraph"/>
        <w:numPr>
          <w:ilvl w:val="0"/>
          <w:numId w:val="3"/>
        </w:numPr>
        <w:ind w:left="851" w:hanging="851"/>
        <w:rPr>
          <w:szCs w:val="28"/>
        </w:rPr>
      </w:pPr>
      <w:r w:rsidRPr="000A7C5F">
        <w:rPr>
          <w:szCs w:val="28"/>
        </w:rPr>
        <w:t xml:space="preserve">There is a major concern over Deprivation of Liberty safeguarding issues and a growing tendency </w:t>
      </w:r>
      <w:r w:rsidR="00674F8C" w:rsidRPr="000A7C5F">
        <w:rPr>
          <w:szCs w:val="28"/>
        </w:rPr>
        <w:t xml:space="preserve">for LAs to </w:t>
      </w:r>
      <w:r w:rsidRPr="000A7C5F">
        <w:rPr>
          <w:szCs w:val="28"/>
        </w:rPr>
        <w:t>suggest</w:t>
      </w:r>
      <w:r w:rsidR="00674F8C" w:rsidRPr="000A7C5F">
        <w:rPr>
          <w:szCs w:val="28"/>
        </w:rPr>
        <w:t xml:space="preserve">/providers to </w:t>
      </w:r>
      <w:r w:rsidR="00674F8C" w:rsidRPr="000A7C5F">
        <w:rPr>
          <w:szCs w:val="28"/>
        </w:rPr>
        <w:lastRenderedPageBreak/>
        <w:t>adopt</w:t>
      </w:r>
      <w:r w:rsidRPr="000A7C5F">
        <w:rPr>
          <w:szCs w:val="28"/>
        </w:rPr>
        <w:t xml:space="preserve"> deprivation of liberty measures in place o</w:t>
      </w:r>
      <w:r w:rsidR="00674F8C" w:rsidRPr="000A7C5F">
        <w:rPr>
          <w:szCs w:val="28"/>
        </w:rPr>
        <w:t xml:space="preserve">f </w:t>
      </w:r>
      <w:r w:rsidRPr="000A7C5F">
        <w:rPr>
          <w:szCs w:val="28"/>
        </w:rPr>
        <w:t>appropriate support</w:t>
      </w:r>
      <w:r w:rsidRPr="000A7C5F">
        <w:rPr>
          <w:rStyle w:val="FootnoteReference"/>
          <w:szCs w:val="28"/>
        </w:rPr>
        <w:footnoteReference w:id="381"/>
      </w:r>
      <w:r w:rsidRPr="000A7C5F">
        <w:rPr>
          <w:szCs w:val="28"/>
        </w:rPr>
        <w:t>.</w:t>
      </w:r>
    </w:p>
    <w:p w14:paraId="6A43E353" w14:textId="77777777" w:rsidR="00034253" w:rsidRPr="000A7C5F" w:rsidRDefault="00034253" w:rsidP="008C0617">
      <w:pPr>
        <w:pStyle w:val="ListParagraph"/>
        <w:ind w:left="851" w:hanging="851"/>
        <w:rPr>
          <w:szCs w:val="28"/>
        </w:rPr>
      </w:pPr>
    </w:p>
    <w:p w14:paraId="5A61A33F" w14:textId="06EA77D0" w:rsidR="00034253" w:rsidRPr="000A7C5F" w:rsidRDefault="008A428F" w:rsidP="00794060">
      <w:pPr>
        <w:pStyle w:val="ListParagraph"/>
        <w:numPr>
          <w:ilvl w:val="0"/>
          <w:numId w:val="3"/>
        </w:numPr>
        <w:ind w:left="851" w:hanging="851"/>
        <w:rPr>
          <w:szCs w:val="28"/>
        </w:rPr>
      </w:pPr>
      <w:r w:rsidRPr="000A7C5F">
        <w:rPr>
          <w:szCs w:val="28"/>
        </w:rPr>
        <w:t>The Mental Capacity (Amendment) Act enacted in 2019 has weakened legal safeguards for people judged to lack capacity</w:t>
      </w:r>
      <w:r w:rsidR="003B0F5F" w:rsidRPr="000A7C5F">
        <w:rPr>
          <w:szCs w:val="28"/>
        </w:rPr>
        <w:t xml:space="preserve"> and made it easier to deprive people of their liberty</w:t>
      </w:r>
      <w:r w:rsidRPr="000A7C5F">
        <w:rPr>
          <w:szCs w:val="28"/>
        </w:rPr>
        <w:t>. Liberty Protection Safeguards</w:t>
      </w:r>
      <w:r w:rsidR="0067329A" w:rsidRPr="000A7C5F">
        <w:rPr>
          <w:szCs w:val="28"/>
        </w:rPr>
        <w:t xml:space="preserve"> due to be</w:t>
      </w:r>
      <w:r w:rsidRPr="000A7C5F">
        <w:rPr>
          <w:szCs w:val="28"/>
        </w:rPr>
        <w:t xml:space="preserve"> introduced no longer require the </w:t>
      </w:r>
      <w:r w:rsidR="0067329A" w:rsidRPr="000A7C5F">
        <w:rPr>
          <w:szCs w:val="28"/>
        </w:rPr>
        <w:t>D</w:t>
      </w:r>
      <w:r w:rsidRPr="000A7C5F">
        <w:rPr>
          <w:szCs w:val="28"/>
        </w:rPr>
        <w:t>isabled person’s best interests to be considered</w:t>
      </w:r>
      <w:r w:rsidR="003B0F5F" w:rsidRPr="000A7C5F">
        <w:rPr>
          <w:szCs w:val="28"/>
        </w:rPr>
        <w:t xml:space="preserve"> and removes independent assessments except when a care home manager or a local authority decides that the person concerned is objecting. Challenges require going through expensive court of protection arrangements</w:t>
      </w:r>
      <w:r w:rsidR="003B0F5F" w:rsidRPr="000A7C5F">
        <w:rPr>
          <w:rStyle w:val="FootnoteReference"/>
          <w:szCs w:val="28"/>
        </w:rPr>
        <w:footnoteReference w:id="382"/>
      </w:r>
      <w:r w:rsidR="003B0F5F" w:rsidRPr="000A7C5F">
        <w:rPr>
          <w:szCs w:val="28"/>
        </w:rPr>
        <w:t xml:space="preserve">. </w:t>
      </w:r>
    </w:p>
    <w:p w14:paraId="6EC07EA7" w14:textId="77777777" w:rsidR="00034253" w:rsidRPr="000A7C5F" w:rsidRDefault="00034253" w:rsidP="00E739BB">
      <w:pPr>
        <w:pStyle w:val="ListParagraph"/>
        <w:rPr>
          <w:szCs w:val="28"/>
        </w:rPr>
      </w:pPr>
    </w:p>
    <w:p w14:paraId="67CBE526" w14:textId="77777777" w:rsidR="00034253" w:rsidRPr="000A7C5F" w:rsidRDefault="00366A72" w:rsidP="00794060">
      <w:pPr>
        <w:pStyle w:val="ListParagraph"/>
        <w:numPr>
          <w:ilvl w:val="0"/>
          <w:numId w:val="3"/>
        </w:numPr>
        <w:ind w:left="851" w:hanging="851"/>
        <w:rPr>
          <w:szCs w:val="28"/>
        </w:rPr>
      </w:pPr>
      <w:r w:rsidRPr="000A7C5F">
        <w:rPr>
          <w:szCs w:val="28"/>
        </w:rPr>
        <w:t>Over 2000 people with learning difficulties/ who are autistic are in inpatient units where they are at increased risk of abuse and neglect</w:t>
      </w:r>
      <w:r w:rsidRPr="000A7C5F">
        <w:rPr>
          <w:rStyle w:val="FootnoteReference"/>
          <w:szCs w:val="28"/>
        </w:rPr>
        <w:footnoteReference w:id="383"/>
      </w:r>
      <w:r w:rsidRPr="000A7C5F">
        <w:rPr>
          <w:szCs w:val="28"/>
        </w:rPr>
        <w:t xml:space="preserve">. </w:t>
      </w:r>
      <w:r w:rsidR="005B04C6" w:rsidRPr="000A7C5F">
        <w:rPr>
          <w:szCs w:val="28"/>
        </w:rPr>
        <w:t>NHS figures for 2021 report a 10% rise in patients admitted to psychiatric hospitals compared with 2015</w:t>
      </w:r>
      <w:r w:rsidRPr="000A7C5F">
        <w:rPr>
          <w:rStyle w:val="FootnoteReference"/>
          <w:szCs w:val="28"/>
        </w:rPr>
        <w:footnoteReference w:id="384"/>
      </w:r>
      <w:r w:rsidR="005B04C6" w:rsidRPr="000A7C5F">
        <w:rPr>
          <w:szCs w:val="28"/>
        </w:rPr>
        <w:t>.</w:t>
      </w:r>
      <w:r w:rsidR="00497C90" w:rsidRPr="000A7C5F">
        <w:rPr>
          <w:szCs w:val="28"/>
        </w:rPr>
        <w:t xml:space="preserve"> The average hospital stay is five years. 100 inpatients have been detained for more than 20 years</w:t>
      </w:r>
      <w:r w:rsidR="00497C90" w:rsidRPr="000A7C5F">
        <w:rPr>
          <w:rStyle w:val="FootnoteReference"/>
          <w:szCs w:val="28"/>
        </w:rPr>
        <w:footnoteReference w:id="385"/>
      </w:r>
      <w:r w:rsidR="00497C90" w:rsidRPr="000A7C5F">
        <w:rPr>
          <w:szCs w:val="28"/>
        </w:rPr>
        <w:t>. 250 CYP with learning difficulties/who are autistic were identified in a mental health hospital in England in February 2019 compared to 110 in March 2015</w:t>
      </w:r>
      <w:r w:rsidRPr="000A7C5F">
        <w:rPr>
          <w:rStyle w:val="FootnoteReference"/>
          <w:szCs w:val="28"/>
        </w:rPr>
        <w:footnoteReference w:id="386"/>
      </w:r>
      <w:r w:rsidR="00497C90" w:rsidRPr="000A7C5F">
        <w:rPr>
          <w:szCs w:val="28"/>
        </w:rPr>
        <w:t>.</w:t>
      </w:r>
    </w:p>
    <w:p w14:paraId="1422DEE4" w14:textId="77777777" w:rsidR="00034253" w:rsidRPr="000A7C5F" w:rsidRDefault="00034253" w:rsidP="008C0617">
      <w:pPr>
        <w:pStyle w:val="ListParagraph"/>
        <w:ind w:left="851" w:hanging="851"/>
        <w:rPr>
          <w:szCs w:val="28"/>
        </w:rPr>
      </w:pPr>
    </w:p>
    <w:p w14:paraId="62316214" w14:textId="672175EC" w:rsidR="00034253" w:rsidRPr="000A7C5F" w:rsidRDefault="009037D2" w:rsidP="00794060">
      <w:pPr>
        <w:pStyle w:val="ListParagraph"/>
        <w:numPr>
          <w:ilvl w:val="0"/>
          <w:numId w:val="3"/>
        </w:numPr>
        <w:ind w:left="851" w:hanging="851"/>
        <w:rPr>
          <w:szCs w:val="28"/>
        </w:rPr>
      </w:pPr>
      <w:proofErr w:type="spellStart"/>
      <w:r w:rsidRPr="000A7C5F">
        <w:rPr>
          <w:szCs w:val="28"/>
        </w:rPr>
        <w:t>WeG</w:t>
      </w:r>
      <w:proofErr w:type="spellEnd"/>
      <w:r w:rsidR="003D21D2" w:rsidRPr="000A7C5F">
        <w:rPr>
          <w:szCs w:val="28"/>
        </w:rPr>
        <w:t xml:space="preserve"> has missed successive targets for de-institutionalisation.</w:t>
      </w:r>
      <w:r w:rsidR="003D21D2" w:rsidRPr="000A7C5F">
        <w:rPr>
          <w:vertAlign w:val="superscript"/>
        </w:rPr>
        <w:footnoteReference w:id="387"/>
      </w:r>
      <w:r w:rsidR="003D21D2" w:rsidRPr="000A7C5F">
        <w:rPr>
          <w:szCs w:val="28"/>
        </w:rPr>
        <w:t xml:space="preserve"> </w:t>
      </w:r>
      <w:r w:rsidR="00366A72" w:rsidRPr="000A7C5F">
        <w:rPr>
          <w:szCs w:val="28"/>
        </w:rPr>
        <w:t xml:space="preserve">In 2020 the EHRC sent a pre-action </w:t>
      </w:r>
      <w:r w:rsidR="00AB4AF2" w:rsidRPr="000A7C5F">
        <w:rPr>
          <w:szCs w:val="28"/>
        </w:rPr>
        <w:t xml:space="preserve">letter to </w:t>
      </w:r>
      <w:proofErr w:type="spellStart"/>
      <w:r w:rsidRPr="000A7C5F">
        <w:rPr>
          <w:szCs w:val="28"/>
        </w:rPr>
        <w:t>WeG</w:t>
      </w:r>
      <w:proofErr w:type="spellEnd"/>
      <w:r w:rsidR="00AB4AF2" w:rsidRPr="000A7C5F">
        <w:rPr>
          <w:szCs w:val="28"/>
        </w:rPr>
        <w:t xml:space="preserve"> arguing it had breached the European Convention on Human Rights for failing to meet targets set in the Transforming Care and Building the Right Support programmes</w:t>
      </w:r>
      <w:r w:rsidR="00AB4AF2" w:rsidRPr="000A7C5F">
        <w:rPr>
          <w:rStyle w:val="FootnoteReference"/>
          <w:szCs w:val="28"/>
        </w:rPr>
        <w:footnoteReference w:id="388"/>
      </w:r>
      <w:r w:rsidR="00AB4AF2" w:rsidRPr="000A7C5F">
        <w:rPr>
          <w:szCs w:val="28"/>
        </w:rPr>
        <w:t xml:space="preserve">. </w:t>
      </w:r>
      <w:r w:rsidR="003D21D2" w:rsidRPr="000A7C5F">
        <w:rPr>
          <w:szCs w:val="28"/>
        </w:rPr>
        <w:t xml:space="preserve">The latest Government target is to close 50% of inpatient beds by March 2024. </w:t>
      </w:r>
    </w:p>
    <w:p w14:paraId="1B8C8C48" w14:textId="77777777" w:rsidR="00034253" w:rsidRPr="000A7C5F" w:rsidRDefault="00034253" w:rsidP="00E739BB">
      <w:pPr>
        <w:pStyle w:val="ListParagraph"/>
        <w:rPr>
          <w:szCs w:val="28"/>
        </w:rPr>
      </w:pPr>
    </w:p>
    <w:p w14:paraId="3F0F8C64" w14:textId="023795B2" w:rsidR="0067329A" w:rsidRPr="000A7C5F" w:rsidRDefault="003D21D2" w:rsidP="00794060">
      <w:pPr>
        <w:pStyle w:val="ListParagraph"/>
        <w:numPr>
          <w:ilvl w:val="0"/>
          <w:numId w:val="3"/>
        </w:numPr>
        <w:ind w:left="851" w:hanging="851"/>
        <w:rPr>
          <w:szCs w:val="28"/>
        </w:rPr>
      </w:pPr>
      <w:r w:rsidRPr="000A7C5F">
        <w:rPr>
          <w:szCs w:val="28"/>
        </w:rPr>
        <w:t>Without investment in the development of community social care support services, private institutional settings are too often considered the only viable option</w:t>
      </w:r>
      <w:r w:rsidR="00121A9A" w:rsidRPr="000A7C5F">
        <w:rPr>
          <w:rStyle w:val="FootnoteReference"/>
          <w:szCs w:val="28"/>
        </w:rPr>
        <w:footnoteReference w:id="389"/>
      </w:r>
      <w:r w:rsidRPr="000A7C5F">
        <w:rPr>
          <w:szCs w:val="28"/>
        </w:rPr>
        <w:t>. There is insufficient scrutiny of where Disabled people are moved after they leave state-funded ATUs. At one ATU in the two years up to April 2018, almost 50% of residents left to go into privately owned “independent hospitals.”</w:t>
      </w:r>
      <w:r w:rsidR="0036517B" w:rsidRPr="000A7C5F">
        <w:t xml:space="preserve"> </w:t>
      </w:r>
      <w:r w:rsidR="0036517B" w:rsidRPr="000A7C5F">
        <w:rPr>
          <w:szCs w:val="28"/>
        </w:rPr>
        <w:t>Only around 30% went on to either supported living or residential care in the community</w:t>
      </w:r>
      <w:r w:rsidRPr="000A7C5F">
        <w:rPr>
          <w:vertAlign w:val="superscript"/>
        </w:rPr>
        <w:footnoteReference w:id="390"/>
      </w:r>
      <w:r w:rsidR="0036517B" w:rsidRPr="000A7C5F">
        <w:rPr>
          <w:szCs w:val="28"/>
        </w:rPr>
        <w:t>.</w:t>
      </w:r>
      <w:r w:rsidR="0067329A" w:rsidRPr="000A7C5F">
        <w:rPr>
          <w:szCs w:val="28"/>
        </w:rPr>
        <w:t xml:space="preserve"> In the case of people detained under the Mental Health Act 1983, disputes over who should provide aftercare have resulted in serious shortcomings</w:t>
      </w:r>
      <w:r w:rsidR="0067329A" w:rsidRPr="000A7C5F">
        <w:rPr>
          <w:szCs w:val="28"/>
          <w:vertAlign w:val="superscript"/>
        </w:rPr>
        <w:footnoteReference w:id="391"/>
      </w:r>
      <w:r w:rsidR="0067329A" w:rsidRPr="000A7C5F">
        <w:rPr>
          <w:szCs w:val="28"/>
        </w:rPr>
        <w:t>.</w:t>
      </w:r>
    </w:p>
    <w:p w14:paraId="063E4822" w14:textId="77777777" w:rsidR="00AD5058" w:rsidRPr="000A7C5F" w:rsidRDefault="00AD5058" w:rsidP="008C0617">
      <w:pPr>
        <w:pStyle w:val="ListParagraph"/>
        <w:ind w:left="851" w:hanging="851"/>
        <w:rPr>
          <w:szCs w:val="28"/>
        </w:rPr>
      </w:pPr>
    </w:p>
    <w:p w14:paraId="2034C9A4" w14:textId="7195AE70" w:rsidR="00034253" w:rsidRPr="000A7C5F" w:rsidRDefault="005B12EA" w:rsidP="00794060">
      <w:pPr>
        <w:pStyle w:val="ListParagraph"/>
        <w:numPr>
          <w:ilvl w:val="0"/>
          <w:numId w:val="3"/>
        </w:numPr>
        <w:ind w:left="851" w:hanging="851"/>
        <w:rPr>
          <w:szCs w:val="28"/>
        </w:rPr>
      </w:pPr>
      <w:proofErr w:type="spellStart"/>
      <w:r w:rsidRPr="000A7C5F">
        <w:rPr>
          <w:szCs w:val="28"/>
        </w:rPr>
        <w:lastRenderedPageBreak/>
        <w:t>WeG</w:t>
      </w:r>
      <w:proofErr w:type="spellEnd"/>
      <w:r w:rsidRPr="000A7C5F">
        <w:rPr>
          <w:szCs w:val="28"/>
        </w:rPr>
        <w:t xml:space="preserve"> has committed over £400m in capital investment including the building of new institutions as well as refurbishment and modernisation of existing facilities</w:t>
      </w:r>
      <w:r w:rsidRPr="000A7C5F">
        <w:rPr>
          <w:rStyle w:val="FootnoteReference"/>
          <w:szCs w:val="28"/>
        </w:rPr>
        <w:footnoteReference w:id="392"/>
      </w:r>
      <w:r w:rsidRPr="000A7C5F">
        <w:rPr>
          <w:szCs w:val="28"/>
        </w:rPr>
        <w:t xml:space="preserve">. </w:t>
      </w:r>
      <w:r w:rsidR="00963515" w:rsidRPr="000A7C5F">
        <w:rPr>
          <w:szCs w:val="28"/>
        </w:rPr>
        <w:t>Mersey Care has received planning permission for a new 40-bed low secure unit for people with learning difficulties/who are autistic using £33m of government funding and on a geographically isolated site next to a recently opened 123 bed medium secure unit and a high secure unit</w:t>
      </w:r>
      <w:r w:rsidR="00963515" w:rsidRPr="000A7C5F">
        <w:rPr>
          <w:rStyle w:val="FootnoteReference"/>
          <w:szCs w:val="28"/>
        </w:rPr>
        <w:footnoteReference w:id="393"/>
      </w:r>
      <w:r w:rsidR="00963515" w:rsidRPr="000A7C5F">
        <w:rPr>
          <w:szCs w:val="28"/>
        </w:rPr>
        <w:t>.</w:t>
      </w:r>
    </w:p>
    <w:p w14:paraId="15E5498D" w14:textId="77777777" w:rsidR="00522F93" w:rsidRPr="000A7C5F" w:rsidRDefault="00522F93" w:rsidP="00E739BB">
      <w:pPr>
        <w:pStyle w:val="ListParagraph"/>
        <w:rPr>
          <w:szCs w:val="28"/>
        </w:rPr>
      </w:pPr>
    </w:p>
    <w:p w14:paraId="4E9A70C6" w14:textId="1CC4B7E2" w:rsidR="00522F93" w:rsidRPr="000A7C5F" w:rsidRDefault="001A5738" w:rsidP="00794060">
      <w:pPr>
        <w:pStyle w:val="ListParagraph"/>
        <w:numPr>
          <w:ilvl w:val="0"/>
          <w:numId w:val="3"/>
        </w:numPr>
        <w:ind w:left="851" w:hanging="851"/>
        <w:rPr>
          <w:szCs w:val="28"/>
        </w:rPr>
      </w:pPr>
      <w:r w:rsidRPr="000A7C5F">
        <w:rPr>
          <w:szCs w:val="28"/>
        </w:rPr>
        <w:t>Above sections concerning a crisis in provision of adequate independent living support</w:t>
      </w:r>
      <w:r w:rsidR="003461E7" w:rsidRPr="000A7C5F">
        <w:rPr>
          <w:rStyle w:val="FootnoteReference"/>
          <w:szCs w:val="28"/>
        </w:rPr>
        <w:footnoteReference w:id="394"/>
      </w:r>
      <w:r w:rsidRPr="000A7C5F">
        <w:rPr>
          <w:szCs w:val="28"/>
        </w:rPr>
        <w:t xml:space="preserve"> are evidence of institutionalisation within DDP’s own homes</w:t>
      </w:r>
      <w:r w:rsidRPr="000A7C5F">
        <w:rPr>
          <w:rStyle w:val="FootnoteReference"/>
          <w:szCs w:val="28"/>
        </w:rPr>
        <w:footnoteReference w:id="395"/>
      </w:r>
      <w:r w:rsidRPr="000A7C5F">
        <w:rPr>
          <w:szCs w:val="28"/>
        </w:rPr>
        <w:t xml:space="preserve">. </w:t>
      </w:r>
    </w:p>
    <w:p w14:paraId="24286C80" w14:textId="4D812699" w:rsidR="00034253" w:rsidRPr="000A7C5F" w:rsidRDefault="00A24767" w:rsidP="008C0617">
      <w:pPr>
        <w:pStyle w:val="Heading3"/>
      </w:pPr>
      <w:bookmarkStart w:id="43" w:name="_Toc98504903"/>
      <w:r w:rsidRPr="000A7C5F">
        <w:t>Criminal Justice System</w:t>
      </w:r>
      <w:r w:rsidR="001A5738" w:rsidRPr="000A7C5F">
        <w:t xml:space="preserve"> (CJS</w:t>
      </w:r>
      <w:r w:rsidR="005B12EA" w:rsidRPr="000A7C5F">
        <w:t>)</w:t>
      </w:r>
      <w:bookmarkEnd w:id="43"/>
    </w:p>
    <w:p w14:paraId="32B25EAA" w14:textId="3F27BB55" w:rsidR="00034253" w:rsidRPr="000A7C5F" w:rsidRDefault="00435F7B" w:rsidP="00794060">
      <w:pPr>
        <w:pStyle w:val="ListParagraph"/>
        <w:numPr>
          <w:ilvl w:val="0"/>
          <w:numId w:val="3"/>
        </w:numPr>
        <w:ind w:left="851" w:hanging="851"/>
        <w:rPr>
          <w:szCs w:val="28"/>
        </w:rPr>
      </w:pPr>
      <w:r w:rsidRPr="000A7C5F">
        <w:rPr>
          <w:szCs w:val="28"/>
        </w:rPr>
        <w:t xml:space="preserve">DDP increasingly face criminalisation as a direct consequence of inadequate support, for example disabled CYP with unmet learning </w:t>
      </w:r>
      <w:r w:rsidRPr="000A7C5F">
        <w:rPr>
          <w:szCs w:val="28"/>
        </w:rPr>
        <w:lastRenderedPageBreak/>
        <w:t>needs exploited by gangs</w:t>
      </w:r>
      <w:r w:rsidRPr="000A7C5F">
        <w:rPr>
          <w:vertAlign w:val="superscript"/>
        </w:rPr>
        <w:footnoteReference w:id="396"/>
      </w:r>
      <w:r w:rsidRPr="000A7C5F">
        <w:rPr>
          <w:szCs w:val="28"/>
        </w:rPr>
        <w:t>; benefit claimants targeted by DWP fraud surveillance</w:t>
      </w:r>
      <w:r w:rsidRPr="000A7C5F">
        <w:rPr>
          <w:rStyle w:val="FootnoteReference"/>
          <w:szCs w:val="28"/>
        </w:rPr>
        <w:footnoteReference w:id="397"/>
      </w:r>
      <w:r w:rsidR="005B12EA" w:rsidRPr="000A7C5F">
        <w:rPr>
          <w:szCs w:val="28"/>
        </w:rPr>
        <w:t>.</w:t>
      </w:r>
      <w:r w:rsidRPr="000A7C5F">
        <w:rPr>
          <w:szCs w:val="28"/>
        </w:rPr>
        <w:t xml:space="preserve"> </w:t>
      </w:r>
    </w:p>
    <w:p w14:paraId="7FE6704D" w14:textId="77777777" w:rsidR="00034253" w:rsidRPr="000A7C5F" w:rsidRDefault="00034253" w:rsidP="008C0617">
      <w:pPr>
        <w:pStyle w:val="ListParagraph"/>
        <w:ind w:left="851" w:hanging="851"/>
        <w:rPr>
          <w:szCs w:val="28"/>
        </w:rPr>
      </w:pPr>
    </w:p>
    <w:p w14:paraId="6D3C9B49" w14:textId="63D8BA9B" w:rsidR="00D6278E" w:rsidRPr="000A7C5F" w:rsidRDefault="00435F7B" w:rsidP="00794060">
      <w:pPr>
        <w:pStyle w:val="ListParagraph"/>
        <w:numPr>
          <w:ilvl w:val="0"/>
          <w:numId w:val="3"/>
        </w:numPr>
        <w:ind w:left="851" w:hanging="851"/>
        <w:rPr>
          <w:szCs w:val="28"/>
        </w:rPr>
      </w:pPr>
      <w:r w:rsidRPr="000A7C5F">
        <w:rPr>
          <w:szCs w:val="28"/>
        </w:rPr>
        <w:t xml:space="preserve">The </w:t>
      </w:r>
      <w:r w:rsidR="001A5738" w:rsidRPr="000A7C5F">
        <w:rPr>
          <w:szCs w:val="28"/>
        </w:rPr>
        <w:t>CJS</w:t>
      </w:r>
      <w:r w:rsidRPr="000A7C5F">
        <w:rPr>
          <w:szCs w:val="28"/>
        </w:rPr>
        <w:t xml:space="preserve"> is not </w:t>
      </w:r>
      <w:r w:rsidR="00B26700" w:rsidRPr="000A7C5F">
        <w:rPr>
          <w:szCs w:val="28"/>
        </w:rPr>
        <w:t>accessible to DDP and frequently fails to comply with its legal duties under the Equality Act. Courts fail to make reasonable adjustments for Disabled defendants</w:t>
      </w:r>
      <w:r w:rsidR="005B12EA" w:rsidRPr="000A7C5F">
        <w:rPr>
          <w:szCs w:val="28"/>
        </w:rPr>
        <w:t>,</w:t>
      </w:r>
      <w:r w:rsidR="00B26700" w:rsidRPr="000A7C5F">
        <w:rPr>
          <w:szCs w:val="28"/>
        </w:rPr>
        <w:t xml:space="preserve"> den</w:t>
      </w:r>
      <w:r w:rsidR="005B12EA" w:rsidRPr="000A7C5F">
        <w:rPr>
          <w:szCs w:val="28"/>
        </w:rPr>
        <w:t>ying</w:t>
      </w:r>
      <w:r w:rsidR="00B26700" w:rsidRPr="000A7C5F">
        <w:rPr>
          <w:szCs w:val="28"/>
        </w:rPr>
        <w:t xml:space="preserve"> them access to a fair trial</w:t>
      </w:r>
      <w:r w:rsidR="005B12EA" w:rsidRPr="000A7C5F">
        <w:rPr>
          <w:rStyle w:val="FootnoteReference"/>
          <w:szCs w:val="28"/>
        </w:rPr>
        <w:footnoteReference w:id="398"/>
      </w:r>
      <w:r w:rsidR="00B26700" w:rsidRPr="000A7C5F">
        <w:rPr>
          <w:szCs w:val="28"/>
        </w:rPr>
        <w:t>. Prisons are ill equipped for meeting the needs of Disabled prisoners</w:t>
      </w:r>
      <w:r w:rsidR="00B26700" w:rsidRPr="000A7C5F">
        <w:rPr>
          <w:rStyle w:val="FootnoteReference"/>
          <w:szCs w:val="28"/>
        </w:rPr>
        <w:footnoteReference w:id="399"/>
      </w:r>
      <w:r w:rsidR="00B26700" w:rsidRPr="000A7C5F">
        <w:rPr>
          <w:szCs w:val="28"/>
        </w:rPr>
        <w:t>.</w:t>
      </w:r>
      <w:r w:rsidR="00D6278E" w:rsidRPr="000A7C5F">
        <w:rPr>
          <w:szCs w:val="28"/>
        </w:rPr>
        <w:t xml:space="preserve"> Racism is systemic within the C</w:t>
      </w:r>
      <w:r w:rsidR="001A5738" w:rsidRPr="000A7C5F">
        <w:rPr>
          <w:szCs w:val="28"/>
        </w:rPr>
        <w:t>JS</w:t>
      </w:r>
      <w:r w:rsidR="00D6278E" w:rsidRPr="000A7C5F">
        <w:rPr>
          <w:rStyle w:val="FootnoteReference"/>
          <w:szCs w:val="28"/>
        </w:rPr>
        <w:footnoteReference w:id="400"/>
      </w:r>
      <w:r w:rsidR="00D7289B" w:rsidRPr="000A7C5F">
        <w:rPr>
          <w:szCs w:val="28"/>
        </w:rPr>
        <w:t xml:space="preserve">. Although </w:t>
      </w:r>
      <w:proofErr w:type="spellStart"/>
      <w:r w:rsidR="00D7289B" w:rsidRPr="000A7C5F">
        <w:rPr>
          <w:szCs w:val="28"/>
        </w:rPr>
        <w:t>WeG</w:t>
      </w:r>
      <w:proofErr w:type="spellEnd"/>
      <w:r w:rsidR="00D7289B" w:rsidRPr="000A7C5F">
        <w:rPr>
          <w:szCs w:val="28"/>
        </w:rPr>
        <w:t xml:space="preserve"> has committed to specific actions recommended by the </w:t>
      </w:r>
      <w:r w:rsidR="00876A52" w:rsidRPr="000A7C5F">
        <w:rPr>
          <w:szCs w:val="28"/>
        </w:rPr>
        <w:t>Lammy Review 2017</w:t>
      </w:r>
      <w:r w:rsidR="00D7289B" w:rsidRPr="000A7C5F">
        <w:rPr>
          <w:szCs w:val="28"/>
        </w:rPr>
        <w:t>,</w:t>
      </w:r>
      <w:r w:rsidR="00876A52" w:rsidRPr="000A7C5F">
        <w:rPr>
          <w:szCs w:val="28"/>
        </w:rPr>
        <w:t xml:space="preserve"> </w:t>
      </w:r>
      <w:r w:rsidR="00D7289B" w:rsidRPr="000A7C5F">
        <w:rPr>
          <w:szCs w:val="28"/>
        </w:rPr>
        <w:t xml:space="preserve">there is no given </w:t>
      </w:r>
      <w:r w:rsidR="00876A52" w:rsidRPr="000A7C5F">
        <w:rPr>
          <w:szCs w:val="28"/>
        </w:rPr>
        <w:t>timeframe for</w:t>
      </w:r>
      <w:r w:rsidR="00D7289B" w:rsidRPr="000A7C5F">
        <w:rPr>
          <w:szCs w:val="28"/>
        </w:rPr>
        <w:t xml:space="preserve"> when</w:t>
      </w:r>
      <w:r w:rsidR="00876A52" w:rsidRPr="000A7C5F">
        <w:rPr>
          <w:szCs w:val="28"/>
        </w:rPr>
        <w:t xml:space="preserve"> </w:t>
      </w:r>
      <w:r w:rsidR="00D7289B" w:rsidRPr="000A7C5F">
        <w:rPr>
          <w:szCs w:val="28"/>
        </w:rPr>
        <w:t xml:space="preserve">we will start to see a </w:t>
      </w:r>
      <w:r w:rsidR="00876A52" w:rsidRPr="000A7C5F">
        <w:rPr>
          <w:szCs w:val="28"/>
        </w:rPr>
        <w:t>reduction in racial disparities across the CJS</w:t>
      </w:r>
      <w:r w:rsidR="00876A52" w:rsidRPr="000A7C5F">
        <w:rPr>
          <w:rStyle w:val="FootnoteReference"/>
          <w:szCs w:val="28"/>
        </w:rPr>
        <w:footnoteReference w:id="401"/>
      </w:r>
      <w:r w:rsidR="00876A52" w:rsidRPr="000A7C5F">
        <w:rPr>
          <w:szCs w:val="28"/>
        </w:rPr>
        <w:t>.</w:t>
      </w:r>
    </w:p>
    <w:p w14:paraId="021169E8" w14:textId="77777777" w:rsidR="00D7289B" w:rsidRPr="000A7C5F" w:rsidRDefault="00D7289B" w:rsidP="00E739BB">
      <w:pPr>
        <w:pStyle w:val="ListParagraph"/>
        <w:rPr>
          <w:szCs w:val="28"/>
        </w:rPr>
      </w:pPr>
    </w:p>
    <w:p w14:paraId="081B9547" w14:textId="697FCC63" w:rsidR="00D6278E" w:rsidRPr="006B73F4" w:rsidRDefault="00D7289B" w:rsidP="006B73F4">
      <w:pPr>
        <w:pStyle w:val="ListParagraph"/>
        <w:numPr>
          <w:ilvl w:val="0"/>
          <w:numId w:val="3"/>
        </w:numPr>
        <w:ind w:left="851" w:hanging="851"/>
        <w:rPr>
          <w:szCs w:val="28"/>
        </w:rPr>
      </w:pPr>
      <w:r w:rsidRPr="000A7C5F">
        <w:rPr>
          <w:szCs w:val="28"/>
        </w:rPr>
        <w:t>The White Paper gives forensic patients second-class status. Criteria for detaining people who fall under Part III of the current Act will not be amended and their nominated representative will have more limited powers than for other patients. There are plans for supervised discharges for patients in this category.</w:t>
      </w:r>
    </w:p>
    <w:p w14:paraId="742DC7BF" w14:textId="68FA54DC" w:rsidR="00A24767" w:rsidRPr="00183CBE" w:rsidRDefault="00A24767" w:rsidP="00183CBE">
      <w:pPr>
        <w:pStyle w:val="Heading3"/>
      </w:pPr>
      <w:bookmarkStart w:id="44" w:name="_Toc98504904"/>
      <w:r w:rsidRPr="00183CBE">
        <w:lastRenderedPageBreak/>
        <w:t>Pandemic response</w:t>
      </w:r>
      <w:bookmarkEnd w:id="44"/>
    </w:p>
    <w:p w14:paraId="3DC601E0" w14:textId="42C89B90" w:rsidR="005B04C6" w:rsidRPr="000A7C5F" w:rsidRDefault="00911B6E" w:rsidP="00794060">
      <w:pPr>
        <w:pStyle w:val="ListParagraph"/>
        <w:numPr>
          <w:ilvl w:val="0"/>
          <w:numId w:val="3"/>
        </w:numPr>
        <w:ind w:left="851" w:hanging="851"/>
        <w:rPr>
          <w:szCs w:val="28"/>
        </w:rPr>
      </w:pPr>
      <w:r w:rsidRPr="000A7C5F">
        <w:rPr>
          <w:szCs w:val="28"/>
        </w:rPr>
        <w:t xml:space="preserve">Easements introduced during the pandemic made it easier to detain people under the Mental Health Act, requiring only one rather than two doctors to authorise a hospital detention. Mental Health Review Tribunals were moved online which disadvantaged </w:t>
      </w:r>
      <w:r w:rsidR="003461E7" w:rsidRPr="000A7C5F">
        <w:rPr>
          <w:szCs w:val="28"/>
        </w:rPr>
        <w:t xml:space="preserve">some </w:t>
      </w:r>
      <w:r w:rsidRPr="000A7C5F">
        <w:rPr>
          <w:szCs w:val="28"/>
        </w:rPr>
        <w:t>patients</w:t>
      </w:r>
      <w:r w:rsidRPr="000A7C5F">
        <w:rPr>
          <w:rStyle w:val="FootnoteReference"/>
          <w:szCs w:val="28"/>
        </w:rPr>
        <w:footnoteReference w:id="402"/>
      </w:r>
      <w:r w:rsidRPr="000A7C5F">
        <w:rPr>
          <w:szCs w:val="28"/>
        </w:rPr>
        <w:t>.</w:t>
      </w:r>
    </w:p>
    <w:p w14:paraId="7C7E3703" w14:textId="66D0E773" w:rsidR="00890EE3" w:rsidRPr="000A7C5F" w:rsidRDefault="00522F93" w:rsidP="00BB6A41">
      <w:pPr>
        <w:pStyle w:val="ArticleHeading"/>
      </w:pPr>
      <w:r w:rsidRPr="000A7C5F">
        <w:t>Article 15 – Freedom of torture or cruel, inhuman or degrading treatment or punishment</w:t>
      </w:r>
      <w:r w:rsidR="0033672B" w:rsidRPr="000A7C5F">
        <w:t xml:space="preserve">; </w:t>
      </w:r>
      <w:r w:rsidR="006B73F4">
        <w:br/>
      </w:r>
      <w:r w:rsidRPr="000A7C5F">
        <w:t>Article 16 – Freedom from exploitation, violence and abuse</w:t>
      </w:r>
    </w:p>
    <w:p w14:paraId="51A48858" w14:textId="77777777" w:rsidR="00034253" w:rsidRPr="000A7C5F" w:rsidRDefault="00BA1E24" w:rsidP="00794060">
      <w:pPr>
        <w:pStyle w:val="ListParagraph"/>
        <w:numPr>
          <w:ilvl w:val="0"/>
          <w:numId w:val="3"/>
        </w:numPr>
        <w:ind w:left="851" w:hanging="851"/>
        <w:rPr>
          <w:szCs w:val="28"/>
        </w:rPr>
      </w:pPr>
      <w:r w:rsidRPr="000A7C5F">
        <w:rPr>
          <w:szCs w:val="28"/>
        </w:rPr>
        <w:t xml:space="preserve">Abuse scandals at a number of institutions have resulted in large-scale criminal proceedings. Undercover filming showed abuse and mistreatment of residents with learning difficulties and autism at </w:t>
      </w:r>
      <w:proofErr w:type="spellStart"/>
      <w:r w:rsidRPr="000A7C5F">
        <w:rPr>
          <w:szCs w:val="28"/>
        </w:rPr>
        <w:t>Whorlton</w:t>
      </w:r>
      <w:proofErr w:type="spellEnd"/>
      <w:r w:rsidRPr="000A7C5F">
        <w:rPr>
          <w:szCs w:val="28"/>
        </w:rPr>
        <w:t xml:space="preserve"> Hall, England.</w:t>
      </w:r>
      <w:r w:rsidRPr="000A7C5F">
        <w:rPr>
          <w:vertAlign w:val="superscript"/>
        </w:rPr>
        <w:footnoteReference w:id="403"/>
      </w:r>
      <w:r w:rsidRPr="000A7C5F">
        <w:rPr>
          <w:szCs w:val="28"/>
        </w:rPr>
        <w:t xml:space="preserve"> </w:t>
      </w:r>
      <w:r w:rsidR="00DA6FE8" w:rsidRPr="000A7C5F">
        <w:rPr>
          <w:szCs w:val="28"/>
        </w:rPr>
        <w:t>An investigation was launched into ”organised and complex” abuse at a special school in London in 2021</w:t>
      </w:r>
      <w:r w:rsidR="00DA6FE8" w:rsidRPr="000A7C5F">
        <w:rPr>
          <w:rStyle w:val="FootnoteReference"/>
          <w:szCs w:val="28"/>
        </w:rPr>
        <w:footnoteReference w:id="404"/>
      </w:r>
      <w:r w:rsidR="00DA6FE8" w:rsidRPr="000A7C5F">
        <w:rPr>
          <w:szCs w:val="28"/>
        </w:rPr>
        <w:t>.</w:t>
      </w:r>
    </w:p>
    <w:p w14:paraId="5F7356FE" w14:textId="77777777" w:rsidR="00034253" w:rsidRPr="000A7C5F" w:rsidRDefault="00034253" w:rsidP="00E739BB">
      <w:pPr>
        <w:pStyle w:val="ListParagraph"/>
        <w:ind w:left="735"/>
        <w:rPr>
          <w:szCs w:val="28"/>
        </w:rPr>
      </w:pPr>
    </w:p>
    <w:p w14:paraId="09618F41" w14:textId="77777777" w:rsidR="00034253" w:rsidRPr="000A7C5F" w:rsidRDefault="00AC4BB8" w:rsidP="00794060">
      <w:pPr>
        <w:pStyle w:val="ListParagraph"/>
        <w:numPr>
          <w:ilvl w:val="0"/>
          <w:numId w:val="3"/>
        </w:numPr>
        <w:ind w:left="851" w:hanging="851"/>
        <w:rPr>
          <w:szCs w:val="28"/>
        </w:rPr>
      </w:pPr>
      <w:r w:rsidRPr="000A7C5F">
        <w:rPr>
          <w:szCs w:val="28"/>
        </w:rPr>
        <w:lastRenderedPageBreak/>
        <w:t xml:space="preserve">Behind the public scandals are everyday practices that breach the rights of DDP. </w:t>
      </w:r>
      <w:r w:rsidR="00BA1E24" w:rsidRPr="000A7C5F">
        <w:rPr>
          <w:szCs w:val="28"/>
        </w:rPr>
        <w:t>Growing numbers of patients with learning difficulties are being physically restrained in mental health units, despite ministers telling NHS trusts to use such techniques less often. Staff in NHS mental health hospitals deployed restraint on such patients 22,000 times in 2018, almost 50% more than the 15,000 occasions in 2016.</w:t>
      </w:r>
      <w:r w:rsidR="00BA1E24" w:rsidRPr="000A7C5F">
        <w:rPr>
          <w:vertAlign w:val="superscript"/>
        </w:rPr>
        <w:footnoteReference w:id="405"/>
      </w:r>
      <w:r w:rsidR="00BA1E24" w:rsidRPr="000A7C5F">
        <w:rPr>
          <w:szCs w:val="28"/>
        </w:rPr>
        <w:t xml:space="preserve"> </w:t>
      </w:r>
    </w:p>
    <w:p w14:paraId="7EC15E64" w14:textId="77777777" w:rsidR="00034253" w:rsidRPr="000A7C5F" w:rsidRDefault="00034253" w:rsidP="00183CBE">
      <w:pPr>
        <w:pStyle w:val="ListParagraph"/>
        <w:ind w:left="851" w:hanging="851"/>
        <w:rPr>
          <w:szCs w:val="28"/>
        </w:rPr>
      </w:pPr>
    </w:p>
    <w:p w14:paraId="5DA99073" w14:textId="07453596" w:rsidR="00034253" w:rsidRPr="000A7C5F" w:rsidRDefault="00BA1E24" w:rsidP="00794060">
      <w:pPr>
        <w:pStyle w:val="ListParagraph"/>
        <w:numPr>
          <w:ilvl w:val="0"/>
          <w:numId w:val="3"/>
        </w:numPr>
        <w:ind w:left="851" w:hanging="851"/>
        <w:rPr>
          <w:szCs w:val="28"/>
        </w:rPr>
      </w:pPr>
      <w:r w:rsidRPr="000A7C5F">
        <w:rPr>
          <w:szCs w:val="28"/>
        </w:rPr>
        <w:t xml:space="preserve">A CQC review into restraint, </w:t>
      </w:r>
      <w:r w:rsidR="00DA6FE8" w:rsidRPr="000A7C5F">
        <w:rPr>
          <w:szCs w:val="28"/>
        </w:rPr>
        <w:t xml:space="preserve">prolonged </w:t>
      </w:r>
      <w:r w:rsidRPr="000A7C5F">
        <w:rPr>
          <w:szCs w:val="28"/>
        </w:rPr>
        <w:t xml:space="preserve">seclusion and segregation for people </w:t>
      </w:r>
      <w:r w:rsidR="003461E7" w:rsidRPr="000A7C5F">
        <w:rPr>
          <w:szCs w:val="28"/>
        </w:rPr>
        <w:t>who are autistic and/or have</w:t>
      </w:r>
      <w:r w:rsidRPr="000A7C5F">
        <w:rPr>
          <w:szCs w:val="28"/>
        </w:rPr>
        <w:t xml:space="preserve"> mental </w:t>
      </w:r>
      <w:r w:rsidR="003461E7" w:rsidRPr="000A7C5F">
        <w:rPr>
          <w:szCs w:val="28"/>
        </w:rPr>
        <w:t xml:space="preserve">distress </w:t>
      </w:r>
      <w:r w:rsidRPr="000A7C5F">
        <w:rPr>
          <w:szCs w:val="28"/>
        </w:rPr>
        <w:t xml:space="preserve">and/or </w:t>
      </w:r>
      <w:r w:rsidR="003461E7" w:rsidRPr="000A7C5F">
        <w:rPr>
          <w:szCs w:val="28"/>
        </w:rPr>
        <w:t>learning difficulties</w:t>
      </w:r>
      <w:r w:rsidRPr="000A7C5F">
        <w:rPr>
          <w:szCs w:val="28"/>
        </w:rPr>
        <w:t xml:space="preserve"> found many people let down by failings.</w:t>
      </w:r>
      <w:r w:rsidRPr="000A7C5F">
        <w:rPr>
          <w:vertAlign w:val="superscript"/>
        </w:rPr>
        <w:footnoteReference w:id="406"/>
      </w:r>
      <w:r w:rsidRPr="000A7C5F">
        <w:rPr>
          <w:szCs w:val="28"/>
        </w:rPr>
        <w:t xml:space="preserve"> A </w:t>
      </w:r>
      <w:r w:rsidR="00AD63B8" w:rsidRPr="000A7C5F">
        <w:rPr>
          <w:szCs w:val="28"/>
        </w:rPr>
        <w:t>P</w:t>
      </w:r>
      <w:r w:rsidRPr="000A7C5F">
        <w:rPr>
          <w:szCs w:val="28"/>
        </w:rPr>
        <w:t>arliamentary committee heard evidence of “cruel” and “inhumane” treatment of young people in ATUs.</w:t>
      </w:r>
      <w:r w:rsidRPr="000A7C5F">
        <w:rPr>
          <w:vertAlign w:val="superscript"/>
        </w:rPr>
        <w:footnoteReference w:id="407"/>
      </w:r>
      <w:r w:rsidRPr="000A7C5F">
        <w:rPr>
          <w:szCs w:val="28"/>
        </w:rPr>
        <w:t xml:space="preserve"> </w:t>
      </w:r>
      <w:r w:rsidR="00AD63B8" w:rsidRPr="000A7C5F">
        <w:rPr>
          <w:szCs w:val="28"/>
        </w:rPr>
        <w:t>Detention in ATUs l</w:t>
      </w:r>
      <w:r w:rsidR="003461E7" w:rsidRPr="000A7C5F">
        <w:rPr>
          <w:szCs w:val="28"/>
        </w:rPr>
        <w:t>e</w:t>
      </w:r>
      <w:r w:rsidR="00AD63B8" w:rsidRPr="000A7C5F">
        <w:rPr>
          <w:szCs w:val="28"/>
        </w:rPr>
        <w:t xml:space="preserve">ads to long-term trauma and in some cases to additional </w:t>
      </w:r>
      <w:proofErr w:type="spellStart"/>
      <w:r w:rsidR="00AD63B8" w:rsidRPr="000A7C5F">
        <w:rPr>
          <w:szCs w:val="28"/>
        </w:rPr>
        <w:t>self harm</w:t>
      </w:r>
      <w:proofErr w:type="spellEnd"/>
      <w:r w:rsidR="00AD63B8" w:rsidRPr="000A7C5F">
        <w:rPr>
          <w:szCs w:val="28"/>
        </w:rPr>
        <w:t xml:space="preserve"> and suicide attempts</w:t>
      </w:r>
      <w:r w:rsidR="00AD63B8" w:rsidRPr="000A7C5F">
        <w:rPr>
          <w:rStyle w:val="FootnoteReference"/>
          <w:szCs w:val="28"/>
        </w:rPr>
        <w:footnoteReference w:id="408"/>
      </w:r>
      <w:r w:rsidR="00AD63B8" w:rsidRPr="000A7C5F">
        <w:rPr>
          <w:szCs w:val="28"/>
        </w:rPr>
        <w:t xml:space="preserve">. </w:t>
      </w:r>
    </w:p>
    <w:p w14:paraId="730C14FD" w14:textId="77777777" w:rsidR="00D7289B" w:rsidRPr="000A7C5F" w:rsidRDefault="00D7289B" w:rsidP="00183CBE">
      <w:pPr>
        <w:pStyle w:val="ListParagraph"/>
        <w:ind w:left="851" w:hanging="851"/>
        <w:rPr>
          <w:szCs w:val="28"/>
        </w:rPr>
      </w:pPr>
    </w:p>
    <w:p w14:paraId="31CB555B" w14:textId="56BEC23E" w:rsidR="00D7289B" w:rsidRPr="000A7C5F" w:rsidRDefault="00D7289B" w:rsidP="00794060">
      <w:pPr>
        <w:pStyle w:val="ListParagraph"/>
        <w:numPr>
          <w:ilvl w:val="0"/>
          <w:numId w:val="3"/>
        </w:numPr>
        <w:ind w:left="851" w:hanging="851"/>
        <w:rPr>
          <w:szCs w:val="28"/>
        </w:rPr>
      </w:pPr>
      <w:r w:rsidRPr="000A7C5F">
        <w:rPr>
          <w:szCs w:val="28"/>
        </w:rPr>
        <w:lastRenderedPageBreak/>
        <w:t>The Mental Health Units (Use of Force) Act 2018</w:t>
      </w:r>
      <w:r w:rsidRPr="000A7C5F">
        <w:rPr>
          <w:rStyle w:val="FootnoteReference"/>
          <w:szCs w:val="28"/>
        </w:rPr>
        <w:footnoteReference w:id="409"/>
      </w:r>
      <w:r w:rsidRPr="000A7C5F">
        <w:rPr>
          <w:szCs w:val="28"/>
        </w:rPr>
        <w:t xml:space="preserve"> is designed to limit physical, mechanical and chemical restraint of detained patients and the use of isolation, seclusion and segregation. It was the result of campaigning and a private member’s bill following the </w:t>
      </w:r>
      <w:r w:rsidR="00927FCC" w:rsidRPr="000A7C5F">
        <w:rPr>
          <w:szCs w:val="28"/>
        </w:rPr>
        <w:t xml:space="preserve">death of Olaseni Lewis, a young Black man who died after 11 police officers restrained him face down in in the Bethlem Royal Psychiatric hospital in London 2010. </w:t>
      </w:r>
      <w:r w:rsidRPr="000A7C5F">
        <w:rPr>
          <w:szCs w:val="28"/>
        </w:rPr>
        <w:t>However, achieving the Act took eight years and, contrary to usual practice, implementation of it took a further 3 years, until December 2021.</w:t>
      </w:r>
    </w:p>
    <w:p w14:paraId="4D177AF8" w14:textId="77777777" w:rsidR="00034253" w:rsidRPr="000A7C5F" w:rsidRDefault="00034253" w:rsidP="00183CBE">
      <w:pPr>
        <w:pStyle w:val="ListParagraph"/>
        <w:ind w:left="851" w:hanging="851"/>
        <w:rPr>
          <w:szCs w:val="28"/>
        </w:rPr>
      </w:pPr>
    </w:p>
    <w:p w14:paraId="73530831" w14:textId="235FF3CB" w:rsidR="00927FCC" w:rsidRPr="006B73F4" w:rsidRDefault="00AD63B8" w:rsidP="006B73F4">
      <w:pPr>
        <w:pStyle w:val="ListParagraph"/>
        <w:numPr>
          <w:ilvl w:val="0"/>
          <w:numId w:val="3"/>
        </w:numPr>
        <w:ind w:left="851" w:hanging="851"/>
        <w:rPr>
          <w:szCs w:val="28"/>
        </w:rPr>
      </w:pPr>
      <w:r w:rsidRPr="000A7C5F">
        <w:rPr>
          <w:szCs w:val="28"/>
        </w:rPr>
        <w:t xml:space="preserve">DDP living in the community without adequate support </w:t>
      </w:r>
      <w:r w:rsidR="00302629" w:rsidRPr="000A7C5F">
        <w:rPr>
          <w:szCs w:val="28"/>
        </w:rPr>
        <w:t xml:space="preserve">are made vulnerable to exploitation, violence and abuse. ‘Cuckooing’ </w:t>
      </w:r>
      <w:r w:rsidR="00D4248F" w:rsidRPr="000A7C5F">
        <w:rPr>
          <w:szCs w:val="28"/>
        </w:rPr>
        <w:t xml:space="preserve">is a term used for </w:t>
      </w:r>
      <w:r w:rsidR="0033672B" w:rsidRPr="000A7C5F">
        <w:rPr>
          <w:szCs w:val="28"/>
        </w:rPr>
        <w:t>the</w:t>
      </w:r>
      <w:r w:rsidR="00D4248F" w:rsidRPr="000A7C5F">
        <w:rPr>
          <w:szCs w:val="28"/>
        </w:rPr>
        <w:t xml:space="preserve"> practice where criminals take over someone’s home and use the property as a base for drug dealing and other criminal activity. It has</w:t>
      </w:r>
      <w:r w:rsidR="00302629" w:rsidRPr="000A7C5F">
        <w:rPr>
          <w:szCs w:val="28"/>
        </w:rPr>
        <w:t xml:space="preserve"> become central to drug operations in England</w:t>
      </w:r>
      <w:r w:rsidR="00D4248F" w:rsidRPr="000A7C5F">
        <w:rPr>
          <w:szCs w:val="28"/>
        </w:rPr>
        <w:t xml:space="preserve">. In January </w:t>
      </w:r>
      <w:r w:rsidR="00C557F1" w:rsidRPr="000A7C5F">
        <w:rPr>
          <w:szCs w:val="28"/>
        </w:rPr>
        <w:t xml:space="preserve">2022, </w:t>
      </w:r>
      <w:r w:rsidR="00D4248F" w:rsidRPr="000A7C5F">
        <w:rPr>
          <w:szCs w:val="28"/>
        </w:rPr>
        <w:t>two teenagers were found guilty of the murder of Leigh Smith, a Disabled man who had become a victim of cuckooing</w:t>
      </w:r>
      <w:r w:rsidR="002C657C" w:rsidRPr="000A7C5F">
        <w:rPr>
          <w:rStyle w:val="FootnoteReference"/>
          <w:szCs w:val="28"/>
        </w:rPr>
        <w:footnoteReference w:id="410"/>
      </w:r>
      <w:r w:rsidR="00D4248F" w:rsidRPr="000A7C5F">
        <w:rPr>
          <w:szCs w:val="28"/>
        </w:rPr>
        <w:t>.</w:t>
      </w:r>
      <w:r w:rsidR="00C557F1" w:rsidRPr="000A7C5F">
        <w:rPr>
          <w:szCs w:val="28"/>
        </w:rPr>
        <w:t xml:space="preserve"> </w:t>
      </w:r>
      <w:r w:rsidR="00E36805" w:rsidRPr="000A7C5F">
        <w:rPr>
          <w:szCs w:val="28"/>
        </w:rPr>
        <w:t xml:space="preserve">There is also a significant overlap between modern slavery and disability – in particular learning difficulties and mental </w:t>
      </w:r>
      <w:r w:rsidR="00E36805" w:rsidRPr="000A7C5F">
        <w:rPr>
          <w:szCs w:val="28"/>
        </w:rPr>
        <w:lastRenderedPageBreak/>
        <w:t>health support needs</w:t>
      </w:r>
      <w:r w:rsidR="00777CB0" w:rsidRPr="000A7C5F">
        <w:rPr>
          <w:rStyle w:val="FootnoteReference"/>
          <w:szCs w:val="28"/>
        </w:rPr>
        <w:footnoteReference w:id="411"/>
      </w:r>
      <w:r w:rsidR="00E36805" w:rsidRPr="000A7C5F">
        <w:rPr>
          <w:sz w:val="16"/>
          <w:szCs w:val="16"/>
        </w:rPr>
        <w:t xml:space="preserve"> </w:t>
      </w:r>
      <w:r w:rsidR="00927FCC" w:rsidRPr="000A7C5F">
        <w:rPr>
          <w:szCs w:val="28"/>
          <w:vertAlign w:val="superscript"/>
        </w:rPr>
        <w:footnoteReference w:id="412"/>
      </w:r>
      <w:r w:rsidR="00927FCC" w:rsidRPr="000A7C5F">
        <w:rPr>
          <w:szCs w:val="28"/>
        </w:rPr>
        <w:t xml:space="preserve">. </w:t>
      </w:r>
      <w:r w:rsidR="00824610" w:rsidRPr="000A7C5F">
        <w:rPr>
          <w:szCs w:val="28"/>
        </w:rPr>
        <w:t>According to figures from Nottingham City Council for 2019/2020, 60% of their clients rescued from slavery were Disabled</w:t>
      </w:r>
      <w:r w:rsidR="00824610" w:rsidRPr="000A7C5F">
        <w:rPr>
          <w:rStyle w:val="FootnoteReference"/>
          <w:szCs w:val="28"/>
        </w:rPr>
        <w:footnoteReference w:id="413"/>
      </w:r>
      <w:r w:rsidR="00824610" w:rsidRPr="000A7C5F">
        <w:rPr>
          <w:szCs w:val="28"/>
        </w:rPr>
        <w:t xml:space="preserve">. </w:t>
      </w:r>
      <w:r w:rsidR="00241D0C" w:rsidRPr="000A7C5F">
        <w:rPr>
          <w:szCs w:val="28"/>
        </w:rPr>
        <w:t>There is a need for disaggregated data on a national level: t</w:t>
      </w:r>
      <w:r w:rsidR="00824610" w:rsidRPr="000A7C5F">
        <w:rPr>
          <w:szCs w:val="28"/>
        </w:rPr>
        <w:t xml:space="preserve">he National Referral Mechanism (for identifying and referring potential victims of modern slavery and ensuring they receive appropriate support) does not currently count </w:t>
      </w:r>
      <w:r w:rsidR="002C657C" w:rsidRPr="000A7C5F">
        <w:rPr>
          <w:szCs w:val="28"/>
        </w:rPr>
        <w:t xml:space="preserve">Disabled </w:t>
      </w:r>
      <w:r w:rsidR="00824610" w:rsidRPr="000A7C5F">
        <w:rPr>
          <w:szCs w:val="28"/>
        </w:rPr>
        <w:t>victims whilst it does count victims according to race and gender</w:t>
      </w:r>
      <w:r w:rsidR="00824610" w:rsidRPr="000A7C5F">
        <w:rPr>
          <w:rStyle w:val="FootnoteReference"/>
          <w:szCs w:val="28"/>
        </w:rPr>
        <w:footnoteReference w:id="414"/>
      </w:r>
      <w:r w:rsidR="00824610" w:rsidRPr="000A7C5F">
        <w:rPr>
          <w:szCs w:val="28"/>
        </w:rPr>
        <w:t xml:space="preserve">. </w:t>
      </w:r>
      <w:r w:rsidR="00927FCC" w:rsidRPr="000A7C5F">
        <w:rPr>
          <w:szCs w:val="28"/>
        </w:rPr>
        <w:t>The Keeping Control study</w:t>
      </w:r>
      <w:r w:rsidR="00927FCC" w:rsidRPr="000A7C5F">
        <w:rPr>
          <w:i/>
          <w:iCs/>
          <w:szCs w:val="28"/>
        </w:rPr>
        <w:t xml:space="preserve"> </w:t>
      </w:r>
      <w:r w:rsidR="00927FCC" w:rsidRPr="000A7C5F">
        <w:rPr>
          <w:szCs w:val="28"/>
        </w:rPr>
        <w:t>evidences the extent to which people in mental distress are subjected to hate crime and abuse, including abuse within mental health services</w:t>
      </w:r>
      <w:r w:rsidR="00241D0C" w:rsidRPr="000A7C5F">
        <w:rPr>
          <w:szCs w:val="28"/>
          <w:vertAlign w:val="superscript"/>
        </w:rPr>
        <w:footnoteReference w:id="415"/>
      </w:r>
      <w:r w:rsidR="00927FCC" w:rsidRPr="000A7C5F">
        <w:rPr>
          <w:szCs w:val="28"/>
        </w:rPr>
        <w:t>.</w:t>
      </w:r>
    </w:p>
    <w:p w14:paraId="3AC2B71E" w14:textId="52B81C8C" w:rsidR="00E805C4" w:rsidRPr="000A7C5F" w:rsidRDefault="00E805C4" w:rsidP="00BB6A41">
      <w:pPr>
        <w:pStyle w:val="Heading2"/>
      </w:pPr>
      <w:bookmarkStart w:id="46" w:name="_Toc98504905"/>
      <w:bookmarkStart w:id="47" w:name="_Toc98505548"/>
      <w:bookmarkStart w:id="48" w:name="_Toc98506554"/>
      <w:r w:rsidRPr="000A7C5F">
        <w:lastRenderedPageBreak/>
        <w:t>Theme 5: Disaster Planning and Humanitarian Emergencies</w:t>
      </w:r>
      <w:bookmarkEnd w:id="46"/>
      <w:bookmarkEnd w:id="47"/>
      <w:bookmarkEnd w:id="48"/>
    </w:p>
    <w:p w14:paraId="715D4180" w14:textId="77777777" w:rsidR="00E805C4" w:rsidRPr="000A7C5F" w:rsidRDefault="00E805C4" w:rsidP="00794060">
      <w:pPr>
        <w:pStyle w:val="ListParagraph"/>
        <w:numPr>
          <w:ilvl w:val="0"/>
          <w:numId w:val="3"/>
        </w:numPr>
        <w:ind w:left="851" w:hanging="851"/>
        <w:rPr>
          <w:szCs w:val="28"/>
        </w:rPr>
      </w:pPr>
      <w:r w:rsidRPr="000A7C5F">
        <w:rPr>
          <w:szCs w:val="28"/>
        </w:rPr>
        <w:t>The needs of DDP are routinely overlooked within disaster and humanitarian emergency planning. This is despite being among those most likely to be adversely affected (due to the intersection between disability and poverty) and most in need of emergency assistance (due to the disabling barriers we face in everyday life). We also heard about how negative impacts on DDP of actions intended to address climate change are ignored.</w:t>
      </w:r>
    </w:p>
    <w:p w14:paraId="21A6C4F6" w14:textId="3CDD4AC4" w:rsidR="00E805C4" w:rsidRPr="00183CBE" w:rsidRDefault="00E805C4" w:rsidP="00BB6A41">
      <w:pPr>
        <w:pStyle w:val="ArticleHeading"/>
      </w:pPr>
      <w:r w:rsidRPr="00183CBE">
        <w:t xml:space="preserve">Article 11 </w:t>
      </w:r>
      <w:r w:rsidR="00960F7C">
        <w:t xml:space="preserve"> – </w:t>
      </w:r>
      <w:r w:rsidRPr="00183CBE">
        <w:t>Situations of Risk and Humanitarian Emergencies</w:t>
      </w:r>
    </w:p>
    <w:p w14:paraId="15DED5C8" w14:textId="4A0CF9D5" w:rsidR="00E805C4" w:rsidRPr="000A7C5F" w:rsidRDefault="00E805C4" w:rsidP="00794060">
      <w:pPr>
        <w:pStyle w:val="ListParagraph"/>
        <w:numPr>
          <w:ilvl w:val="0"/>
          <w:numId w:val="3"/>
        </w:numPr>
        <w:ind w:left="851" w:hanging="851"/>
        <w:rPr>
          <w:szCs w:val="28"/>
        </w:rPr>
      </w:pPr>
      <w:proofErr w:type="spellStart"/>
      <w:r w:rsidRPr="000A7C5F">
        <w:rPr>
          <w:szCs w:val="28"/>
        </w:rPr>
        <w:t>WeG</w:t>
      </w:r>
      <w:proofErr w:type="spellEnd"/>
      <w:r w:rsidRPr="000A7C5F">
        <w:rPr>
          <w:szCs w:val="28"/>
        </w:rPr>
        <w:t xml:space="preserve"> was not adequately prepared for the pandemic. This had a disproportionate impact on DDP (including Disabled older people) as the group of people most seriously at risk from COVID. The NAO found the pandemic had “exposed” </w:t>
      </w:r>
      <w:proofErr w:type="spellStart"/>
      <w:r w:rsidRPr="000A7C5F">
        <w:rPr>
          <w:szCs w:val="28"/>
        </w:rPr>
        <w:t>WeG</w:t>
      </w:r>
      <w:proofErr w:type="spellEnd"/>
      <w:r w:rsidRPr="000A7C5F">
        <w:rPr>
          <w:szCs w:val="28"/>
        </w:rPr>
        <w:t xml:space="preserve"> “vulnerability to whole-system emergencies” and </w:t>
      </w:r>
      <w:proofErr w:type="spellStart"/>
      <w:r w:rsidR="002C657C" w:rsidRPr="000A7C5F">
        <w:rPr>
          <w:szCs w:val="28"/>
        </w:rPr>
        <w:t>WeG</w:t>
      </w:r>
      <w:proofErr w:type="spellEnd"/>
      <w:r w:rsidRPr="000A7C5F">
        <w:rPr>
          <w:szCs w:val="28"/>
        </w:rPr>
        <w:t xml:space="preserve"> lacked detailed plans for several aspects of its response to COVID-19, including shielding,</w:t>
      </w:r>
      <w:r w:rsidRPr="000A7C5F">
        <w:t xml:space="preserve"> </w:t>
      </w:r>
      <w:r w:rsidRPr="000A7C5F">
        <w:rPr>
          <w:szCs w:val="28"/>
        </w:rPr>
        <w:t>employment support schemes and managing the disruption to schooling</w:t>
      </w:r>
      <w:r w:rsidRPr="000A7C5F">
        <w:rPr>
          <w:rStyle w:val="FootnoteReference"/>
          <w:szCs w:val="28"/>
        </w:rPr>
        <w:t xml:space="preserve"> </w:t>
      </w:r>
      <w:r w:rsidRPr="000A7C5F">
        <w:rPr>
          <w:rStyle w:val="FootnoteReference"/>
          <w:szCs w:val="28"/>
        </w:rPr>
        <w:footnoteReference w:id="416"/>
      </w:r>
      <w:r w:rsidRPr="000A7C5F">
        <w:rPr>
          <w:szCs w:val="28"/>
        </w:rPr>
        <w:t xml:space="preserve">.  </w:t>
      </w:r>
    </w:p>
    <w:p w14:paraId="20BC06EA" w14:textId="77777777" w:rsidR="00E805C4" w:rsidRPr="000A7C5F" w:rsidRDefault="00E805C4" w:rsidP="00183CBE">
      <w:pPr>
        <w:pStyle w:val="ListParagraph"/>
        <w:ind w:left="851" w:hanging="851"/>
        <w:rPr>
          <w:szCs w:val="28"/>
        </w:rPr>
      </w:pPr>
    </w:p>
    <w:p w14:paraId="68620DC1" w14:textId="2CDB940E" w:rsidR="00E805C4" w:rsidRPr="000A7C5F" w:rsidRDefault="00E805C4" w:rsidP="00794060">
      <w:pPr>
        <w:pStyle w:val="ListParagraph"/>
        <w:numPr>
          <w:ilvl w:val="0"/>
          <w:numId w:val="3"/>
        </w:numPr>
        <w:ind w:left="851" w:hanging="851"/>
        <w:rPr>
          <w:szCs w:val="28"/>
        </w:rPr>
      </w:pPr>
      <w:r w:rsidRPr="000A7C5F">
        <w:rPr>
          <w:szCs w:val="28"/>
        </w:rPr>
        <w:lastRenderedPageBreak/>
        <w:t xml:space="preserve">Within pandemic response planning, the needs of DDP were overlooked. Guidance for people who employ their owns PAs was published more than five weeks after written advice for the wider social care sector and more than a month-and-a-half after DHSC published its first COVID-19 action plan, and only in response to interventions by campaigners highlighting their existence to </w:t>
      </w:r>
      <w:proofErr w:type="spellStart"/>
      <w:r w:rsidRPr="000A7C5F">
        <w:rPr>
          <w:szCs w:val="28"/>
        </w:rPr>
        <w:t>WeG</w:t>
      </w:r>
      <w:proofErr w:type="spellEnd"/>
      <w:r w:rsidRPr="000A7C5F">
        <w:rPr>
          <w:rStyle w:val="FootnoteReference"/>
          <w:szCs w:val="28"/>
        </w:rPr>
        <w:footnoteReference w:id="417"/>
      </w:r>
      <w:r w:rsidRPr="000A7C5F">
        <w:rPr>
          <w:szCs w:val="28"/>
        </w:rPr>
        <w:t xml:space="preserve">. Information PA users urgently needed was about accessing PPE. The guidance set out that this was their responsibility to obtain and purchase, despite the high level of risk they were exposed to, limited availability and spiralling costs.  </w:t>
      </w:r>
    </w:p>
    <w:p w14:paraId="14B6A1A6" w14:textId="77777777" w:rsidR="00E805C4" w:rsidRPr="000A7C5F" w:rsidRDefault="00E805C4" w:rsidP="00E739BB">
      <w:pPr>
        <w:pStyle w:val="ListParagraph"/>
        <w:rPr>
          <w:szCs w:val="28"/>
        </w:rPr>
      </w:pPr>
    </w:p>
    <w:p w14:paraId="3D640C6F" w14:textId="5D6303B7" w:rsidR="00E805C4" w:rsidRPr="000A7C5F" w:rsidRDefault="00E805C4" w:rsidP="00794060">
      <w:pPr>
        <w:pStyle w:val="ListParagraph"/>
        <w:numPr>
          <w:ilvl w:val="0"/>
          <w:numId w:val="3"/>
        </w:numPr>
        <w:ind w:left="851" w:hanging="851"/>
        <w:rPr>
          <w:szCs w:val="28"/>
        </w:rPr>
      </w:pPr>
      <w:r w:rsidRPr="000A7C5F">
        <w:rPr>
          <w:szCs w:val="28"/>
        </w:rPr>
        <w:t xml:space="preserve">The intersectional needs of DDP were not considered within official responses to the pandemic. </w:t>
      </w:r>
      <w:r w:rsidR="005D4471" w:rsidRPr="000A7C5F">
        <w:rPr>
          <w:szCs w:val="28"/>
        </w:rPr>
        <w:t>For example, Disabled asylum seekers were overlooked except for community initiatives</w:t>
      </w:r>
      <w:r w:rsidR="005D4471" w:rsidRPr="000A7C5F">
        <w:rPr>
          <w:rStyle w:val="FootnoteReference"/>
          <w:szCs w:val="28"/>
        </w:rPr>
        <w:footnoteReference w:id="418"/>
      </w:r>
      <w:r w:rsidR="005D4471" w:rsidRPr="000A7C5F">
        <w:rPr>
          <w:szCs w:val="28"/>
        </w:rPr>
        <w:t>. Under the Immigration Act 2014, people without migration status are not entitled to bank accounts</w:t>
      </w:r>
      <w:r w:rsidR="005D4471" w:rsidRPr="000A7C5F">
        <w:rPr>
          <w:rStyle w:val="FootnoteReference"/>
          <w:szCs w:val="28"/>
        </w:rPr>
        <w:footnoteReference w:id="419"/>
      </w:r>
      <w:r w:rsidR="005D4471" w:rsidRPr="000A7C5F">
        <w:rPr>
          <w:szCs w:val="28"/>
        </w:rPr>
        <w:t xml:space="preserve"> and were therefore left unable to pay for essential goods when shops went over to card payments. </w:t>
      </w:r>
      <w:r w:rsidRPr="000A7C5F">
        <w:rPr>
          <w:szCs w:val="28"/>
        </w:rPr>
        <w:t>Without bank cards, Disabled asylum seekers needing to shield had no way to pay for online deliveries</w:t>
      </w:r>
      <w:r w:rsidR="00996E80" w:rsidRPr="000A7C5F">
        <w:rPr>
          <w:szCs w:val="28"/>
        </w:rPr>
        <w:t>.</w:t>
      </w:r>
      <w:r w:rsidRPr="000A7C5F">
        <w:rPr>
          <w:szCs w:val="28"/>
        </w:rPr>
        <w:t xml:space="preserve"> </w:t>
      </w:r>
      <w:r w:rsidR="00996E80" w:rsidRPr="000A7C5F">
        <w:rPr>
          <w:szCs w:val="28"/>
        </w:rPr>
        <w:t>T</w:t>
      </w:r>
      <w:r w:rsidRPr="000A7C5F">
        <w:rPr>
          <w:szCs w:val="28"/>
        </w:rPr>
        <w:t xml:space="preserve">heir </w:t>
      </w:r>
      <w:r w:rsidR="00996E80" w:rsidRPr="000A7C5F">
        <w:rPr>
          <w:szCs w:val="28"/>
        </w:rPr>
        <w:t xml:space="preserve">weekly </w:t>
      </w:r>
      <w:r w:rsidRPr="000A7C5F">
        <w:rPr>
          <w:szCs w:val="28"/>
        </w:rPr>
        <w:t xml:space="preserve">benefits </w:t>
      </w:r>
      <w:r w:rsidR="00996E80" w:rsidRPr="000A7C5F">
        <w:rPr>
          <w:szCs w:val="28"/>
        </w:rPr>
        <w:t xml:space="preserve">are only </w:t>
      </w:r>
      <w:r w:rsidRPr="000A7C5F">
        <w:rPr>
          <w:szCs w:val="28"/>
        </w:rPr>
        <w:t>£39.63</w:t>
      </w:r>
      <w:r w:rsidR="00996E80" w:rsidRPr="000A7C5F">
        <w:rPr>
          <w:szCs w:val="28"/>
        </w:rPr>
        <w:t xml:space="preserve"> with no additional element for the extra costs of being Disabled and no right to work. This was</w:t>
      </w:r>
      <w:r w:rsidRPr="000A7C5F">
        <w:rPr>
          <w:szCs w:val="28"/>
        </w:rPr>
        <w:t xml:space="preserve"> not enough to cover online </w:t>
      </w:r>
      <w:r w:rsidRPr="000A7C5F">
        <w:rPr>
          <w:szCs w:val="28"/>
        </w:rPr>
        <w:lastRenderedPageBreak/>
        <w:t>delivery fees. Community organisations providing food and support were closed.</w:t>
      </w:r>
    </w:p>
    <w:p w14:paraId="423DE1D4" w14:textId="77777777" w:rsidR="00E805C4" w:rsidRPr="000A7C5F" w:rsidRDefault="00E805C4" w:rsidP="00E739BB">
      <w:pPr>
        <w:pStyle w:val="ListParagraph"/>
        <w:rPr>
          <w:szCs w:val="28"/>
        </w:rPr>
      </w:pPr>
    </w:p>
    <w:p w14:paraId="5FD0C4BB" w14:textId="10CF6615" w:rsidR="001C5B18" w:rsidRPr="000A7C5F" w:rsidRDefault="00E805C4" w:rsidP="00794060">
      <w:pPr>
        <w:pStyle w:val="ListParagraph"/>
        <w:numPr>
          <w:ilvl w:val="0"/>
          <w:numId w:val="3"/>
        </w:numPr>
        <w:ind w:left="851" w:hanging="851"/>
        <w:rPr>
          <w:szCs w:val="28"/>
        </w:rPr>
      </w:pPr>
      <w:r w:rsidRPr="000A7C5F">
        <w:rPr>
          <w:szCs w:val="28"/>
        </w:rPr>
        <w:t xml:space="preserve">Six years </w:t>
      </w:r>
      <w:r w:rsidR="00587104" w:rsidRPr="000A7C5F">
        <w:rPr>
          <w:szCs w:val="28"/>
        </w:rPr>
        <w:t>ago, 72 people were killed by a fire that broke out in the Grenfell tower in London</w:t>
      </w:r>
      <w:r w:rsidR="001C5B18" w:rsidRPr="000A7C5F">
        <w:rPr>
          <w:rStyle w:val="FootnoteReference"/>
          <w:szCs w:val="28"/>
        </w:rPr>
        <w:footnoteReference w:id="420"/>
      </w:r>
      <w:r w:rsidR="00587104" w:rsidRPr="000A7C5F">
        <w:rPr>
          <w:szCs w:val="28"/>
        </w:rPr>
        <w:t xml:space="preserve">. Among them were Disabled residents, who due to the </w:t>
      </w:r>
      <w:r w:rsidR="00E00E96" w:rsidRPr="000A7C5F">
        <w:rPr>
          <w:szCs w:val="28"/>
        </w:rPr>
        <w:t xml:space="preserve">chronic </w:t>
      </w:r>
      <w:r w:rsidR="00587104" w:rsidRPr="000A7C5F">
        <w:rPr>
          <w:szCs w:val="28"/>
        </w:rPr>
        <w:t>shortage of accessible housing, had been housed by the</w:t>
      </w:r>
      <w:r w:rsidR="00E00E96" w:rsidRPr="000A7C5F">
        <w:rPr>
          <w:szCs w:val="28"/>
        </w:rPr>
        <w:t>ir</w:t>
      </w:r>
      <w:r w:rsidR="00587104" w:rsidRPr="000A7C5F">
        <w:rPr>
          <w:szCs w:val="28"/>
        </w:rPr>
        <w:t xml:space="preserve"> local LA on upper floors with no way to escape in case of fire. </w:t>
      </w:r>
      <w:r w:rsidR="001C5B18" w:rsidRPr="000A7C5F">
        <w:rPr>
          <w:szCs w:val="28"/>
        </w:rPr>
        <w:t>Lawyers involved in the Grenfell Tower Inquiry into the 2017 fire which killed 72 people described it “as a landmark act of discrimination against disabled and vulnerable people”</w:t>
      </w:r>
      <w:r w:rsidR="002A1B2B" w:rsidRPr="000A7C5F">
        <w:rPr>
          <w:rStyle w:val="FootnoteReference"/>
          <w:szCs w:val="28"/>
        </w:rPr>
        <w:footnoteReference w:id="421"/>
      </w:r>
      <w:r w:rsidR="001C5B18" w:rsidRPr="000A7C5F">
        <w:rPr>
          <w:szCs w:val="28"/>
        </w:rPr>
        <w:t xml:space="preserve">. 41% of people who died were Disabled and 85% were </w:t>
      </w:r>
      <w:r w:rsidR="00960F7C" w:rsidRPr="00960F7C">
        <w:rPr>
          <w:szCs w:val="28"/>
        </w:rPr>
        <w:t>Black people and from racialised minorities</w:t>
      </w:r>
      <w:r w:rsidR="001C5B18" w:rsidRPr="000A7C5F">
        <w:rPr>
          <w:szCs w:val="28"/>
        </w:rPr>
        <w:t>, raising issues of institutional racism as well as disablism</w:t>
      </w:r>
      <w:r w:rsidR="002A1B2B" w:rsidRPr="000A7C5F">
        <w:rPr>
          <w:rStyle w:val="FootnoteReference"/>
          <w:szCs w:val="28"/>
        </w:rPr>
        <w:footnoteReference w:id="422"/>
      </w:r>
      <w:r w:rsidR="001C5B18" w:rsidRPr="000A7C5F">
        <w:rPr>
          <w:szCs w:val="28"/>
        </w:rPr>
        <w:t>.</w:t>
      </w:r>
    </w:p>
    <w:p w14:paraId="671815DE" w14:textId="77777777" w:rsidR="001C5B18" w:rsidRPr="000A7C5F" w:rsidRDefault="001C5B18" w:rsidP="00183CBE">
      <w:pPr>
        <w:pStyle w:val="ListParagraph"/>
        <w:ind w:left="851" w:hanging="851"/>
        <w:rPr>
          <w:szCs w:val="28"/>
        </w:rPr>
      </w:pPr>
    </w:p>
    <w:p w14:paraId="75AAD89B" w14:textId="7DEF3427" w:rsidR="00E805C4" w:rsidRPr="000A7C5F" w:rsidRDefault="00587104" w:rsidP="00794060">
      <w:pPr>
        <w:pStyle w:val="ListParagraph"/>
        <w:numPr>
          <w:ilvl w:val="0"/>
          <w:numId w:val="3"/>
        </w:numPr>
        <w:ind w:left="851" w:hanging="851"/>
        <w:rPr>
          <w:szCs w:val="28"/>
        </w:rPr>
      </w:pPr>
      <w:r w:rsidRPr="000A7C5F">
        <w:rPr>
          <w:szCs w:val="28"/>
        </w:rPr>
        <w:t>Today</w:t>
      </w:r>
      <w:r w:rsidR="00E805C4" w:rsidRPr="000A7C5F">
        <w:rPr>
          <w:szCs w:val="28"/>
        </w:rPr>
        <w:t xml:space="preserve"> </w:t>
      </w:r>
      <w:r w:rsidRPr="000A7C5F">
        <w:rPr>
          <w:szCs w:val="28"/>
        </w:rPr>
        <w:t>DDP are still fighting for protections from fire risks if placed in high-rise housing. Disabled peers in Parliament are currently lobbying for explicit mention of Disabled people within the new building safety bill</w:t>
      </w:r>
      <w:r w:rsidR="00E00E96" w:rsidRPr="000A7C5F">
        <w:rPr>
          <w:rStyle w:val="FootnoteReference"/>
          <w:szCs w:val="28"/>
        </w:rPr>
        <w:footnoteReference w:id="423"/>
      </w:r>
      <w:r w:rsidR="002C657C" w:rsidRPr="000A7C5F">
        <w:rPr>
          <w:szCs w:val="28"/>
        </w:rPr>
        <w:t xml:space="preserve"> </w:t>
      </w:r>
      <w:r w:rsidR="00E00E96" w:rsidRPr="000A7C5F">
        <w:rPr>
          <w:rStyle w:val="FootnoteReference"/>
          <w:szCs w:val="28"/>
        </w:rPr>
        <w:footnoteReference w:id="424"/>
      </w:r>
      <w:r w:rsidRPr="000A7C5F">
        <w:rPr>
          <w:szCs w:val="28"/>
        </w:rPr>
        <w:t xml:space="preserve">. DDP are seeking a judicial review of </w:t>
      </w:r>
      <w:proofErr w:type="spellStart"/>
      <w:r w:rsidRPr="000A7C5F">
        <w:rPr>
          <w:szCs w:val="28"/>
        </w:rPr>
        <w:t>WeG’s</w:t>
      </w:r>
      <w:proofErr w:type="spellEnd"/>
      <w:r w:rsidRPr="000A7C5F">
        <w:rPr>
          <w:szCs w:val="28"/>
        </w:rPr>
        <w:t xml:space="preserve"> decision to award a fire safety contract to consultants who </w:t>
      </w:r>
      <w:r w:rsidRPr="000A7C5F">
        <w:rPr>
          <w:szCs w:val="28"/>
        </w:rPr>
        <w:lastRenderedPageBreak/>
        <w:t>have repeatedly argued against introducing written evacuation plans for disabled residents of tower blocks</w:t>
      </w:r>
      <w:r w:rsidR="00E00E96" w:rsidRPr="000A7C5F">
        <w:rPr>
          <w:rStyle w:val="FootnoteReference"/>
          <w:szCs w:val="28"/>
        </w:rPr>
        <w:footnoteReference w:id="425"/>
      </w:r>
      <w:r w:rsidRPr="000A7C5F">
        <w:rPr>
          <w:szCs w:val="28"/>
        </w:rPr>
        <w:t>. According to a fire safety guide written by this organisation, it is ‘usually unrealistic’ to expect landlords to put arrangements in place for DDP to evacuate blocks of flats in the event of an emergency.</w:t>
      </w:r>
    </w:p>
    <w:p w14:paraId="533B5FCE" w14:textId="77777777" w:rsidR="00587104" w:rsidRPr="000A7C5F" w:rsidRDefault="00587104" w:rsidP="00E739BB">
      <w:pPr>
        <w:pStyle w:val="ListParagraph"/>
        <w:rPr>
          <w:szCs w:val="28"/>
        </w:rPr>
      </w:pPr>
    </w:p>
    <w:p w14:paraId="5B0D643F" w14:textId="074173ED" w:rsidR="00E805C4" w:rsidRPr="000A7C5F" w:rsidRDefault="00E805C4" w:rsidP="00794060">
      <w:pPr>
        <w:pStyle w:val="ListParagraph"/>
        <w:numPr>
          <w:ilvl w:val="0"/>
          <w:numId w:val="3"/>
        </w:numPr>
        <w:ind w:left="851" w:hanging="851"/>
        <w:rPr>
          <w:szCs w:val="28"/>
        </w:rPr>
      </w:pPr>
      <w:r w:rsidRPr="000A7C5F">
        <w:rPr>
          <w:szCs w:val="28"/>
        </w:rPr>
        <w:t>Among DDP and DDPOs there is a strong commitment towards addressing climate change as a global emergency. There is concern that DDP are in particular danger from natural disasters due to barriers to accessing emergency information and/or physical barriers to evacuation.</w:t>
      </w:r>
    </w:p>
    <w:p w14:paraId="2BCBA3BF" w14:textId="77777777" w:rsidR="00E805C4" w:rsidRPr="000A7C5F" w:rsidRDefault="00E805C4" w:rsidP="00183CBE">
      <w:pPr>
        <w:pStyle w:val="ListParagraph"/>
        <w:ind w:left="851" w:hanging="851"/>
        <w:rPr>
          <w:szCs w:val="28"/>
        </w:rPr>
      </w:pPr>
    </w:p>
    <w:p w14:paraId="42C92CA6" w14:textId="50059561" w:rsidR="00E805C4" w:rsidRPr="000A7C5F" w:rsidRDefault="00E805C4" w:rsidP="00794060">
      <w:pPr>
        <w:pStyle w:val="ListParagraph"/>
        <w:numPr>
          <w:ilvl w:val="0"/>
          <w:numId w:val="3"/>
        </w:numPr>
        <w:ind w:left="851" w:hanging="851"/>
        <w:rPr>
          <w:szCs w:val="28"/>
        </w:rPr>
      </w:pPr>
      <w:r w:rsidRPr="000A7C5F">
        <w:rPr>
          <w:szCs w:val="28"/>
        </w:rPr>
        <w:t>There are a number of examples where measures aimed at tackling climate change have had an unintended adverse impact on DDP. These include LTNs</w:t>
      </w:r>
      <w:r w:rsidRPr="000A7C5F">
        <w:rPr>
          <w:rStyle w:val="FootnoteReference"/>
          <w:szCs w:val="28"/>
        </w:rPr>
        <w:footnoteReference w:id="426"/>
      </w:r>
      <w:r w:rsidRPr="000A7C5F">
        <w:rPr>
          <w:szCs w:val="28"/>
        </w:rPr>
        <w:t xml:space="preserve"> </w:t>
      </w:r>
      <w:r w:rsidRPr="000A7C5F">
        <w:rPr>
          <w:rStyle w:val="FootnoteReference"/>
          <w:szCs w:val="28"/>
        </w:rPr>
        <w:footnoteReference w:id="427"/>
      </w:r>
      <w:r w:rsidRPr="000A7C5F">
        <w:rPr>
          <w:szCs w:val="28"/>
        </w:rPr>
        <w:t xml:space="preserve"> and the plastic straw ban</w:t>
      </w:r>
      <w:r w:rsidRPr="000A7C5F">
        <w:rPr>
          <w:rStyle w:val="FootnoteReference"/>
          <w:szCs w:val="28"/>
        </w:rPr>
        <w:footnoteReference w:id="428"/>
      </w:r>
      <w:r w:rsidRPr="000A7C5F">
        <w:rPr>
          <w:szCs w:val="28"/>
        </w:rPr>
        <w:t>. Insufficient consideration of DDP and lack of engagement at planning stages mean that DDP are forced to speak out after implementation in order to secure exemptions</w:t>
      </w:r>
      <w:r w:rsidR="00777CB0" w:rsidRPr="000A7C5F">
        <w:rPr>
          <w:szCs w:val="28"/>
        </w:rPr>
        <w:t xml:space="preserve">, giving a false impression of being </w:t>
      </w:r>
      <w:r w:rsidRPr="000A7C5F">
        <w:rPr>
          <w:szCs w:val="28"/>
        </w:rPr>
        <w:t>against tackling climate change</w:t>
      </w:r>
      <w:r w:rsidR="00777CB0" w:rsidRPr="000A7C5F">
        <w:rPr>
          <w:szCs w:val="28"/>
        </w:rPr>
        <w:t xml:space="preserve"> in general</w:t>
      </w:r>
      <w:r w:rsidRPr="000A7C5F">
        <w:rPr>
          <w:szCs w:val="28"/>
        </w:rPr>
        <w:t>.</w:t>
      </w:r>
    </w:p>
    <w:p w14:paraId="6C8A86DA" w14:textId="77777777" w:rsidR="00514874" w:rsidRPr="000A7C5F" w:rsidRDefault="00514874" w:rsidP="00E739BB">
      <w:pPr>
        <w:pStyle w:val="ListParagraph"/>
        <w:rPr>
          <w:szCs w:val="28"/>
        </w:rPr>
      </w:pPr>
    </w:p>
    <w:p w14:paraId="0EF9F96D" w14:textId="2802277C" w:rsidR="00514874" w:rsidRPr="006B73F4" w:rsidRDefault="00514874" w:rsidP="006B73F4">
      <w:pPr>
        <w:pStyle w:val="ListParagraph"/>
        <w:numPr>
          <w:ilvl w:val="0"/>
          <w:numId w:val="3"/>
        </w:numPr>
        <w:ind w:left="851" w:hanging="851"/>
        <w:rPr>
          <w:szCs w:val="28"/>
        </w:rPr>
      </w:pPr>
      <w:r w:rsidRPr="000A7C5F">
        <w:rPr>
          <w:szCs w:val="28"/>
        </w:rPr>
        <w:lastRenderedPageBreak/>
        <w:t>DDPOs would welcome improved engagement and consideration of equality impacts of counter-terrorism measures on DDP</w:t>
      </w:r>
      <w:r w:rsidRPr="000A7C5F">
        <w:rPr>
          <w:rStyle w:val="FootnoteReference"/>
          <w:szCs w:val="28"/>
        </w:rPr>
        <w:footnoteReference w:id="429"/>
      </w:r>
      <w:r w:rsidRPr="000A7C5F">
        <w:rPr>
          <w:szCs w:val="28"/>
        </w:rPr>
        <w:t>. For example, removal of blue badge parking to make way for new defences has made York City Centre less accessible to DDP</w:t>
      </w:r>
      <w:r w:rsidRPr="000A7C5F">
        <w:rPr>
          <w:rStyle w:val="FootnoteReference"/>
          <w:szCs w:val="28"/>
        </w:rPr>
        <w:footnoteReference w:id="430"/>
      </w:r>
      <w:r w:rsidRPr="000A7C5F">
        <w:rPr>
          <w:szCs w:val="28"/>
        </w:rPr>
        <w:t>.</w:t>
      </w:r>
    </w:p>
    <w:p w14:paraId="2E53E473" w14:textId="01920CA3" w:rsidR="00E113EB" w:rsidRPr="000A7C5F" w:rsidRDefault="0035748E" w:rsidP="00BB6A41">
      <w:pPr>
        <w:pStyle w:val="Heading2"/>
      </w:pPr>
      <w:bookmarkStart w:id="49" w:name="_Toc98504906"/>
      <w:bookmarkStart w:id="50" w:name="_Toc98505549"/>
      <w:bookmarkStart w:id="51" w:name="_Toc98506555"/>
      <w:r w:rsidRPr="000A7C5F">
        <w:t xml:space="preserve">Theme </w:t>
      </w:r>
      <w:r w:rsidR="00E805C4" w:rsidRPr="000A7C5F">
        <w:t>6</w:t>
      </w:r>
      <w:r w:rsidRPr="000A7C5F">
        <w:t xml:space="preserve">: </w:t>
      </w:r>
      <w:r w:rsidR="005F4953" w:rsidRPr="000A7C5F">
        <w:t>L</w:t>
      </w:r>
      <w:r w:rsidR="00E113EB" w:rsidRPr="000A7C5F">
        <w:t>ives</w:t>
      </w:r>
      <w:r w:rsidR="005F4953" w:rsidRPr="000A7C5F">
        <w:t xml:space="preserve"> Less Worthy</w:t>
      </w:r>
      <w:bookmarkEnd w:id="49"/>
      <w:bookmarkEnd w:id="50"/>
      <w:bookmarkEnd w:id="51"/>
    </w:p>
    <w:p w14:paraId="60782347" w14:textId="7F940E4C" w:rsidR="00522F93" w:rsidRPr="000A7C5F" w:rsidRDefault="00EF6237" w:rsidP="00794060">
      <w:pPr>
        <w:pStyle w:val="ListParagraph"/>
        <w:numPr>
          <w:ilvl w:val="0"/>
          <w:numId w:val="3"/>
        </w:numPr>
        <w:ind w:left="851" w:hanging="851"/>
        <w:rPr>
          <w:szCs w:val="28"/>
        </w:rPr>
      </w:pPr>
      <w:r w:rsidRPr="000A7C5F">
        <w:rPr>
          <w:szCs w:val="28"/>
        </w:rPr>
        <w:t xml:space="preserve">The pandemic starkly highlighted attitudes towards DDP whereby our lives are held to have less value than other people’s. Such attitudes were apparent in decisions taken by </w:t>
      </w:r>
      <w:proofErr w:type="spellStart"/>
      <w:r w:rsidR="009037D2" w:rsidRPr="000A7C5F">
        <w:rPr>
          <w:szCs w:val="28"/>
        </w:rPr>
        <w:t>WeG</w:t>
      </w:r>
      <w:proofErr w:type="spellEnd"/>
      <w:r w:rsidRPr="000A7C5F">
        <w:rPr>
          <w:szCs w:val="28"/>
        </w:rPr>
        <w:t xml:space="preserve"> in their handling of the pandemic; political messaging and public debate</w:t>
      </w:r>
      <w:r w:rsidR="002D336C" w:rsidRPr="000A7C5F">
        <w:rPr>
          <w:szCs w:val="28"/>
        </w:rPr>
        <w:t xml:space="preserve"> concerning lockdown</w:t>
      </w:r>
      <w:r w:rsidRPr="000A7C5F">
        <w:rPr>
          <w:szCs w:val="28"/>
        </w:rPr>
        <w:t xml:space="preserve">; and, </w:t>
      </w:r>
      <w:r w:rsidR="002D336C" w:rsidRPr="000A7C5F">
        <w:rPr>
          <w:szCs w:val="28"/>
        </w:rPr>
        <w:t>disability discrimination in treatment rationing.</w:t>
      </w:r>
      <w:r w:rsidR="00522F93" w:rsidRPr="000A7C5F">
        <w:rPr>
          <w:szCs w:val="28"/>
        </w:rPr>
        <w:t xml:space="preserve"> These were in addition to existing issues relating to</w:t>
      </w:r>
      <w:r w:rsidR="00DA2DA4" w:rsidRPr="000A7C5F">
        <w:rPr>
          <w:szCs w:val="28"/>
        </w:rPr>
        <w:t xml:space="preserve"> DDP’s</w:t>
      </w:r>
      <w:r w:rsidR="00522F93" w:rsidRPr="000A7C5F">
        <w:rPr>
          <w:szCs w:val="28"/>
        </w:rPr>
        <w:t xml:space="preserve"> </w:t>
      </w:r>
      <w:r w:rsidR="00DA2DA4" w:rsidRPr="000A7C5F">
        <w:rPr>
          <w:szCs w:val="28"/>
        </w:rPr>
        <w:t xml:space="preserve">unequal </w:t>
      </w:r>
      <w:r w:rsidR="00522F93" w:rsidRPr="000A7C5F">
        <w:rPr>
          <w:szCs w:val="28"/>
        </w:rPr>
        <w:t>right to life.</w:t>
      </w:r>
      <w:r w:rsidR="00B165F3" w:rsidRPr="000A7C5F">
        <w:rPr>
          <w:szCs w:val="28"/>
        </w:rPr>
        <w:t xml:space="preserve"> </w:t>
      </w:r>
    </w:p>
    <w:p w14:paraId="6DF57CE2" w14:textId="77777777" w:rsidR="00FA1A2D" w:rsidRPr="000A7C5F" w:rsidRDefault="00FA1A2D" w:rsidP="00183CBE">
      <w:pPr>
        <w:pStyle w:val="ListParagraph"/>
        <w:ind w:left="851" w:hanging="851"/>
        <w:rPr>
          <w:szCs w:val="28"/>
        </w:rPr>
      </w:pPr>
    </w:p>
    <w:p w14:paraId="7D345867" w14:textId="77777777" w:rsidR="00FA1A2D" w:rsidRPr="000A7C5F" w:rsidRDefault="00FA1A2D" w:rsidP="00794060">
      <w:pPr>
        <w:pStyle w:val="ListParagraph"/>
        <w:numPr>
          <w:ilvl w:val="0"/>
          <w:numId w:val="3"/>
        </w:numPr>
        <w:ind w:left="851" w:hanging="851"/>
        <w:rPr>
          <w:szCs w:val="28"/>
        </w:rPr>
      </w:pPr>
      <w:r w:rsidRPr="000A7C5F">
        <w:rPr>
          <w:szCs w:val="28"/>
        </w:rPr>
        <w:t>The pandemic has seen a return to purely medical understanding of risk and “vulnerability” leaving millions at risk from non-medical factors not considered.</w:t>
      </w:r>
      <w:r w:rsidRPr="000A7C5F">
        <w:rPr>
          <w:rStyle w:val="FootnoteReference"/>
          <w:szCs w:val="28"/>
        </w:rPr>
        <w:footnoteReference w:id="431"/>
      </w:r>
      <w:r w:rsidRPr="000A7C5F">
        <w:rPr>
          <w:szCs w:val="28"/>
        </w:rPr>
        <w:t xml:space="preserve"> </w:t>
      </w:r>
    </w:p>
    <w:p w14:paraId="605D7A94" w14:textId="77777777" w:rsidR="00FA1A2D" w:rsidRPr="000A7C5F" w:rsidRDefault="00FA1A2D" w:rsidP="00E739BB">
      <w:pPr>
        <w:pStyle w:val="ListParagraph"/>
        <w:ind w:left="735"/>
        <w:rPr>
          <w:szCs w:val="28"/>
        </w:rPr>
      </w:pPr>
    </w:p>
    <w:p w14:paraId="218D85C1" w14:textId="3124D927" w:rsidR="00DA2DA4" w:rsidRPr="001E1D19" w:rsidRDefault="00DA2DA4" w:rsidP="00BB6A41">
      <w:pPr>
        <w:pStyle w:val="ArticleHeading"/>
      </w:pPr>
      <w:r w:rsidRPr="001E1D19">
        <w:lastRenderedPageBreak/>
        <w:t>Article 5</w:t>
      </w:r>
      <w:r w:rsidR="00FA137C">
        <w:t xml:space="preserve"> – </w:t>
      </w:r>
      <w:r w:rsidRPr="001E1D19">
        <w:t>Equality and non-discrimination</w:t>
      </w:r>
      <w:r w:rsidR="0033672B" w:rsidRPr="001E1D19">
        <w:t xml:space="preserve">; </w:t>
      </w:r>
      <w:r w:rsidR="001E1D19">
        <w:br/>
      </w:r>
      <w:hyperlink r:id="rId12" w:tooltip="Article 10 – Right to life" w:history="1">
        <w:r w:rsidRPr="001E1D19">
          <w:t xml:space="preserve">Article 10 </w:t>
        </w:r>
        <w:r w:rsidR="00FA137C">
          <w:t xml:space="preserve">– </w:t>
        </w:r>
        <w:r w:rsidRPr="001E1D19">
          <w:t>Right to life</w:t>
        </w:r>
      </w:hyperlink>
      <w:r w:rsidR="0033672B" w:rsidRPr="001E1D19">
        <w:t xml:space="preserve">; </w:t>
      </w:r>
      <w:r w:rsidR="001E1D19">
        <w:br/>
      </w:r>
      <w:hyperlink r:id="rId13" w:tooltip="Article 25 – Health" w:history="1">
        <w:r w:rsidRPr="001E1D19">
          <w:t xml:space="preserve">Article 25 </w:t>
        </w:r>
        <w:r w:rsidR="00FA137C">
          <w:t xml:space="preserve">– </w:t>
        </w:r>
        <w:r w:rsidRPr="001E1D19">
          <w:t>Health</w:t>
        </w:r>
      </w:hyperlink>
    </w:p>
    <w:p w14:paraId="1FE4D369" w14:textId="2DF457A2" w:rsidR="00127CC2" w:rsidRPr="000A7C5F" w:rsidRDefault="00127CC2" w:rsidP="001E1D19">
      <w:pPr>
        <w:pStyle w:val="Heading3"/>
      </w:pPr>
      <w:bookmarkStart w:id="52" w:name="_Toc98504907"/>
      <w:r w:rsidRPr="000A7C5F">
        <w:t>COVID-19</w:t>
      </w:r>
      <w:bookmarkEnd w:id="52"/>
    </w:p>
    <w:p w14:paraId="18A3C471" w14:textId="277522F2" w:rsidR="00361161" w:rsidRPr="000A7C5F" w:rsidRDefault="002D336C" w:rsidP="00794060">
      <w:pPr>
        <w:pStyle w:val="ListParagraph"/>
        <w:numPr>
          <w:ilvl w:val="0"/>
          <w:numId w:val="3"/>
        </w:numPr>
        <w:ind w:left="851" w:hanging="851"/>
        <w:rPr>
          <w:szCs w:val="28"/>
        </w:rPr>
      </w:pPr>
      <w:r w:rsidRPr="000A7C5F">
        <w:rPr>
          <w:szCs w:val="28"/>
        </w:rPr>
        <w:t xml:space="preserve">The background to </w:t>
      </w:r>
      <w:r w:rsidR="00774B96" w:rsidRPr="000A7C5F">
        <w:rPr>
          <w:szCs w:val="28"/>
        </w:rPr>
        <w:t>COVID-19</w:t>
      </w:r>
      <w:r w:rsidRPr="000A7C5F">
        <w:rPr>
          <w:szCs w:val="28"/>
        </w:rPr>
        <w:t xml:space="preserve"> is a history of unequal access to healthcare</w:t>
      </w:r>
      <w:r w:rsidR="00EF6237" w:rsidRPr="000A7C5F">
        <w:rPr>
          <w:szCs w:val="28"/>
        </w:rPr>
        <w:t xml:space="preserve"> </w:t>
      </w:r>
      <w:r w:rsidRPr="000A7C5F">
        <w:rPr>
          <w:szCs w:val="28"/>
        </w:rPr>
        <w:t>services for DDP.</w:t>
      </w:r>
      <w:r w:rsidR="0050606D" w:rsidRPr="000A7C5F">
        <w:rPr>
          <w:rStyle w:val="FootnoteReference"/>
          <w:szCs w:val="28"/>
        </w:rPr>
        <w:footnoteReference w:id="432"/>
      </w:r>
      <w:r w:rsidR="00AD4613" w:rsidRPr="000A7C5F">
        <w:rPr>
          <w:szCs w:val="28"/>
        </w:rPr>
        <w:t xml:space="preserve"> </w:t>
      </w:r>
      <w:r w:rsidR="00361161" w:rsidRPr="000A7C5F">
        <w:rPr>
          <w:szCs w:val="28"/>
        </w:rPr>
        <w:t xml:space="preserve">For example: </w:t>
      </w:r>
      <w:r w:rsidR="00AD4613" w:rsidRPr="000A7C5F">
        <w:rPr>
          <w:szCs w:val="28"/>
        </w:rPr>
        <w:t>Disabled women have long reported unequal access to health screening</w:t>
      </w:r>
      <w:r w:rsidR="00361161" w:rsidRPr="000A7C5F">
        <w:rPr>
          <w:szCs w:val="28"/>
        </w:rPr>
        <w:t xml:space="preserve"> and</w:t>
      </w:r>
      <w:r w:rsidR="00AD4613" w:rsidRPr="000A7C5F">
        <w:rPr>
          <w:szCs w:val="28"/>
        </w:rPr>
        <w:t xml:space="preserve"> adoption of alternative </w:t>
      </w:r>
      <w:r w:rsidR="00361161" w:rsidRPr="000A7C5F">
        <w:rPr>
          <w:szCs w:val="28"/>
        </w:rPr>
        <w:t xml:space="preserve">breast screening </w:t>
      </w:r>
      <w:r w:rsidR="00AD4613" w:rsidRPr="000A7C5F">
        <w:rPr>
          <w:szCs w:val="28"/>
        </w:rPr>
        <w:t>techniques for women with certain conditions</w:t>
      </w:r>
      <w:r w:rsidR="00705393" w:rsidRPr="000A7C5F">
        <w:rPr>
          <w:szCs w:val="28"/>
        </w:rPr>
        <w:t xml:space="preserve"> is slow in the UK compared to other countries</w:t>
      </w:r>
      <w:r w:rsidR="00705393" w:rsidRPr="000A7C5F">
        <w:rPr>
          <w:rStyle w:val="FootnoteReference"/>
          <w:szCs w:val="28"/>
        </w:rPr>
        <w:footnoteReference w:id="433"/>
      </w:r>
      <w:r w:rsidR="00361161" w:rsidRPr="000A7C5F">
        <w:rPr>
          <w:szCs w:val="28"/>
        </w:rPr>
        <w:t>; studies evidence Deaf people being unable to access both primary and secondary healthcare on an equitable basis with others</w:t>
      </w:r>
      <w:r w:rsidR="00361161" w:rsidRPr="000A7C5F">
        <w:rPr>
          <w:rStyle w:val="FootnoteReference"/>
          <w:szCs w:val="28"/>
        </w:rPr>
        <w:footnoteReference w:id="434"/>
      </w:r>
      <w:r w:rsidR="00361161" w:rsidRPr="000A7C5F">
        <w:rPr>
          <w:szCs w:val="28"/>
        </w:rPr>
        <w:t xml:space="preserve">; </w:t>
      </w:r>
      <w:r w:rsidR="001D0521" w:rsidRPr="000A7C5F">
        <w:rPr>
          <w:szCs w:val="28"/>
        </w:rPr>
        <w:t>n</w:t>
      </w:r>
      <w:r w:rsidR="00361161" w:rsidRPr="000A7C5F">
        <w:rPr>
          <w:szCs w:val="28"/>
        </w:rPr>
        <w:t>omadic patients report being removed from health treatment waiting lists while travelling which means that health needs are often not addressed until they reach an acute stage</w:t>
      </w:r>
      <w:r w:rsidR="00361161" w:rsidRPr="000A7C5F">
        <w:rPr>
          <w:rStyle w:val="FootnoteReference"/>
          <w:szCs w:val="28"/>
        </w:rPr>
        <w:footnoteReference w:id="435"/>
      </w:r>
      <w:r w:rsidR="00361161" w:rsidRPr="000A7C5F">
        <w:rPr>
          <w:szCs w:val="28"/>
        </w:rPr>
        <w:t xml:space="preserve">. </w:t>
      </w:r>
    </w:p>
    <w:p w14:paraId="34728CB2" w14:textId="77777777" w:rsidR="00361161" w:rsidRPr="000A7C5F" w:rsidRDefault="00361161" w:rsidP="001E1D19">
      <w:pPr>
        <w:pStyle w:val="ListParagraph"/>
        <w:ind w:left="851" w:hanging="851"/>
        <w:rPr>
          <w:szCs w:val="28"/>
        </w:rPr>
      </w:pPr>
    </w:p>
    <w:p w14:paraId="5470EB1D" w14:textId="4587B819" w:rsidR="00606FD6" w:rsidRPr="000A7C5F" w:rsidRDefault="001D0521" w:rsidP="00794060">
      <w:pPr>
        <w:pStyle w:val="ListParagraph"/>
        <w:numPr>
          <w:ilvl w:val="0"/>
          <w:numId w:val="3"/>
        </w:numPr>
        <w:ind w:left="851" w:hanging="851"/>
        <w:rPr>
          <w:szCs w:val="28"/>
        </w:rPr>
      </w:pPr>
      <w:r w:rsidRPr="000A7C5F">
        <w:rPr>
          <w:szCs w:val="28"/>
        </w:rPr>
        <w:t>P</w:t>
      </w:r>
      <w:r w:rsidR="00E672DC" w:rsidRPr="000A7C5F">
        <w:rPr>
          <w:szCs w:val="28"/>
        </w:rPr>
        <w:t>eople who are housebound are often unaware of their rights or report being refused home visits. In a recent survey by Chronic Illness Inclusion only 12% of respondents had ever received a home visit by their GP, fewer than 2% had ever received a domiciliary or sexual health screening service and only 5% had accessed domiciliary dental care</w:t>
      </w:r>
      <w:r w:rsidR="00E672DC" w:rsidRPr="000A7C5F">
        <w:rPr>
          <w:rStyle w:val="FootnoteReference"/>
          <w:szCs w:val="28"/>
        </w:rPr>
        <w:footnoteReference w:id="436"/>
      </w:r>
      <w:r w:rsidR="00E672DC" w:rsidRPr="000A7C5F">
        <w:rPr>
          <w:szCs w:val="28"/>
        </w:rPr>
        <w:t>.</w:t>
      </w:r>
      <w:r w:rsidR="002E7DBF" w:rsidRPr="000A7C5F">
        <w:rPr>
          <w:szCs w:val="28"/>
        </w:rPr>
        <w:t xml:space="preserve"> </w:t>
      </w:r>
    </w:p>
    <w:p w14:paraId="486519C6" w14:textId="77777777" w:rsidR="001D0521" w:rsidRPr="000A7C5F" w:rsidRDefault="001D0521" w:rsidP="00E739BB">
      <w:pPr>
        <w:pStyle w:val="ListParagraph"/>
        <w:rPr>
          <w:szCs w:val="28"/>
        </w:rPr>
      </w:pPr>
    </w:p>
    <w:p w14:paraId="7D1C0407" w14:textId="77777777" w:rsidR="00EE65D0" w:rsidRPr="000A7C5F" w:rsidRDefault="00606FD6" w:rsidP="00794060">
      <w:pPr>
        <w:pStyle w:val="ListParagraph"/>
        <w:numPr>
          <w:ilvl w:val="0"/>
          <w:numId w:val="3"/>
        </w:numPr>
        <w:ind w:left="851" w:hanging="851"/>
        <w:rPr>
          <w:szCs w:val="28"/>
        </w:rPr>
      </w:pPr>
      <w:r w:rsidRPr="000A7C5F">
        <w:rPr>
          <w:szCs w:val="28"/>
        </w:rPr>
        <w:lastRenderedPageBreak/>
        <w:t>DDP have shorter average lifespans than non-Disabled people</w:t>
      </w:r>
      <w:r w:rsidR="00EE65D0" w:rsidRPr="000A7C5F">
        <w:rPr>
          <w:szCs w:val="28"/>
        </w:rPr>
        <w:t xml:space="preserve"> linked to multiple issues including inability to travel to appointments, lack of reasonable adjustments to make services accessible, diagnostic overshadowing and lack of staff training. All of these issues took on heightened significance through the pandemic. </w:t>
      </w:r>
    </w:p>
    <w:p w14:paraId="36D38671" w14:textId="77777777" w:rsidR="00EE65D0" w:rsidRPr="000A7C5F" w:rsidRDefault="00EE65D0" w:rsidP="001E1D19">
      <w:pPr>
        <w:pStyle w:val="ListParagraph"/>
        <w:ind w:left="851" w:hanging="851"/>
        <w:rPr>
          <w:szCs w:val="28"/>
        </w:rPr>
      </w:pPr>
    </w:p>
    <w:p w14:paraId="2D7272F8" w14:textId="77777777" w:rsidR="001C5A62" w:rsidRPr="000A7C5F" w:rsidRDefault="00EE65D0" w:rsidP="00794060">
      <w:pPr>
        <w:pStyle w:val="ListParagraph"/>
        <w:numPr>
          <w:ilvl w:val="0"/>
          <w:numId w:val="3"/>
        </w:numPr>
        <w:ind w:left="851" w:hanging="851"/>
        <w:rPr>
          <w:szCs w:val="28"/>
        </w:rPr>
      </w:pPr>
      <w:r w:rsidRPr="000A7C5F">
        <w:rPr>
          <w:szCs w:val="28"/>
        </w:rPr>
        <w:t>Recent research has evidenced that people living with mental distress and people with learning difficulties were at a greater risk of deaths relative to the general population before the pandemic</w:t>
      </w:r>
      <w:r w:rsidRPr="000A7C5F">
        <w:rPr>
          <w:rStyle w:val="FootnoteReference"/>
          <w:szCs w:val="28"/>
        </w:rPr>
        <w:footnoteReference w:id="437"/>
      </w:r>
      <w:r w:rsidRPr="000A7C5F">
        <w:rPr>
          <w:szCs w:val="28"/>
        </w:rPr>
        <w:t xml:space="preserve">. </w:t>
      </w:r>
      <w:r w:rsidR="00335F8C" w:rsidRPr="000A7C5F">
        <w:rPr>
          <w:szCs w:val="28"/>
        </w:rPr>
        <w:t>During 2019/2020 people with learning difficulties were three times more likely to die avoidably of a cause which was treatable with good quality healthcare.</w:t>
      </w:r>
      <w:r w:rsidR="00335F8C" w:rsidRPr="000A7C5F">
        <w:rPr>
          <w:rStyle w:val="FootnoteReference"/>
          <w:szCs w:val="28"/>
        </w:rPr>
        <w:footnoteReference w:id="438"/>
      </w:r>
      <w:r w:rsidR="00335F8C" w:rsidRPr="000A7C5F">
        <w:rPr>
          <w:szCs w:val="28"/>
        </w:rPr>
        <w:t xml:space="preserve"> </w:t>
      </w:r>
    </w:p>
    <w:p w14:paraId="1AB16219" w14:textId="77777777" w:rsidR="001C5A62" w:rsidRPr="000A7C5F" w:rsidRDefault="001C5A62" w:rsidP="001E1D19">
      <w:pPr>
        <w:pStyle w:val="ListParagraph"/>
        <w:ind w:left="851" w:hanging="851"/>
        <w:rPr>
          <w:szCs w:val="28"/>
        </w:rPr>
      </w:pPr>
    </w:p>
    <w:p w14:paraId="6EE08440" w14:textId="538D6893" w:rsidR="00927FCC" w:rsidRPr="000A7C5F" w:rsidRDefault="00E672DC" w:rsidP="00794060">
      <w:pPr>
        <w:pStyle w:val="ListParagraph"/>
        <w:numPr>
          <w:ilvl w:val="0"/>
          <w:numId w:val="3"/>
        </w:numPr>
        <w:ind w:left="851" w:hanging="851"/>
        <w:rPr>
          <w:szCs w:val="28"/>
        </w:rPr>
      </w:pPr>
      <w:r w:rsidRPr="000A7C5F">
        <w:rPr>
          <w:szCs w:val="28"/>
        </w:rPr>
        <w:t xml:space="preserve">Numerous deaths of DDP within hospital settings have been directly linked to staff error and to system-wide failings pre-pandemic. Hampshire Hospitals NHS Trust apologised after Disabled campaigner </w:t>
      </w:r>
      <w:r w:rsidR="00DE212F" w:rsidRPr="000A7C5F">
        <w:rPr>
          <w:szCs w:val="28"/>
        </w:rPr>
        <w:t>Juliet Marlow</w:t>
      </w:r>
      <w:r w:rsidRPr="000A7C5F">
        <w:rPr>
          <w:szCs w:val="28"/>
        </w:rPr>
        <w:t xml:space="preserve"> died </w:t>
      </w:r>
      <w:r w:rsidR="00DE212F" w:rsidRPr="000A7C5F">
        <w:rPr>
          <w:szCs w:val="28"/>
        </w:rPr>
        <w:t xml:space="preserve">from neglect while in </w:t>
      </w:r>
      <w:r w:rsidRPr="000A7C5F">
        <w:rPr>
          <w:szCs w:val="28"/>
        </w:rPr>
        <w:t>their care in 2018</w:t>
      </w:r>
      <w:r w:rsidR="00DE212F" w:rsidRPr="000A7C5F">
        <w:rPr>
          <w:rStyle w:val="FootnoteReference"/>
          <w:szCs w:val="28"/>
        </w:rPr>
        <w:footnoteReference w:id="439"/>
      </w:r>
      <w:r w:rsidR="00DE212F" w:rsidRPr="000A7C5F">
        <w:rPr>
          <w:szCs w:val="28"/>
        </w:rPr>
        <w:t>.</w:t>
      </w:r>
      <w:r w:rsidR="00BF3065" w:rsidRPr="000A7C5F">
        <w:rPr>
          <w:szCs w:val="28"/>
        </w:rPr>
        <w:t xml:space="preserve"> 75 </w:t>
      </w:r>
      <w:r w:rsidR="001C5A62" w:rsidRPr="000A7C5F">
        <w:rPr>
          <w:szCs w:val="28"/>
        </w:rPr>
        <w:t>DDP</w:t>
      </w:r>
      <w:r w:rsidR="00BF3065" w:rsidRPr="000A7C5F">
        <w:rPr>
          <w:szCs w:val="28"/>
        </w:rPr>
        <w:t xml:space="preserve"> </w:t>
      </w:r>
      <w:r w:rsidRPr="000A7C5F">
        <w:rPr>
          <w:szCs w:val="28"/>
        </w:rPr>
        <w:t xml:space="preserve">have </w:t>
      </w:r>
      <w:r w:rsidR="00BF3065" w:rsidRPr="000A7C5F">
        <w:rPr>
          <w:szCs w:val="28"/>
        </w:rPr>
        <w:t xml:space="preserve">died in ATUs since 2015. </w:t>
      </w:r>
      <w:r w:rsidRPr="000A7C5F">
        <w:rPr>
          <w:szCs w:val="28"/>
        </w:rPr>
        <w:t>An</w:t>
      </w:r>
      <w:r w:rsidR="00BF3065" w:rsidRPr="000A7C5F">
        <w:rPr>
          <w:szCs w:val="28"/>
        </w:rPr>
        <w:t xml:space="preserve"> </w:t>
      </w:r>
      <w:r w:rsidRPr="000A7C5F">
        <w:rPr>
          <w:szCs w:val="28"/>
        </w:rPr>
        <w:t xml:space="preserve">independent </w:t>
      </w:r>
      <w:r w:rsidR="00BF3065" w:rsidRPr="000A7C5F">
        <w:rPr>
          <w:szCs w:val="28"/>
        </w:rPr>
        <w:t>review</w:t>
      </w:r>
      <w:r w:rsidRPr="000A7C5F">
        <w:rPr>
          <w:szCs w:val="28"/>
        </w:rPr>
        <w:t xml:space="preserve"> commissioned by NHS Midlands into </w:t>
      </w:r>
      <w:r w:rsidR="001C5A62" w:rsidRPr="000A7C5F">
        <w:rPr>
          <w:szCs w:val="28"/>
        </w:rPr>
        <w:t xml:space="preserve">one of these “potentially avoidable” deaths, that of </w:t>
      </w:r>
      <w:r w:rsidRPr="000A7C5F">
        <w:rPr>
          <w:szCs w:val="28"/>
        </w:rPr>
        <w:t xml:space="preserve">Clive Treacy, </w:t>
      </w:r>
      <w:r w:rsidR="00BF3065" w:rsidRPr="000A7C5F">
        <w:rPr>
          <w:szCs w:val="28"/>
        </w:rPr>
        <w:t xml:space="preserve">found </w:t>
      </w:r>
      <w:r w:rsidR="00927FCC" w:rsidRPr="000A7C5F">
        <w:rPr>
          <w:szCs w:val="28"/>
        </w:rPr>
        <w:t>t</w:t>
      </w:r>
      <w:r w:rsidR="00BF3065" w:rsidRPr="000A7C5F">
        <w:rPr>
          <w:szCs w:val="28"/>
        </w:rPr>
        <w:t xml:space="preserve">hat "system-wide failures" led Clive to experience "an </w:t>
      </w:r>
      <w:r w:rsidR="00BF3065" w:rsidRPr="000A7C5F">
        <w:rPr>
          <w:szCs w:val="28"/>
        </w:rPr>
        <w:lastRenderedPageBreak/>
        <w:t>unacceptably poor quality of life" and he was not "kept safe from harm." She recommend</w:t>
      </w:r>
      <w:r w:rsidR="0077725F" w:rsidRPr="000A7C5F">
        <w:rPr>
          <w:szCs w:val="28"/>
        </w:rPr>
        <w:t>ed</w:t>
      </w:r>
      <w:r w:rsidR="00BF3065" w:rsidRPr="000A7C5F">
        <w:rPr>
          <w:szCs w:val="28"/>
        </w:rPr>
        <w:t xml:space="preserve"> that “All the deaths should be re-looked at to ensure they have had proper scrutiny.”</w:t>
      </w:r>
      <w:r w:rsidR="00BF3065" w:rsidRPr="000A7C5F">
        <w:rPr>
          <w:rStyle w:val="FootnoteReference"/>
          <w:szCs w:val="28"/>
        </w:rPr>
        <w:footnoteReference w:id="440"/>
      </w:r>
      <w:r w:rsidR="00927FCC" w:rsidRPr="000A7C5F">
        <w:rPr>
          <w:szCs w:val="28"/>
        </w:rPr>
        <w:t xml:space="preserve"> In 2021, Essex NHS Mental Health Trust was fined 1.5 million pounds for a whole catalogue of failures in care over a long period which led to the deaths of 11 inpatients</w:t>
      </w:r>
      <w:r w:rsidR="00927FCC" w:rsidRPr="000A7C5F">
        <w:rPr>
          <w:rStyle w:val="FootnoteReference"/>
          <w:szCs w:val="28"/>
        </w:rPr>
        <w:footnoteReference w:id="441"/>
      </w:r>
    </w:p>
    <w:p w14:paraId="363E896E" w14:textId="77777777" w:rsidR="00927FCC" w:rsidRPr="000A7C5F" w:rsidRDefault="00927FCC" w:rsidP="00E739BB">
      <w:pPr>
        <w:pStyle w:val="ListParagraph"/>
        <w:rPr>
          <w:szCs w:val="28"/>
        </w:rPr>
      </w:pPr>
    </w:p>
    <w:p w14:paraId="2D5CA8F6" w14:textId="7004B84B" w:rsidR="00E3264F" w:rsidRPr="000A7C5F" w:rsidRDefault="001D0521" w:rsidP="00794060">
      <w:pPr>
        <w:pStyle w:val="ListParagraph"/>
        <w:numPr>
          <w:ilvl w:val="0"/>
          <w:numId w:val="3"/>
        </w:numPr>
        <w:ind w:left="851" w:hanging="851"/>
        <w:rPr>
          <w:szCs w:val="28"/>
        </w:rPr>
      </w:pPr>
      <w:bookmarkStart w:id="53" w:name="Para194"/>
      <w:bookmarkEnd w:id="53"/>
      <w:r w:rsidRPr="000A7C5F">
        <w:rPr>
          <w:szCs w:val="28"/>
        </w:rPr>
        <w:t xml:space="preserve">Official figures record that </w:t>
      </w:r>
      <w:r w:rsidR="00962FC3" w:rsidRPr="000A7C5F">
        <w:rPr>
          <w:szCs w:val="28"/>
        </w:rPr>
        <w:t>Disabled people accounted for 60% of COVID-related deaths</w:t>
      </w:r>
      <w:r w:rsidR="00962FC3" w:rsidRPr="000A7C5F">
        <w:rPr>
          <w:rStyle w:val="FootnoteReference"/>
          <w:szCs w:val="28"/>
        </w:rPr>
        <w:footnoteReference w:id="442"/>
      </w:r>
      <w:r w:rsidR="00E3264F" w:rsidRPr="000A7C5F">
        <w:rPr>
          <w:szCs w:val="28"/>
        </w:rPr>
        <w:t>.</w:t>
      </w:r>
      <w:r w:rsidRPr="000A7C5F">
        <w:rPr>
          <w:szCs w:val="28"/>
        </w:rPr>
        <w:t xml:space="preserve"> This is an under-estimate: due to inadequate data, the calculation had to be based on 2011 data when the population of DDP was lower</w:t>
      </w:r>
      <w:r w:rsidR="00D76856" w:rsidRPr="000A7C5F">
        <w:rPr>
          <w:szCs w:val="28"/>
        </w:rPr>
        <w:t>.</w:t>
      </w:r>
      <w:r w:rsidR="00E3264F" w:rsidRPr="000A7C5F">
        <w:rPr>
          <w:szCs w:val="28"/>
        </w:rPr>
        <w:t xml:space="preserve"> </w:t>
      </w:r>
      <w:r w:rsidR="002B722B" w:rsidRPr="000A7C5F">
        <w:rPr>
          <w:szCs w:val="28"/>
        </w:rPr>
        <w:t>Campaigners had to fight for mortality data of DDP to be published</w:t>
      </w:r>
      <w:r w:rsidR="00173B5B">
        <w:rPr>
          <w:szCs w:val="28"/>
        </w:rPr>
        <w:t xml:space="preserve">. </w:t>
      </w:r>
      <w:r w:rsidR="00173B5B" w:rsidRPr="000A7C5F">
        <w:rPr>
          <w:i/>
          <w:iCs/>
          <w:szCs w:val="28"/>
        </w:rPr>
        <w:t>The Every Death Counts</w:t>
      </w:r>
      <w:r w:rsidR="00173B5B" w:rsidRPr="000A7C5F">
        <w:rPr>
          <w:szCs w:val="28"/>
        </w:rPr>
        <w:t xml:space="preserve"> campaign raised funding to threaten </w:t>
      </w:r>
      <w:proofErr w:type="spellStart"/>
      <w:r w:rsidR="00173B5B" w:rsidRPr="000A7C5F">
        <w:rPr>
          <w:szCs w:val="28"/>
        </w:rPr>
        <w:t>WeG</w:t>
      </w:r>
      <w:proofErr w:type="spellEnd"/>
      <w:r w:rsidR="00173B5B" w:rsidRPr="000A7C5F">
        <w:rPr>
          <w:szCs w:val="28"/>
        </w:rPr>
        <w:t xml:space="preserve"> with a legal challenge over failure to publish mortality data of people with learning difficulties</w:t>
      </w:r>
      <w:r w:rsidR="002B722B" w:rsidRPr="000A7C5F">
        <w:rPr>
          <w:rStyle w:val="FootnoteReference"/>
          <w:szCs w:val="28"/>
        </w:rPr>
        <w:footnoteReference w:id="443"/>
      </w:r>
      <w:r w:rsidR="002B722B" w:rsidRPr="000A7C5F">
        <w:rPr>
          <w:szCs w:val="28"/>
        </w:rPr>
        <w:t xml:space="preserve">. </w:t>
      </w:r>
      <w:r w:rsidR="00E3264F" w:rsidRPr="000A7C5F">
        <w:rPr>
          <w:szCs w:val="28"/>
        </w:rPr>
        <w:t>Mortality rates were higher for certain groups of DDP. For example, younger people with learning difficulties were up to 30 times more likely to die of COVID than their non-</w:t>
      </w:r>
      <w:r w:rsidR="00147A89" w:rsidRPr="000A7C5F">
        <w:rPr>
          <w:szCs w:val="28"/>
        </w:rPr>
        <w:t>D</w:t>
      </w:r>
      <w:r w:rsidR="00E3264F" w:rsidRPr="000A7C5F">
        <w:rPr>
          <w:szCs w:val="28"/>
        </w:rPr>
        <w:t xml:space="preserve">isabled </w:t>
      </w:r>
      <w:r w:rsidR="00E3264F" w:rsidRPr="000A7C5F">
        <w:rPr>
          <w:szCs w:val="28"/>
        </w:rPr>
        <w:lastRenderedPageBreak/>
        <w:t>peers</w:t>
      </w:r>
      <w:r w:rsidR="00E3264F" w:rsidRPr="000A7C5F">
        <w:rPr>
          <w:rStyle w:val="FootnoteReference"/>
          <w:szCs w:val="28"/>
        </w:rPr>
        <w:footnoteReference w:id="444"/>
      </w:r>
      <w:r w:rsidR="00E3264F" w:rsidRPr="000A7C5F">
        <w:rPr>
          <w:szCs w:val="28"/>
        </w:rPr>
        <w:t>. Mortality rates of those treated under the Mental Health Act 1983 rose significantly during the pandemic</w:t>
      </w:r>
      <w:r w:rsidR="00E3264F" w:rsidRPr="000A7C5F">
        <w:rPr>
          <w:rStyle w:val="FootnoteReference"/>
          <w:szCs w:val="28"/>
        </w:rPr>
        <w:footnoteReference w:id="445"/>
      </w:r>
      <w:r w:rsidR="00D76856" w:rsidRPr="000A7C5F">
        <w:rPr>
          <w:szCs w:val="28"/>
        </w:rPr>
        <w:t xml:space="preserve"> </w:t>
      </w:r>
      <w:r w:rsidR="00E3264F" w:rsidRPr="000A7C5F">
        <w:rPr>
          <w:rStyle w:val="FootnoteReference"/>
          <w:szCs w:val="28"/>
        </w:rPr>
        <w:footnoteReference w:id="446"/>
      </w:r>
      <w:r w:rsidR="00D76856" w:rsidRPr="000A7C5F">
        <w:rPr>
          <w:szCs w:val="28"/>
        </w:rPr>
        <w:t>.</w:t>
      </w:r>
      <w:r w:rsidR="00E3264F" w:rsidRPr="000A7C5F">
        <w:rPr>
          <w:szCs w:val="28"/>
        </w:rPr>
        <w:t xml:space="preserve">  </w:t>
      </w:r>
    </w:p>
    <w:p w14:paraId="6E39FA3F" w14:textId="77777777" w:rsidR="00E3264F" w:rsidRPr="000A7C5F" w:rsidRDefault="00E3264F" w:rsidP="001E1D19">
      <w:pPr>
        <w:pStyle w:val="ListParagraph"/>
        <w:ind w:left="851" w:hanging="851"/>
        <w:rPr>
          <w:szCs w:val="28"/>
        </w:rPr>
      </w:pPr>
    </w:p>
    <w:p w14:paraId="7D482763" w14:textId="4120249D" w:rsidR="00962FC3" w:rsidRPr="000A7C5F" w:rsidRDefault="002B722B" w:rsidP="00794060">
      <w:pPr>
        <w:pStyle w:val="ListParagraph"/>
        <w:numPr>
          <w:ilvl w:val="0"/>
          <w:numId w:val="3"/>
        </w:numPr>
        <w:ind w:left="851" w:hanging="851"/>
        <w:rPr>
          <w:szCs w:val="28"/>
        </w:rPr>
      </w:pPr>
      <w:r w:rsidRPr="000A7C5F">
        <w:rPr>
          <w:szCs w:val="28"/>
        </w:rPr>
        <w:t>Media attention and official responses linked disproportionate deaths of DDP to underlying health conditions and messaging gave the impression of a distinction between these deaths and those of non-Disabled people. T</w:t>
      </w:r>
      <w:r w:rsidR="00962FC3" w:rsidRPr="000A7C5F">
        <w:rPr>
          <w:szCs w:val="28"/>
        </w:rPr>
        <w:t>here was no public or political outcry against th</w:t>
      </w:r>
      <w:r w:rsidRPr="000A7C5F">
        <w:rPr>
          <w:szCs w:val="28"/>
        </w:rPr>
        <w:t>e</w:t>
      </w:r>
      <w:r w:rsidR="00962FC3" w:rsidRPr="000A7C5F">
        <w:rPr>
          <w:szCs w:val="28"/>
        </w:rPr>
        <w:t xml:space="preserve"> disproportiona</w:t>
      </w:r>
      <w:r w:rsidR="00E3264F" w:rsidRPr="000A7C5F">
        <w:rPr>
          <w:szCs w:val="28"/>
        </w:rPr>
        <w:t xml:space="preserve">te </w:t>
      </w:r>
      <w:r w:rsidRPr="000A7C5F">
        <w:rPr>
          <w:szCs w:val="28"/>
        </w:rPr>
        <w:t xml:space="preserve">mortality statistics for </w:t>
      </w:r>
      <w:r w:rsidR="00E3264F" w:rsidRPr="000A7C5F">
        <w:rPr>
          <w:szCs w:val="28"/>
        </w:rPr>
        <w:t>DDP</w:t>
      </w:r>
      <w:r w:rsidR="00962FC3" w:rsidRPr="000A7C5F">
        <w:rPr>
          <w:szCs w:val="28"/>
        </w:rPr>
        <w:t xml:space="preserve">. A blog post on The Health Foundation website comments: </w:t>
      </w:r>
    </w:p>
    <w:p w14:paraId="2162A34F" w14:textId="3A2987D5" w:rsidR="00034253" w:rsidRPr="00F40E2F" w:rsidRDefault="00962FC3" w:rsidP="00F40E2F">
      <w:pPr>
        <w:ind w:left="1440"/>
      </w:pPr>
      <w:r w:rsidRPr="000A7C5F">
        <w:t>“There has been a surprising absence of analysis of the reasons for this particular inequality… The category of ‘underlying health conditions’ has been used prominently, including in press briefings and analysis, with little reference to ‘disability’… Explaining deaths in terms of underlying health conditions omits reference to co-occurring risk factors”</w:t>
      </w:r>
      <w:r w:rsidRPr="000A7C5F">
        <w:rPr>
          <w:rStyle w:val="FootnoteReference"/>
          <w:szCs w:val="28"/>
        </w:rPr>
        <w:footnoteReference w:id="447"/>
      </w:r>
    </w:p>
    <w:p w14:paraId="07E0F063" w14:textId="3896D152" w:rsidR="00034253" w:rsidRPr="000A7C5F" w:rsidRDefault="00537751" w:rsidP="00794060">
      <w:pPr>
        <w:pStyle w:val="ListParagraph"/>
        <w:numPr>
          <w:ilvl w:val="0"/>
          <w:numId w:val="3"/>
        </w:numPr>
        <w:ind w:left="851" w:hanging="851"/>
        <w:rPr>
          <w:szCs w:val="28"/>
        </w:rPr>
      </w:pPr>
      <w:r w:rsidRPr="000A7C5F">
        <w:rPr>
          <w:szCs w:val="28"/>
        </w:rPr>
        <w:t xml:space="preserve">DDP were much more likely to die from COVID-19 even after taking </w:t>
      </w:r>
      <w:r w:rsidR="002B722B" w:rsidRPr="000A7C5F">
        <w:rPr>
          <w:szCs w:val="28"/>
        </w:rPr>
        <w:t xml:space="preserve">into account factors such </w:t>
      </w:r>
      <w:r w:rsidRPr="000A7C5F">
        <w:rPr>
          <w:szCs w:val="28"/>
        </w:rPr>
        <w:t xml:space="preserve">as </w:t>
      </w:r>
      <w:r w:rsidR="002B722B" w:rsidRPr="000A7C5F">
        <w:rPr>
          <w:szCs w:val="28"/>
        </w:rPr>
        <w:t xml:space="preserve">age, </w:t>
      </w:r>
      <w:r w:rsidRPr="000A7C5F">
        <w:rPr>
          <w:szCs w:val="28"/>
        </w:rPr>
        <w:t>underlying health conditions</w:t>
      </w:r>
      <w:r w:rsidR="002B722B" w:rsidRPr="000A7C5F">
        <w:rPr>
          <w:szCs w:val="28"/>
        </w:rPr>
        <w:t>, poverty and risk through living in care homes</w:t>
      </w:r>
      <w:r w:rsidRPr="000A7C5F">
        <w:rPr>
          <w:szCs w:val="28"/>
        </w:rPr>
        <w:t xml:space="preserve">. </w:t>
      </w:r>
      <w:r w:rsidR="0014605B" w:rsidRPr="000A7C5F">
        <w:rPr>
          <w:szCs w:val="28"/>
        </w:rPr>
        <w:t>Once these factors are accounted for, w</w:t>
      </w:r>
      <w:r w:rsidR="00AC72DE" w:rsidRPr="000A7C5F">
        <w:rPr>
          <w:szCs w:val="28"/>
        </w:rPr>
        <w:t xml:space="preserve">orking-age </w:t>
      </w:r>
      <w:r w:rsidR="004B1871" w:rsidRPr="000A7C5F">
        <w:rPr>
          <w:szCs w:val="28"/>
        </w:rPr>
        <w:t>D</w:t>
      </w:r>
      <w:r w:rsidR="00AC72DE" w:rsidRPr="000A7C5F">
        <w:rPr>
          <w:szCs w:val="28"/>
        </w:rPr>
        <w:t xml:space="preserve">isabled women with </w:t>
      </w:r>
      <w:r w:rsidR="00AC72DE" w:rsidRPr="000A7C5F">
        <w:rPr>
          <w:szCs w:val="28"/>
        </w:rPr>
        <w:lastRenderedPageBreak/>
        <w:t>higher support needs have been about 90 per cent more likely to die from COVID than non-</w:t>
      </w:r>
      <w:r w:rsidR="00147A89" w:rsidRPr="000A7C5F">
        <w:rPr>
          <w:szCs w:val="28"/>
        </w:rPr>
        <w:t>D</w:t>
      </w:r>
      <w:r w:rsidR="00AC72DE" w:rsidRPr="000A7C5F">
        <w:rPr>
          <w:szCs w:val="28"/>
        </w:rPr>
        <w:t>isabled women of the same age</w:t>
      </w:r>
      <w:r w:rsidR="0014605B" w:rsidRPr="000A7C5F">
        <w:rPr>
          <w:szCs w:val="28"/>
        </w:rPr>
        <w:t xml:space="preserve"> and more-disabled men in the same age group were 74 per cent more likely to have died from COVID-19 than non-</w:t>
      </w:r>
      <w:r w:rsidR="00147A89" w:rsidRPr="000A7C5F">
        <w:rPr>
          <w:szCs w:val="28"/>
        </w:rPr>
        <w:t>D</w:t>
      </w:r>
      <w:r w:rsidR="0014605B" w:rsidRPr="000A7C5F">
        <w:rPr>
          <w:szCs w:val="28"/>
        </w:rPr>
        <w:t>isabled men in the same age bracket</w:t>
      </w:r>
      <w:r w:rsidR="00762FF5" w:rsidRPr="000A7C5F">
        <w:rPr>
          <w:rStyle w:val="FootnoteReference"/>
          <w:szCs w:val="28"/>
        </w:rPr>
        <w:footnoteReference w:id="448"/>
      </w:r>
      <w:r w:rsidR="00AC72DE" w:rsidRPr="000A7C5F">
        <w:rPr>
          <w:szCs w:val="28"/>
        </w:rPr>
        <w:t>.</w:t>
      </w:r>
      <w:r w:rsidRPr="000A7C5F">
        <w:rPr>
          <w:szCs w:val="28"/>
        </w:rPr>
        <w:t xml:space="preserve"> The remaining factor that can explain this discrepancy is unequal access to </w:t>
      </w:r>
      <w:r w:rsidR="0007479C" w:rsidRPr="000A7C5F">
        <w:rPr>
          <w:szCs w:val="28"/>
        </w:rPr>
        <w:t>healthcare and life-saving treatment</w:t>
      </w:r>
      <w:r w:rsidRPr="000A7C5F">
        <w:rPr>
          <w:szCs w:val="28"/>
        </w:rPr>
        <w:t xml:space="preserve">. </w:t>
      </w:r>
    </w:p>
    <w:p w14:paraId="5B72C461" w14:textId="77777777" w:rsidR="00034253" w:rsidRPr="000A7C5F" w:rsidRDefault="00034253" w:rsidP="001E1D19">
      <w:pPr>
        <w:pStyle w:val="ListParagraph"/>
        <w:ind w:left="851" w:hanging="851"/>
        <w:rPr>
          <w:szCs w:val="28"/>
        </w:rPr>
      </w:pPr>
    </w:p>
    <w:p w14:paraId="451E6B2A" w14:textId="7A68088C" w:rsidR="004E23E5" w:rsidRPr="000A7C5F" w:rsidRDefault="00B165F3" w:rsidP="00794060">
      <w:pPr>
        <w:pStyle w:val="ListParagraph"/>
        <w:numPr>
          <w:ilvl w:val="0"/>
          <w:numId w:val="3"/>
        </w:numPr>
        <w:ind w:left="851" w:hanging="851"/>
        <w:rPr>
          <w:szCs w:val="28"/>
        </w:rPr>
      </w:pPr>
      <w:r w:rsidRPr="000A7C5F">
        <w:rPr>
          <w:szCs w:val="28"/>
        </w:rPr>
        <w:t xml:space="preserve">Political </w:t>
      </w:r>
      <w:r w:rsidR="0007479C" w:rsidRPr="000A7C5F">
        <w:rPr>
          <w:szCs w:val="28"/>
        </w:rPr>
        <w:t>decisions regarding handling of the pandemic determined DDP’s chances of survival.</w:t>
      </w:r>
      <w:r w:rsidR="00A50A7E" w:rsidRPr="000A7C5F">
        <w:rPr>
          <w:szCs w:val="28"/>
        </w:rPr>
        <w:t xml:space="preserve"> Had </w:t>
      </w:r>
      <w:proofErr w:type="spellStart"/>
      <w:r w:rsidR="009037D2" w:rsidRPr="000A7C5F">
        <w:rPr>
          <w:szCs w:val="28"/>
        </w:rPr>
        <w:t>WeG</w:t>
      </w:r>
      <w:proofErr w:type="spellEnd"/>
      <w:r w:rsidR="00A50A7E" w:rsidRPr="000A7C5F">
        <w:rPr>
          <w:szCs w:val="28"/>
        </w:rPr>
        <w:t xml:space="preserve"> locked down earlier in the first wave of the pandemic, lives could have been saved</w:t>
      </w:r>
      <w:r w:rsidR="005602D1" w:rsidRPr="000A7C5F">
        <w:rPr>
          <w:rStyle w:val="FootnoteReference"/>
          <w:szCs w:val="28"/>
        </w:rPr>
        <w:footnoteReference w:id="449"/>
      </w:r>
      <w:r w:rsidR="00A50A7E" w:rsidRPr="000A7C5F">
        <w:rPr>
          <w:szCs w:val="28"/>
        </w:rPr>
        <w:t xml:space="preserve">. </w:t>
      </w:r>
      <w:r w:rsidR="004B1871" w:rsidRPr="000A7C5F">
        <w:rPr>
          <w:szCs w:val="28"/>
        </w:rPr>
        <w:t>The Prime Minister was accused of saying he would rather “let the bodies pile high” than impose a third lockdown</w:t>
      </w:r>
      <w:r w:rsidR="004B1871" w:rsidRPr="000A7C5F">
        <w:rPr>
          <w:rStyle w:val="FootnoteReference"/>
          <w:szCs w:val="28"/>
        </w:rPr>
        <w:footnoteReference w:id="450"/>
      </w:r>
      <w:r w:rsidR="004B1871" w:rsidRPr="000A7C5F">
        <w:rPr>
          <w:szCs w:val="28"/>
        </w:rPr>
        <w:t xml:space="preserve">. </w:t>
      </w:r>
      <w:r w:rsidR="00A50A7E" w:rsidRPr="000A7C5F">
        <w:rPr>
          <w:szCs w:val="28"/>
        </w:rPr>
        <w:t xml:space="preserve">Public debate presented a </w:t>
      </w:r>
      <w:r w:rsidR="00063DCF" w:rsidRPr="000A7C5F">
        <w:rPr>
          <w:szCs w:val="28"/>
        </w:rPr>
        <w:t xml:space="preserve">false </w:t>
      </w:r>
      <w:r w:rsidR="00A50A7E" w:rsidRPr="000A7C5F">
        <w:rPr>
          <w:szCs w:val="28"/>
        </w:rPr>
        <w:t xml:space="preserve">binary between the lives of “the vulnerable” and the economy and welfare of the majority of the population. </w:t>
      </w:r>
      <w:r w:rsidR="004B1871" w:rsidRPr="000A7C5F">
        <w:rPr>
          <w:szCs w:val="28"/>
        </w:rPr>
        <w:t>H</w:t>
      </w:r>
      <w:r w:rsidR="00063DCF" w:rsidRPr="000A7C5F">
        <w:rPr>
          <w:szCs w:val="28"/>
        </w:rPr>
        <w:t>ostility towards DDP rose during the pandemic</w:t>
      </w:r>
      <w:r w:rsidR="004B1871" w:rsidRPr="000A7C5F">
        <w:rPr>
          <w:szCs w:val="28"/>
        </w:rPr>
        <w:t>. DDP felt scapegoated</w:t>
      </w:r>
      <w:r w:rsidR="00173B5B">
        <w:rPr>
          <w:szCs w:val="28"/>
        </w:rPr>
        <w:t xml:space="preserve"> </w:t>
      </w:r>
      <w:r w:rsidR="00173B5B" w:rsidRPr="00173B5B">
        <w:rPr>
          <w:szCs w:val="28"/>
        </w:rPr>
        <w:t>and that their lives are viewed as expendable</w:t>
      </w:r>
      <w:r w:rsidR="002F48B4" w:rsidRPr="000A7C5F">
        <w:rPr>
          <w:rStyle w:val="FootnoteReference"/>
          <w:szCs w:val="28"/>
        </w:rPr>
        <w:footnoteReference w:id="451"/>
      </w:r>
      <w:r w:rsidR="00063DCF" w:rsidRPr="000A7C5F">
        <w:rPr>
          <w:szCs w:val="28"/>
        </w:rPr>
        <w:t>.</w:t>
      </w:r>
    </w:p>
    <w:p w14:paraId="36C946F1" w14:textId="77777777" w:rsidR="004E23E5" w:rsidRPr="000A7C5F" w:rsidRDefault="004E23E5" w:rsidP="00E739BB">
      <w:pPr>
        <w:pStyle w:val="ListParagraph"/>
        <w:ind w:left="735"/>
        <w:rPr>
          <w:szCs w:val="28"/>
        </w:rPr>
      </w:pPr>
    </w:p>
    <w:p w14:paraId="1EFBA333" w14:textId="45CF376C" w:rsidR="004E23E5" w:rsidRPr="000A7C5F" w:rsidRDefault="00971FF3" w:rsidP="00794060">
      <w:pPr>
        <w:pStyle w:val="ListParagraph"/>
        <w:numPr>
          <w:ilvl w:val="0"/>
          <w:numId w:val="3"/>
        </w:numPr>
        <w:ind w:left="851" w:hanging="851"/>
        <w:rPr>
          <w:szCs w:val="28"/>
        </w:rPr>
      </w:pPr>
      <w:r w:rsidRPr="000A7C5F">
        <w:rPr>
          <w:szCs w:val="28"/>
        </w:rPr>
        <w:lastRenderedPageBreak/>
        <w:t>P</w:t>
      </w:r>
      <w:r w:rsidR="0007479C" w:rsidRPr="000A7C5F">
        <w:rPr>
          <w:szCs w:val="28"/>
        </w:rPr>
        <w:t xml:space="preserve">atients </w:t>
      </w:r>
      <w:r w:rsidRPr="000A7C5F">
        <w:rPr>
          <w:szCs w:val="28"/>
        </w:rPr>
        <w:t xml:space="preserve">with COVID </w:t>
      </w:r>
      <w:r w:rsidR="0007479C" w:rsidRPr="000A7C5F">
        <w:rPr>
          <w:szCs w:val="28"/>
        </w:rPr>
        <w:t xml:space="preserve">were discharged into care homes to free up NHS beds </w:t>
      </w:r>
      <w:r w:rsidRPr="000A7C5F">
        <w:rPr>
          <w:szCs w:val="28"/>
        </w:rPr>
        <w:t>in the first few weeks of the pandemic</w:t>
      </w:r>
      <w:r w:rsidR="0007479C" w:rsidRPr="000A7C5F">
        <w:rPr>
          <w:szCs w:val="28"/>
        </w:rPr>
        <w:t>.</w:t>
      </w:r>
      <w:r w:rsidRPr="000A7C5F">
        <w:rPr>
          <w:szCs w:val="28"/>
        </w:rPr>
        <w:t xml:space="preserve"> Testing was not implemented until 15 April 2020.</w:t>
      </w:r>
      <w:r w:rsidR="0007479C" w:rsidRPr="000A7C5F">
        <w:rPr>
          <w:szCs w:val="28"/>
        </w:rPr>
        <w:t xml:space="preserve"> </w:t>
      </w:r>
      <w:proofErr w:type="spellStart"/>
      <w:r w:rsidR="009037D2" w:rsidRPr="000A7C5F">
        <w:rPr>
          <w:szCs w:val="28"/>
        </w:rPr>
        <w:t>WeG</w:t>
      </w:r>
      <w:proofErr w:type="spellEnd"/>
      <w:r w:rsidR="0007479C" w:rsidRPr="000A7C5F">
        <w:rPr>
          <w:szCs w:val="28"/>
        </w:rPr>
        <w:t xml:space="preserve"> has admitted this policy may have directly led to subsequent deaths</w:t>
      </w:r>
      <w:r w:rsidR="00E05481" w:rsidRPr="000A7C5F">
        <w:rPr>
          <w:szCs w:val="28"/>
        </w:rPr>
        <w:t>, as confirmed by a PHE report, but experts say that official figures “underestimate” deaths caused by discharging patients into care homes</w:t>
      </w:r>
      <w:r w:rsidR="00E05481" w:rsidRPr="000A7C5F">
        <w:rPr>
          <w:rStyle w:val="FootnoteReference"/>
          <w:szCs w:val="28"/>
        </w:rPr>
        <w:footnoteReference w:id="452"/>
      </w:r>
      <w:r w:rsidR="00E05481" w:rsidRPr="000A7C5F">
        <w:rPr>
          <w:szCs w:val="28"/>
        </w:rPr>
        <w:t xml:space="preserve">. </w:t>
      </w:r>
      <w:r w:rsidRPr="000A7C5F">
        <w:rPr>
          <w:szCs w:val="28"/>
        </w:rPr>
        <w:t xml:space="preserve">According to official figures, </w:t>
      </w:r>
      <w:r w:rsidR="00D05DA9" w:rsidRPr="000A7C5F">
        <w:rPr>
          <w:szCs w:val="28"/>
        </w:rPr>
        <w:t>39,017 people died in care homes in England</w:t>
      </w:r>
      <w:r w:rsidRPr="000A7C5F">
        <w:rPr>
          <w:szCs w:val="28"/>
        </w:rPr>
        <w:t xml:space="preserve"> between 10 April 2020 and 31 March 2021</w:t>
      </w:r>
      <w:r w:rsidR="00A455A1" w:rsidRPr="000A7C5F">
        <w:rPr>
          <w:rStyle w:val="FootnoteReference"/>
          <w:szCs w:val="28"/>
        </w:rPr>
        <w:footnoteReference w:id="453"/>
      </w:r>
      <w:r w:rsidR="00D05DA9" w:rsidRPr="000A7C5F">
        <w:rPr>
          <w:szCs w:val="28"/>
        </w:rPr>
        <w:t>.</w:t>
      </w:r>
      <w:r w:rsidRPr="000A7C5F">
        <w:rPr>
          <w:szCs w:val="28"/>
        </w:rPr>
        <w:t xml:space="preserve"> It is estimated that over 4,000 additional deaths occurred before 10 April</w:t>
      </w:r>
      <w:r w:rsidRPr="000A7C5F">
        <w:rPr>
          <w:rStyle w:val="FootnoteReference"/>
          <w:szCs w:val="28"/>
        </w:rPr>
        <w:footnoteReference w:id="454"/>
      </w:r>
      <w:r w:rsidRPr="000A7C5F">
        <w:rPr>
          <w:szCs w:val="28"/>
        </w:rPr>
        <w:t>.</w:t>
      </w:r>
      <w:r w:rsidR="00D05DA9" w:rsidRPr="000A7C5F">
        <w:rPr>
          <w:szCs w:val="28"/>
        </w:rPr>
        <w:t xml:space="preserve"> </w:t>
      </w:r>
      <w:r w:rsidR="004D3789" w:rsidRPr="000A7C5F">
        <w:rPr>
          <w:szCs w:val="28"/>
        </w:rPr>
        <w:t xml:space="preserve"> A Parliamentary Committee inquiry found that “The Government and the NHS both failed adequately to recognise the significant risks to the social care sector at the beginning of the pandemic</w:t>
      </w:r>
      <w:r w:rsidR="00505AF9" w:rsidRPr="000A7C5F">
        <w:rPr>
          <w:szCs w:val="28"/>
        </w:rPr>
        <w:t>” which “had devastating and preventable repercussions for people receiving care and their families and put staff providing social care at risk” and “led to many thousands of deaths which could have been avoided”</w:t>
      </w:r>
      <w:r w:rsidR="00505AF9" w:rsidRPr="000A7C5F">
        <w:rPr>
          <w:rStyle w:val="FootnoteReference"/>
          <w:szCs w:val="28"/>
        </w:rPr>
        <w:footnoteReference w:id="455"/>
      </w:r>
      <w:r w:rsidR="00505AF9" w:rsidRPr="000A7C5F">
        <w:rPr>
          <w:szCs w:val="28"/>
        </w:rPr>
        <w:t>.</w:t>
      </w:r>
    </w:p>
    <w:p w14:paraId="36B093E0" w14:textId="77777777" w:rsidR="004E23E5" w:rsidRPr="000A7C5F" w:rsidRDefault="004E23E5" w:rsidP="00E739BB">
      <w:pPr>
        <w:pStyle w:val="ListParagraph"/>
        <w:rPr>
          <w:szCs w:val="28"/>
        </w:rPr>
      </w:pPr>
    </w:p>
    <w:p w14:paraId="30F1977C" w14:textId="77777777" w:rsidR="004E23E5" w:rsidRPr="000A7C5F" w:rsidRDefault="00A50A7E" w:rsidP="00794060">
      <w:pPr>
        <w:pStyle w:val="ListParagraph"/>
        <w:numPr>
          <w:ilvl w:val="0"/>
          <w:numId w:val="3"/>
        </w:numPr>
        <w:ind w:left="851" w:hanging="851"/>
        <w:rPr>
          <w:szCs w:val="28"/>
        </w:rPr>
      </w:pPr>
      <w:r w:rsidRPr="000A7C5F">
        <w:rPr>
          <w:szCs w:val="28"/>
        </w:rPr>
        <w:lastRenderedPageBreak/>
        <w:t>Treatment rationing</w:t>
      </w:r>
      <w:r w:rsidR="002F48B4" w:rsidRPr="000A7C5F">
        <w:rPr>
          <w:szCs w:val="28"/>
        </w:rPr>
        <w:t xml:space="preserve"> guidance used at times when the NHS is over-stretched discriminates against DDP.</w:t>
      </w:r>
      <w:r w:rsidR="00DE2E6F" w:rsidRPr="000A7C5F">
        <w:rPr>
          <w:szCs w:val="28"/>
        </w:rPr>
        <w:t xml:space="preserve"> </w:t>
      </w:r>
      <w:r w:rsidR="00127CC2" w:rsidRPr="000A7C5F">
        <w:rPr>
          <w:szCs w:val="28"/>
        </w:rPr>
        <w:t>A Parlia</w:t>
      </w:r>
      <w:r w:rsidR="00505AF9" w:rsidRPr="000A7C5F">
        <w:rPr>
          <w:szCs w:val="28"/>
        </w:rPr>
        <w:t>m</w:t>
      </w:r>
      <w:r w:rsidR="00127CC2" w:rsidRPr="000A7C5F">
        <w:rPr>
          <w:szCs w:val="28"/>
        </w:rPr>
        <w:t xml:space="preserve">entary Committee </w:t>
      </w:r>
      <w:r w:rsidR="005F3BA1" w:rsidRPr="000A7C5F">
        <w:rPr>
          <w:szCs w:val="28"/>
        </w:rPr>
        <w:t xml:space="preserve">on Human Rights </w:t>
      </w:r>
      <w:r w:rsidR="00127CC2" w:rsidRPr="000A7C5F">
        <w:rPr>
          <w:szCs w:val="28"/>
        </w:rPr>
        <w:t xml:space="preserve">found that: </w:t>
      </w:r>
      <w:r w:rsidR="005F3BA1" w:rsidRPr="000A7C5F">
        <w:rPr>
          <w:szCs w:val="28"/>
        </w:rPr>
        <w:t>“decision-making relating to admission to hospital, in particular critical care, for adults with COVID-19 has discriminated against older and disabled people”</w:t>
      </w:r>
      <w:r w:rsidR="005F3BA1" w:rsidRPr="000A7C5F">
        <w:rPr>
          <w:rStyle w:val="FootnoteReference"/>
          <w:szCs w:val="28"/>
        </w:rPr>
        <w:footnoteReference w:id="456"/>
      </w:r>
      <w:r w:rsidR="005F3BA1" w:rsidRPr="000A7C5F">
        <w:rPr>
          <w:szCs w:val="28"/>
        </w:rPr>
        <w:t>.</w:t>
      </w:r>
    </w:p>
    <w:p w14:paraId="3F4D2A91" w14:textId="77777777" w:rsidR="004E23E5" w:rsidRPr="000A7C5F" w:rsidRDefault="004E23E5" w:rsidP="001E1D19">
      <w:pPr>
        <w:pStyle w:val="ListParagraph"/>
        <w:ind w:left="851" w:hanging="851"/>
        <w:rPr>
          <w:szCs w:val="28"/>
        </w:rPr>
      </w:pPr>
    </w:p>
    <w:p w14:paraId="0E35FA09" w14:textId="02B1C6BB" w:rsidR="004E23E5" w:rsidRPr="000A7C5F" w:rsidRDefault="00127CC2" w:rsidP="00794060">
      <w:pPr>
        <w:pStyle w:val="ListParagraph"/>
        <w:numPr>
          <w:ilvl w:val="0"/>
          <w:numId w:val="3"/>
        </w:numPr>
        <w:ind w:left="851" w:hanging="851"/>
        <w:rPr>
          <w:szCs w:val="28"/>
        </w:rPr>
      </w:pPr>
      <w:r w:rsidRPr="000A7C5F">
        <w:rPr>
          <w:szCs w:val="28"/>
        </w:rPr>
        <w:t xml:space="preserve">In March 2020, campaigners secured a revision of the “rapid COVID-19 critical care guideline” produced by the National Institute for Clinical Excellence (NICE). The guideline originally stated that all adults on admission to hospital, irrespective of COVID-19 status, should be assessed for frailty using the Clinical Frailty Scale (CFS) and that comorbidities and underlying health conditions should be considered. </w:t>
      </w:r>
      <w:r w:rsidR="004B1871" w:rsidRPr="000A7C5F">
        <w:rPr>
          <w:szCs w:val="28"/>
        </w:rPr>
        <w:t>Under</w:t>
      </w:r>
      <w:r w:rsidRPr="000A7C5F">
        <w:rPr>
          <w:szCs w:val="28"/>
        </w:rPr>
        <w:t xml:space="preserve"> threat of legal action, NICE updated its guidelines on 25 March to emphasise the need to consider additional patient factors when interpreting the CFS score</w:t>
      </w:r>
      <w:r w:rsidR="005F3BA1" w:rsidRPr="000A7C5F">
        <w:rPr>
          <w:rStyle w:val="FootnoteReference"/>
          <w:szCs w:val="28"/>
        </w:rPr>
        <w:footnoteReference w:id="457"/>
      </w:r>
      <w:r w:rsidRPr="000A7C5F">
        <w:rPr>
          <w:szCs w:val="28"/>
        </w:rPr>
        <w:t xml:space="preserve">. </w:t>
      </w:r>
    </w:p>
    <w:p w14:paraId="47C5F2E7" w14:textId="77777777" w:rsidR="004E23E5" w:rsidRPr="000A7C5F" w:rsidRDefault="004E23E5" w:rsidP="00E739BB">
      <w:pPr>
        <w:pStyle w:val="ListParagraph"/>
        <w:rPr>
          <w:szCs w:val="28"/>
        </w:rPr>
      </w:pPr>
    </w:p>
    <w:p w14:paraId="6A461B6B" w14:textId="1C275FF4" w:rsidR="004E23E5" w:rsidRPr="000A7C5F" w:rsidRDefault="00127CC2" w:rsidP="00794060">
      <w:pPr>
        <w:pStyle w:val="ListParagraph"/>
        <w:numPr>
          <w:ilvl w:val="0"/>
          <w:numId w:val="3"/>
        </w:numPr>
        <w:ind w:left="851" w:hanging="851"/>
        <w:rPr>
          <w:szCs w:val="28"/>
        </w:rPr>
      </w:pPr>
      <w:r w:rsidRPr="000A7C5F">
        <w:rPr>
          <w:szCs w:val="28"/>
        </w:rPr>
        <w:t xml:space="preserve">This was far short of the reassurance that campaigners were seeking and left </w:t>
      </w:r>
      <w:r w:rsidR="00A62015" w:rsidRPr="000A7C5F">
        <w:rPr>
          <w:szCs w:val="28"/>
        </w:rPr>
        <w:t>DDP</w:t>
      </w:r>
      <w:r w:rsidRPr="000A7C5F">
        <w:rPr>
          <w:szCs w:val="28"/>
        </w:rPr>
        <w:t xml:space="preserve"> completing homemade “hospital passports”</w:t>
      </w:r>
      <w:r w:rsidR="00A62015" w:rsidRPr="000A7C5F">
        <w:rPr>
          <w:szCs w:val="28"/>
        </w:rPr>
        <w:t xml:space="preserve"> from templates supplied by DDPOs</w:t>
      </w:r>
      <w:r w:rsidR="00A62015" w:rsidRPr="000A7C5F">
        <w:rPr>
          <w:rStyle w:val="FootnoteReference"/>
          <w:szCs w:val="28"/>
        </w:rPr>
        <w:footnoteReference w:id="458"/>
      </w:r>
      <w:r w:rsidRPr="000A7C5F">
        <w:rPr>
          <w:szCs w:val="28"/>
        </w:rPr>
        <w:t xml:space="preserve">. These documents </w:t>
      </w:r>
      <w:r w:rsidRPr="000A7C5F">
        <w:rPr>
          <w:szCs w:val="28"/>
        </w:rPr>
        <w:lastRenderedPageBreak/>
        <w:t>emphasised the valuable roles th</w:t>
      </w:r>
      <w:r w:rsidR="004B1871" w:rsidRPr="000A7C5F">
        <w:rPr>
          <w:szCs w:val="28"/>
        </w:rPr>
        <w:t>at individuals</w:t>
      </w:r>
      <w:r w:rsidRPr="000A7C5F">
        <w:rPr>
          <w:szCs w:val="28"/>
        </w:rPr>
        <w:t xml:space="preserve"> play in the community and their contributions to society </w:t>
      </w:r>
      <w:r w:rsidR="004B1871" w:rsidRPr="000A7C5F">
        <w:rPr>
          <w:szCs w:val="28"/>
        </w:rPr>
        <w:t>despite being Disabled. They</w:t>
      </w:r>
      <w:r w:rsidRPr="000A7C5F">
        <w:rPr>
          <w:szCs w:val="28"/>
        </w:rPr>
        <w:t xml:space="preserve"> were to be </w:t>
      </w:r>
      <w:r w:rsidR="004B1871" w:rsidRPr="000A7C5F">
        <w:rPr>
          <w:szCs w:val="28"/>
        </w:rPr>
        <w:t xml:space="preserve">used to help argue for admission to hospital or access treatment if denied according to the clinical score. </w:t>
      </w:r>
    </w:p>
    <w:p w14:paraId="1E96C485" w14:textId="77777777" w:rsidR="004E23E5" w:rsidRPr="000A7C5F" w:rsidRDefault="004E23E5" w:rsidP="001E1D19">
      <w:pPr>
        <w:pStyle w:val="ListParagraph"/>
        <w:ind w:left="851" w:hanging="851"/>
        <w:rPr>
          <w:szCs w:val="28"/>
        </w:rPr>
      </w:pPr>
    </w:p>
    <w:p w14:paraId="301B5D63" w14:textId="5B2F63A5" w:rsidR="004E23E5" w:rsidRPr="000A7C5F" w:rsidRDefault="00DE2E6F" w:rsidP="00794060">
      <w:pPr>
        <w:pStyle w:val="ListParagraph"/>
        <w:numPr>
          <w:ilvl w:val="0"/>
          <w:numId w:val="3"/>
        </w:numPr>
        <w:ind w:left="851" w:hanging="851"/>
        <w:rPr>
          <w:szCs w:val="28"/>
        </w:rPr>
      </w:pPr>
      <w:r w:rsidRPr="000A7C5F">
        <w:rPr>
          <w:szCs w:val="28"/>
        </w:rPr>
        <w:t xml:space="preserve">Guidance for doctors published by the British Medical Association (BMA) in April 2020 caused alarm among </w:t>
      </w:r>
      <w:r w:rsidR="004B1871" w:rsidRPr="000A7C5F">
        <w:rPr>
          <w:szCs w:val="28"/>
        </w:rPr>
        <w:t>D</w:t>
      </w:r>
      <w:r w:rsidRPr="000A7C5F">
        <w:rPr>
          <w:szCs w:val="28"/>
        </w:rPr>
        <w:t xml:space="preserve">isabled people. It </w:t>
      </w:r>
      <w:r w:rsidR="00107D12" w:rsidRPr="000A7C5F">
        <w:rPr>
          <w:szCs w:val="28"/>
        </w:rPr>
        <w:t>stated that, if demand for NHS services outstripped its capacity, doctors “may be obliged to withdraw treatment from some patients to enable treatment of other patients with a higher survival probability”.  It also said that, if services become “overwhelmed”, the presence of other health conditions may exclude some patients from eligibility for intensive care or ventilation, while it may even be necessary “to discontinue treatment that has already been started”</w:t>
      </w:r>
      <w:r w:rsidR="00107D12" w:rsidRPr="000A7C5F">
        <w:rPr>
          <w:rStyle w:val="FootnoteReference"/>
          <w:szCs w:val="28"/>
        </w:rPr>
        <w:footnoteReference w:id="459"/>
      </w:r>
      <w:r w:rsidR="00107D12" w:rsidRPr="000A7C5F">
        <w:rPr>
          <w:szCs w:val="28"/>
        </w:rPr>
        <w:t>.</w:t>
      </w:r>
    </w:p>
    <w:p w14:paraId="24DA5D9B" w14:textId="77777777" w:rsidR="004E23E5" w:rsidRPr="000A7C5F" w:rsidRDefault="004E23E5" w:rsidP="001E1D19">
      <w:pPr>
        <w:pStyle w:val="ListParagraph"/>
        <w:ind w:left="851" w:hanging="851"/>
        <w:rPr>
          <w:szCs w:val="28"/>
        </w:rPr>
      </w:pPr>
    </w:p>
    <w:p w14:paraId="71D1DC0A" w14:textId="3CF4462D" w:rsidR="004E23E5" w:rsidRPr="000A7C5F" w:rsidRDefault="00127CC2" w:rsidP="00794060">
      <w:pPr>
        <w:pStyle w:val="ListParagraph"/>
        <w:numPr>
          <w:ilvl w:val="0"/>
          <w:numId w:val="3"/>
        </w:numPr>
        <w:ind w:left="851" w:hanging="851"/>
        <w:rPr>
          <w:szCs w:val="28"/>
        </w:rPr>
      </w:pPr>
      <w:r w:rsidRPr="000A7C5F">
        <w:rPr>
          <w:szCs w:val="28"/>
        </w:rPr>
        <w:t xml:space="preserve">It appears that an unpublished age-based frailty score system commissioned by the UK government's Chief Medical Advisor, Professor Chris Whitty was behind the widespread denial of intensive care to over 80s. It also excluded many </w:t>
      </w:r>
      <w:r w:rsidR="001B583E" w:rsidRPr="000A7C5F">
        <w:rPr>
          <w:szCs w:val="28"/>
        </w:rPr>
        <w:t>D</w:t>
      </w:r>
      <w:r w:rsidRPr="000A7C5F">
        <w:rPr>
          <w:szCs w:val="28"/>
        </w:rPr>
        <w:t>isabled people over the age of 60 from life-saving treatment. Testimony by doctors has confirmed that the system was used by medics to prevent elderly patients “blocking” intensive care. A second version</w:t>
      </w:r>
      <w:r w:rsidR="00D123ED" w:rsidRPr="000A7C5F">
        <w:rPr>
          <w:szCs w:val="28"/>
        </w:rPr>
        <w:t xml:space="preserve"> of the tool</w:t>
      </w:r>
      <w:r w:rsidRPr="000A7C5F">
        <w:rPr>
          <w:szCs w:val="28"/>
        </w:rPr>
        <w:t xml:space="preserve"> increased the score for specific illnesses but lowered it </w:t>
      </w:r>
      <w:r w:rsidRPr="000A7C5F">
        <w:rPr>
          <w:szCs w:val="28"/>
        </w:rPr>
        <w:lastRenderedPageBreak/>
        <w:t>for age</w:t>
      </w:r>
      <w:r w:rsidR="00560018">
        <w:rPr>
          <w:szCs w:val="28"/>
        </w:rPr>
        <w:t xml:space="preserve"> – </w:t>
      </w:r>
      <w:r w:rsidRPr="000A7C5F">
        <w:rPr>
          <w:szCs w:val="28"/>
        </w:rPr>
        <w:t>in other words, made it more targeted at denial of treatment on the basis of impairment as opposed to age.</w:t>
      </w:r>
      <w:r w:rsidR="00A96B23" w:rsidRPr="000A7C5F">
        <w:rPr>
          <w:szCs w:val="28"/>
        </w:rPr>
        <w:t xml:space="preserve"> </w:t>
      </w:r>
      <w:r w:rsidRPr="000A7C5F">
        <w:rPr>
          <w:szCs w:val="28"/>
        </w:rPr>
        <w:t xml:space="preserve">A study comparing the number of COVID-19 deaths on normal wards against the number of intensive care beds said to be available in UK drew the conclusion that intensive care was being overzealously withheld </w:t>
      </w:r>
      <w:r w:rsidR="00D123ED" w:rsidRPr="000A7C5F">
        <w:rPr>
          <w:szCs w:val="28"/>
        </w:rPr>
        <w:t>from older DDP</w:t>
      </w:r>
      <w:r w:rsidR="00A62015" w:rsidRPr="000A7C5F">
        <w:rPr>
          <w:rStyle w:val="FootnoteReference"/>
          <w:szCs w:val="28"/>
        </w:rPr>
        <w:footnoteReference w:id="460"/>
      </w:r>
      <w:r w:rsidR="00D123ED" w:rsidRPr="000A7C5F">
        <w:rPr>
          <w:szCs w:val="28"/>
        </w:rPr>
        <w:t xml:space="preserve">. </w:t>
      </w:r>
      <w:r w:rsidR="00A96B23" w:rsidRPr="000A7C5F">
        <w:rPr>
          <w:szCs w:val="28"/>
        </w:rPr>
        <w:t>The charity Mencap is aware of cases where people with learning difficulties were denied treatment</w:t>
      </w:r>
      <w:r w:rsidR="00A96B23" w:rsidRPr="000A7C5F">
        <w:rPr>
          <w:rStyle w:val="FootnoteReference"/>
          <w:szCs w:val="28"/>
        </w:rPr>
        <w:footnoteReference w:id="461"/>
      </w:r>
      <w:r w:rsidR="00A96B23" w:rsidRPr="000A7C5F">
        <w:rPr>
          <w:szCs w:val="28"/>
        </w:rPr>
        <w:t>.</w:t>
      </w:r>
    </w:p>
    <w:p w14:paraId="395615A3" w14:textId="77777777" w:rsidR="00954569" w:rsidRPr="000A7C5F" w:rsidRDefault="00954569" w:rsidP="00E739BB">
      <w:pPr>
        <w:pStyle w:val="ListParagraph"/>
        <w:rPr>
          <w:szCs w:val="28"/>
        </w:rPr>
      </w:pPr>
    </w:p>
    <w:p w14:paraId="64D2D1E8" w14:textId="77777777" w:rsidR="00954569" w:rsidRPr="000A7C5F" w:rsidRDefault="00954569" w:rsidP="00794060">
      <w:pPr>
        <w:pStyle w:val="ListParagraph"/>
        <w:numPr>
          <w:ilvl w:val="0"/>
          <w:numId w:val="3"/>
        </w:numPr>
        <w:ind w:left="851" w:hanging="851"/>
        <w:rPr>
          <w:szCs w:val="28"/>
        </w:rPr>
      </w:pPr>
      <w:r w:rsidRPr="000A7C5F">
        <w:rPr>
          <w:szCs w:val="28"/>
        </w:rPr>
        <w:t>Amnesty International received multiple reports of care home residents’ right to NHS services, including access to general medical services (GMS) and hospital admission, being denied during the pandemic, violating their right to health and potentially their right to life, as well as their right to non-discrimination despite hospital bed capacity never being reached</w:t>
      </w:r>
      <w:r w:rsidRPr="000A7C5F">
        <w:rPr>
          <w:rStyle w:val="FootnoteReference"/>
          <w:szCs w:val="28"/>
        </w:rPr>
        <w:footnoteReference w:id="462"/>
      </w:r>
      <w:r w:rsidRPr="000A7C5F">
        <w:rPr>
          <w:szCs w:val="28"/>
        </w:rPr>
        <w:t>. Guidelines published by NHS England on its website on 10 April advised that some care home residents “should not ordinarily be conveyed to hospital unless authorised by a senior colleague.” The guidelines were withdrawn a few days later but the damage lingered.</w:t>
      </w:r>
    </w:p>
    <w:p w14:paraId="6577A086" w14:textId="77777777" w:rsidR="00954569" w:rsidRPr="000A7C5F" w:rsidRDefault="00954569" w:rsidP="001E1D19">
      <w:pPr>
        <w:pStyle w:val="ListParagraph"/>
        <w:ind w:left="851" w:hanging="851"/>
        <w:rPr>
          <w:szCs w:val="28"/>
        </w:rPr>
      </w:pPr>
    </w:p>
    <w:p w14:paraId="4E1E981B" w14:textId="7C95375F" w:rsidR="00954569" w:rsidRPr="000A7C5F" w:rsidRDefault="00954569" w:rsidP="00794060">
      <w:pPr>
        <w:pStyle w:val="ListParagraph"/>
        <w:numPr>
          <w:ilvl w:val="0"/>
          <w:numId w:val="3"/>
        </w:numPr>
        <w:ind w:left="851" w:hanging="851"/>
        <w:rPr>
          <w:szCs w:val="28"/>
        </w:rPr>
      </w:pPr>
      <w:proofErr w:type="spellStart"/>
      <w:r w:rsidRPr="000A7C5F">
        <w:rPr>
          <w:szCs w:val="28"/>
        </w:rPr>
        <w:lastRenderedPageBreak/>
        <w:t>WeG</w:t>
      </w:r>
      <w:proofErr w:type="spellEnd"/>
      <w:r w:rsidRPr="000A7C5F">
        <w:rPr>
          <w:szCs w:val="28"/>
        </w:rPr>
        <w:t xml:space="preserve"> declined to provide national guidance that would guarantee DDP the same rights to life sustaining treatment as non-</w:t>
      </w:r>
      <w:r w:rsidR="00147A89" w:rsidRPr="000A7C5F">
        <w:rPr>
          <w:szCs w:val="28"/>
        </w:rPr>
        <w:t>D</w:t>
      </w:r>
      <w:r w:rsidRPr="000A7C5F">
        <w:rPr>
          <w:szCs w:val="28"/>
        </w:rPr>
        <w:t>isabled people</w:t>
      </w:r>
      <w:r w:rsidRPr="000A7C5F">
        <w:rPr>
          <w:rStyle w:val="FootnoteReference"/>
          <w:szCs w:val="28"/>
        </w:rPr>
        <w:footnoteReference w:id="463"/>
      </w:r>
      <w:r w:rsidRPr="000A7C5F">
        <w:rPr>
          <w:szCs w:val="28"/>
        </w:rPr>
        <w:t>.</w:t>
      </w:r>
    </w:p>
    <w:p w14:paraId="49FCFC03" w14:textId="77777777" w:rsidR="00954569" w:rsidRPr="000A7C5F" w:rsidRDefault="00954569" w:rsidP="001E1D19">
      <w:pPr>
        <w:pStyle w:val="ListParagraph"/>
        <w:ind w:left="851" w:hanging="851"/>
        <w:rPr>
          <w:szCs w:val="28"/>
        </w:rPr>
      </w:pPr>
    </w:p>
    <w:p w14:paraId="2C34AFE2" w14:textId="3E6D61B0" w:rsidR="004E23E5" w:rsidRPr="000A7C5F" w:rsidRDefault="00337D77" w:rsidP="00794060">
      <w:pPr>
        <w:pStyle w:val="ListParagraph"/>
        <w:numPr>
          <w:ilvl w:val="0"/>
          <w:numId w:val="3"/>
        </w:numPr>
        <w:ind w:left="851" w:hanging="851"/>
        <w:rPr>
          <w:szCs w:val="28"/>
        </w:rPr>
      </w:pPr>
      <w:r w:rsidRPr="000A7C5F">
        <w:rPr>
          <w:szCs w:val="28"/>
        </w:rPr>
        <w:t xml:space="preserve">Unlawful use of </w:t>
      </w:r>
      <w:r w:rsidR="009B06FF" w:rsidRPr="000A7C5F">
        <w:rPr>
          <w:szCs w:val="28"/>
        </w:rPr>
        <w:t xml:space="preserve">blanket </w:t>
      </w:r>
      <w:r w:rsidRPr="000A7C5F">
        <w:rPr>
          <w:szCs w:val="28"/>
        </w:rPr>
        <w:t xml:space="preserve">Do Not Attempt Cardio-Pulmonary Resuscitation Orders (DNACPRs) on the medical notes of DDP </w:t>
      </w:r>
      <w:r w:rsidR="00DB3DFF" w:rsidRPr="000A7C5F">
        <w:rPr>
          <w:szCs w:val="28"/>
        </w:rPr>
        <w:t>h</w:t>
      </w:r>
      <w:r w:rsidRPr="000A7C5F">
        <w:rPr>
          <w:szCs w:val="28"/>
        </w:rPr>
        <w:t xml:space="preserve">as </w:t>
      </w:r>
      <w:r w:rsidR="00DB3DFF" w:rsidRPr="000A7C5F">
        <w:rPr>
          <w:szCs w:val="28"/>
        </w:rPr>
        <w:t xml:space="preserve">been </w:t>
      </w:r>
      <w:r w:rsidRPr="000A7C5F">
        <w:rPr>
          <w:szCs w:val="28"/>
        </w:rPr>
        <w:t>a problem throughout the pandemic</w:t>
      </w:r>
      <w:r w:rsidR="00D2624A" w:rsidRPr="000A7C5F">
        <w:rPr>
          <w:rStyle w:val="FootnoteReference"/>
          <w:szCs w:val="28"/>
        </w:rPr>
        <w:footnoteReference w:id="464"/>
      </w:r>
      <w:r w:rsidRPr="000A7C5F">
        <w:rPr>
          <w:szCs w:val="28"/>
        </w:rPr>
        <w:t xml:space="preserve">. </w:t>
      </w:r>
      <w:r w:rsidR="009B06FF" w:rsidRPr="000A7C5F">
        <w:rPr>
          <w:szCs w:val="28"/>
        </w:rPr>
        <w:t>DDP, their families and support workers were also distressed to be contacted by local health professionals encouraging adoption of advance DNACPR directives</w:t>
      </w:r>
      <w:r w:rsidR="009B06FF" w:rsidRPr="000A7C5F">
        <w:rPr>
          <w:rStyle w:val="FootnoteReference"/>
          <w:szCs w:val="28"/>
        </w:rPr>
        <w:footnoteReference w:id="465"/>
      </w:r>
      <w:r w:rsidR="0036251B" w:rsidRPr="000A7C5F">
        <w:rPr>
          <w:szCs w:val="28"/>
        </w:rPr>
        <w:t xml:space="preserve"> </w:t>
      </w:r>
      <w:r w:rsidR="0036251B" w:rsidRPr="000A7C5F">
        <w:rPr>
          <w:rStyle w:val="FootnoteReference"/>
          <w:szCs w:val="28"/>
        </w:rPr>
        <w:footnoteReference w:id="466"/>
      </w:r>
      <w:r w:rsidR="006672E6">
        <w:rPr>
          <w:szCs w:val="28"/>
        </w:rPr>
        <w:t xml:space="preserve">. </w:t>
      </w:r>
      <w:r w:rsidR="009B06FF" w:rsidRPr="000A7C5F">
        <w:rPr>
          <w:szCs w:val="28"/>
        </w:rPr>
        <w:t>Such</w:t>
      </w:r>
      <w:r w:rsidRPr="000A7C5F">
        <w:rPr>
          <w:szCs w:val="28"/>
        </w:rPr>
        <w:t xml:space="preserve"> practice</w:t>
      </w:r>
      <w:r w:rsidR="009B06FF" w:rsidRPr="000A7C5F">
        <w:rPr>
          <w:szCs w:val="28"/>
        </w:rPr>
        <w:t>s</w:t>
      </w:r>
      <w:r w:rsidRPr="000A7C5F">
        <w:rPr>
          <w:szCs w:val="28"/>
        </w:rPr>
        <w:t xml:space="preserve"> ha</w:t>
      </w:r>
      <w:r w:rsidR="009B06FF" w:rsidRPr="000A7C5F">
        <w:rPr>
          <w:szCs w:val="28"/>
        </w:rPr>
        <w:t>ve</w:t>
      </w:r>
      <w:r w:rsidRPr="000A7C5F">
        <w:rPr>
          <w:szCs w:val="28"/>
        </w:rPr>
        <w:t xml:space="preserve"> a history preced</w:t>
      </w:r>
      <w:r w:rsidR="00DB3DFF" w:rsidRPr="000A7C5F">
        <w:rPr>
          <w:szCs w:val="28"/>
        </w:rPr>
        <w:t>ing</w:t>
      </w:r>
      <w:r w:rsidRPr="000A7C5F">
        <w:rPr>
          <w:szCs w:val="28"/>
        </w:rPr>
        <w:t xml:space="preserve"> COVID-19. </w:t>
      </w:r>
      <w:proofErr w:type="spellStart"/>
      <w:r w:rsidR="009037D2" w:rsidRPr="000A7C5F">
        <w:rPr>
          <w:szCs w:val="28"/>
        </w:rPr>
        <w:t>WeG</w:t>
      </w:r>
      <w:proofErr w:type="spellEnd"/>
      <w:r w:rsidRPr="000A7C5F">
        <w:rPr>
          <w:szCs w:val="28"/>
        </w:rPr>
        <w:t xml:space="preserve"> commissioned an independent inquiry from CQC who foun</w:t>
      </w:r>
      <w:r w:rsidR="00D2624A" w:rsidRPr="000A7C5F">
        <w:rPr>
          <w:szCs w:val="28"/>
        </w:rPr>
        <w:t>d inconsistent and concerning approaches to DNACPR decisions requiring improved oversight and reform</w:t>
      </w:r>
      <w:r w:rsidR="00D2624A" w:rsidRPr="000A7C5F">
        <w:rPr>
          <w:rStyle w:val="FootnoteReference"/>
          <w:szCs w:val="28"/>
        </w:rPr>
        <w:footnoteReference w:id="467"/>
      </w:r>
      <w:r w:rsidR="00DB3DFF" w:rsidRPr="000A7C5F">
        <w:rPr>
          <w:szCs w:val="28"/>
        </w:rPr>
        <w:t>.</w:t>
      </w:r>
      <w:r w:rsidR="003633F7" w:rsidRPr="000A7C5F">
        <w:rPr>
          <w:szCs w:val="28"/>
        </w:rPr>
        <w:t xml:space="preserve"> Proposed measures do not go far enough to stop the problem.</w:t>
      </w:r>
    </w:p>
    <w:p w14:paraId="7C4C3343" w14:textId="77777777" w:rsidR="004E23E5" w:rsidRPr="000A7C5F" w:rsidRDefault="004E23E5" w:rsidP="00E739BB">
      <w:pPr>
        <w:pStyle w:val="ListParagraph"/>
        <w:rPr>
          <w:szCs w:val="28"/>
        </w:rPr>
      </w:pPr>
    </w:p>
    <w:p w14:paraId="75331567" w14:textId="77777777" w:rsidR="004E23E5" w:rsidRPr="000A7C5F" w:rsidRDefault="00DB3DFF" w:rsidP="00794060">
      <w:pPr>
        <w:pStyle w:val="ListParagraph"/>
        <w:numPr>
          <w:ilvl w:val="0"/>
          <w:numId w:val="3"/>
        </w:numPr>
        <w:ind w:left="851" w:hanging="851"/>
        <w:rPr>
          <w:szCs w:val="28"/>
        </w:rPr>
      </w:pPr>
      <w:r w:rsidRPr="000A7C5F">
        <w:rPr>
          <w:szCs w:val="28"/>
        </w:rPr>
        <w:t xml:space="preserve">Medical resources were prioritised for COVID patients instead of DDP with existing conditions. </w:t>
      </w:r>
      <w:r w:rsidR="00CE53BA" w:rsidRPr="000A7C5F">
        <w:rPr>
          <w:szCs w:val="28"/>
        </w:rPr>
        <w:t>One NHS trust told people with muscular dystrophy it was keeping their ventilator filters for COVID patients</w:t>
      </w:r>
      <w:r w:rsidR="00CE53BA" w:rsidRPr="000A7C5F">
        <w:rPr>
          <w:rStyle w:val="FootnoteReference"/>
          <w:szCs w:val="28"/>
        </w:rPr>
        <w:footnoteReference w:id="468"/>
      </w:r>
      <w:r w:rsidR="00CE53BA" w:rsidRPr="000A7C5F">
        <w:rPr>
          <w:szCs w:val="28"/>
        </w:rPr>
        <w:t xml:space="preserve">. </w:t>
      </w:r>
    </w:p>
    <w:p w14:paraId="43C91807" w14:textId="77777777" w:rsidR="004E23E5" w:rsidRPr="000A7C5F" w:rsidRDefault="004E23E5" w:rsidP="00E739BB">
      <w:pPr>
        <w:pStyle w:val="ListParagraph"/>
        <w:rPr>
          <w:szCs w:val="28"/>
        </w:rPr>
      </w:pPr>
    </w:p>
    <w:p w14:paraId="12B93DDE" w14:textId="77777777" w:rsidR="004E23E5" w:rsidRPr="000A7C5F" w:rsidRDefault="00E8764B" w:rsidP="00794060">
      <w:pPr>
        <w:pStyle w:val="ListParagraph"/>
        <w:numPr>
          <w:ilvl w:val="0"/>
          <w:numId w:val="3"/>
        </w:numPr>
        <w:ind w:left="851" w:hanging="851"/>
        <w:rPr>
          <w:szCs w:val="28"/>
        </w:rPr>
      </w:pPr>
      <w:r w:rsidRPr="000A7C5F">
        <w:rPr>
          <w:szCs w:val="28"/>
        </w:rPr>
        <w:t>Campaigners challenged blanket visitor bans to prevent DDP with communication and cognitive support needs from being admitted to hospitals without support.</w:t>
      </w:r>
      <w:r w:rsidR="00EB2657" w:rsidRPr="000A7C5F">
        <w:rPr>
          <w:szCs w:val="28"/>
        </w:rPr>
        <w:t xml:space="preserve"> One in four Learning Disability nurses surveyed said they had seen examples where people with a learning disability have not been allowed to be accompanied by a family member, carer or supporter in hospital</w:t>
      </w:r>
      <w:r w:rsidR="00EB2657" w:rsidRPr="000A7C5F">
        <w:rPr>
          <w:rStyle w:val="FootnoteReference"/>
          <w:szCs w:val="28"/>
        </w:rPr>
        <w:footnoteReference w:id="469"/>
      </w:r>
      <w:r w:rsidR="00EB2657" w:rsidRPr="000A7C5F">
        <w:rPr>
          <w:szCs w:val="28"/>
        </w:rPr>
        <w:t>. Guidance was revised but left at the discretion of individual NHS Trusts</w:t>
      </w:r>
      <w:r w:rsidR="00A061EE" w:rsidRPr="000A7C5F">
        <w:rPr>
          <w:rStyle w:val="FootnoteReference"/>
          <w:szCs w:val="28"/>
        </w:rPr>
        <w:footnoteReference w:id="470"/>
      </w:r>
      <w:r w:rsidR="00EB2657" w:rsidRPr="000A7C5F">
        <w:rPr>
          <w:szCs w:val="28"/>
        </w:rPr>
        <w:t xml:space="preserve">. </w:t>
      </w:r>
    </w:p>
    <w:p w14:paraId="678718F4" w14:textId="77777777" w:rsidR="004E23E5" w:rsidRPr="000A7C5F" w:rsidRDefault="004E23E5" w:rsidP="00D240A6">
      <w:pPr>
        <w:pStyle w:val="ListParagraph"/>
        <w:ind w:left="851" w:hanging="851"/>
        <w:rPr>
          <w:szCs w:val="28"/>
        </w:rPr>
      </w:pPr>
    </w:p>
    <w:p w14:paraId="12E3803A" w14:textId="35F5FBD7" w:rsidR="004E23E5" w:rsidRPr="000A7C5F" w:rsidRDefault="00E97E4F" w:rsidP="00794060">
      <w:pPr>
        <w:pStyle w:val="ListParagraph"/>
        <w:numPr>
          <w:ilvl w:val="0"/>
          <w:numId w:val="3"/>
        </w:numPr>
        <w:ind w:left="851" w:hanging="851"/>
        <w:rPr>
          <w:szCs w:val="28"/>
        </w:rPr>
      </w:pPr>
      <w:r w:rsidRPr="000A7C5F">
        <w:rPr>
          <w:szCs w:val="28"/>
        </w:rPr>
        <w:t>DDP were disproportionately impacted by lockdown and shielding due to a lack of access to vital services</w:t>
      </w:r>
      <w:r w:rsidR="003633F7" w:rsidRPr="000A7C5F">
        <w:rPr>
          <w:szCs w:val="28"/>
        </w:rPr>
        <w:t xml:space="preserve"> including medical </w:t>
      </w:r>
      <w:r w:rsidR="00756159" w:rsidRPr="000A7C5F">
        <w:rPr>
          <w:szCs w:val="28"/>
        </w:rPr>
        <w:t xml:space="preserve">and dental </w:t>
      </w:r>
      <w:r w:rsidR="003633F7" w:rsidRPr="000A7C5F">
        <w:rPr>
          <w:szCs w:val="28"/>
        </w:rPr>
        <w:t>treatment</w:t>
      </w:r>
      <w:r w:rsidR="00756159" w:rsidRPr="000A7C5F">
        <w:rPr>
          <w:rStyle w:val="FootnoteReference"/>
          <w:szCs w:val="28"/>
        </w:rPr>
        <w:footnoteReference w:id="471"/>
      </w:r>
      <w:r w:rsidRPr="000A7C5F">
        <w:rPr>
          <w:szCs w:val="28"/>
        </w:rPr>
        <w:t xml:space="preserve">. </w:t>
      </w:r>
      <w:r w:rsidR="0014605B" w:rsidRPr="000A7C5F">
        <w:rPr>
          <w:szCs w:val="28"/>
        </w:rPr>
        <w:t xml:space="preserve">Around one-quarter (25%) of </w:t>
      </w:r>
      <w:r w:rsidR="00606F5B" w:rsidRPr="000A7C5F">
        <w:rPr>
          <w:szCs w:val="28"/>
        </w:rPr>
        <w:t>D</w:t>
      </w:r>
      <w:r w:rsidR="0014605B" w:rsidRPr="000A7C5F">
        <w:rPr>
          <w:szCs w:val="28"/>
        </w:rPr>
        <w:t xml:space="preserve">isabled people </w:t>
      </w:r>
      <w:r w:rsidR="0014605B" w:rsidRPr="000A7C5F">
        <w:rPr>
          <w:szCs w:val="28"/>
        </w:rPr>
        <w:lastRenderedPageBreak/>
        <w:t>who were receiving medical care before the coronavirus pandemic indicated they were currently receiving treatment for only some of their conditions (compared with less than 1 in 10 (7%) non-</w:t>
      </w:r>
      <w:r w:rsidR="00147A89" w:rsidRPr="000A7C5F">
        <w:rPr>
          <w:szCs w:val="28"/>
        </w:rPr>
        <w:t>D</w:t>
      </w:r>
      <w:r w:rsidR="0014605B" w:rsidRPr="000A7C5F">
        <w:rPr>
          <w:szCs w:val="28"/>
        </w:rPr>
        <w:t>isabled people</w:t>
      </w:r>
      <w:r w:rsidR="00DE2E6F" w:rsidRPr="000A7C5F">
        <w:rPr>
          <w:rStyle w:val="FootnoteReference"/>
          <w:szCs w:val="28"/>
        </w:rPr>
        <w:footnoteReference w:id="472"/>
      </w:r>
      <w:r w:rsidR="0014605B" w:rsidRPr="000A7C5F">
        <w:rPr>
          <w:szCs w:val="28"/>
        </w:rPr>
        <w:t xml:space="preserve">. </w:t>
      </w:r>
      <w:r w:rsidR="002B5730" w:rsidRPr="000A7C5F">
        <w:rPr>
          <w:szCs w:val="28"/>
        </w:rPr>
        <w:t xml:space="preserve">This undoubtedly contributed to </w:t>
      </w:r>
      <w:r w:rsidR="007C3C8C" w:rsidRPr="000A7C5F">
        <w:rPr>
          <w:szCs w:val="28"/>
        </w:rPr>
        <w:t xml:space="preserve">high numbers of </w:t>
      </w:r>
      <w:r w:rsidR="002B5730" w:rsidRPr="000A7C5F">
        <w:rPr>
          <w:szCs w:val="28"/>
        </w:rPr>
        <w:t>additional non-COVID-related deaths</w:t>
      </w:r>
      <w:r w:rsidR="007C3C8C" w:rsidRPr="000A7C5F">
        <w:rPr>
          <w:rStyle w:val="FootnoteReference"/>
          <w:szCs w:val="28"/>
        </w:rPr>
        <w:footnoteReference w:id="473"/>
      </w:r>
      <w:r w:rsidR="007C3C8C" w:rsidRPr="000A7C5F">
        <w:rPr>
          <w:szCs w:val="28"/>
        </w:rPr>
        <w:t>.</w:t>
      </w:r>
      <w:r w:rsidR="00606F5B" w:rsidRPr="000A7C5F">
        <w:rPr>
          <w:szCs w:val="28"/>
        </w:rPr>
        <w:t xml:space="preserve"> 74 </w:t>
      </w:r>
      <w:r w:rsidR="002E7DBF" w:rsidRPr="000A7C5F">
        <w:rPr>
          <w:szCs w:val="28"/>
        </w:rPr>
        <w:t xml:space="preserve">out of 100 NHS England </w:t>
      </w:r>
      <w:r w:rsidR="00606F5B" w:rsidRPr="000A7C5F">
        <w:rPr>
          <w:szCs w:val="28"/>
        </w:rPr>
        <w:t>GP</w:t>
      </w:r>
      <w:r w:rsidR="002E7DBF" w:rsidRPr="000A7C5F">
        <w:rPr>
          <w:szCs w:val="28"/>
        </w:rPr>
        <w:t xml:space="preserve"> </w:t>
      </w:r>
      <w:r w:rsidR="00606F5B" w:rsidRPr="000A7C5F">
        <w:rPr>
          <w:szCs w:val="28"/>
        </w:rPr>
        <w:t>s</w:t>
      </w:r>
      <w:r w:rsidR="002E7DBF" w:rsidRPr="000A7C5F">
        <w:rPr>
          <w:szCs w:val="28"/>
        </w:rPr>
        <w:t>urgeries</w:t>
      </w:r>
      <w:r w:rsidR="00606F5B" w:rsidRPr="000A7C5F">
        <w:rPr>
          <w:szCs w:val="28"/>
        </w:rPr>
        <w:t xml:space="preserve"> refused registration to nomadic patients</w:t>
      </w:r>
      <w:r w:rsidR="002E7DBF" w:rsidRPr="000A7C5F">
        <w:rPr>
          <w:szCs w:val="28"/>
        </w:rPr>
        <w:t xml:space="preserve"> during the pandemic</w:t>
      </w:r>
      <w:r w:rsidR="00606F5B" w:rsidRPr="000A7C5F">
        <w:rPr>
          <w:rStyle w:val="FootnoteReference"/>
          <w:szCs w:val="28"/>
        </w:rPr>
        <w:footnoteReference w:id="474"/>
      </w:r>
      <w:r w:rsidR="00606F5B" w:rsidRPr="000A7C5F">
        <w:rPr>
          <w:szCs w:val="28"/>
        </w:rPr>
        <w:t>.</w:t>
      </w:r>
    </w:p>
    <w:p w14:paraId="3CBAF4E2" w14:textId="77777777" w:rsidR="004E23E5" w:rsidRPr="000A7C5F" w:rsidRDefault="004E23E5" w:rsidP="00E739BB">
      <w:pPr>
        <w:pStyle w:val="ListParagraph"/>
        <w:rPr>
          <w:szCs w:val="28"/>
        </w:rPr>
      </w:pPr>
    </w:p>
    <w:p w14:paraId="2B9A51A1" w14:textId="1A917276" w:rsidR="004E23E5" w:rsidRPr="000A7C5F" w:rsidRDefault="00E97E4F" w:rsidP="00794060">
      <w:pPr>
        <w:pStyle w:val="ListParagraph"/>
        <w:numPr>
          <w:ilvl w:val="0"/>
          <w:numId w:val="3"/>
        </w:numPr>
        <w:ind w:left="851" w:hanging="851"/>
        <w:rPr>
          <w:szCs w:val="28"/>
        </w:rPr>
      </w:pPr>
      <w:r w:rsidRPr="000A7C5F">
        <w:rPr>
          <w:szCs w:val="28"/>
        </w:rPr>
        <w:t xml:space="preserve">Lack of access to food and medicines was a major issue for DDP needing to shield. Supermarkets were unable to identify Disabled customers. Once the CEV list was in operation this </w:t>
      </w:r>
      <w:r w:rsidR="003633F7" w:rsidRPr="000A7C5F">
        <w:rPr>
          <w:szCs w:val="28"/>
        </w:rPr>
        <w:t xml:space="preserve">had the unfortunate impact of </w:t>
      </w:r>
      <w:r w:rsidRPr="000A7C5F">
        <w:rPr>
          <w:szCs w:val="28"/>
        </w:rPr>
        <w:t>discriminat</w:t>
      </w:r>
      <w:r w:rsidR="003633F7" w:rsidRPr="000A7C5F">
        <w:rPr>
          <w:szCs w:val="28"/>
        </w:rPr>
        <w:t>ing</w:t>
      </w:r>
      <w:r w:rsidRPr="000A7C5F">
        <w:rPr>
          <w:szCs w:val="28"/>
        </w:rPr>
        <w:t xml:space="preserve"> against DDP unable to leave their homes for pre-existing</w:t>
      </w:r>
      <w:r w:rsidR="004F5C41" w:rsidRPr="000A7C5F">
        <w:rPr>
          <w:szCs w:val="28"/>
        </w:rPr>
        <w:t xml:space="preserve"> conditions unrelated to a risk of catching COVID. </w:t>
      </w:r>
      <w:r w:rsidR="007C3C8C" w:rsidRPr="000A7C5F">
        <w:rPr>
          <w:szCs w:val="28"/>
        </w:rPr>
        <w:t>Survey data show that 60% of disabled people struggled to access essential supplies, including food, in the early months of the pandemic</w:t>
      </w:r>
      <w:r w:rsidR="007C3C8C" w:rsidRPr="000A7C5F">
        <w:rPr>
          <w:vertAlign w:val="superscript"/>
        </w:rPr>
        <w:footnoteReference w:id="475"/>
      </w:r>
      <w:r w:rsidR="007C3C8C" w:rsidRPr="000A7C5F">
        <w:rPr>
          <w:szCs w:val="28"/>
        </w:rPr>
        <w:t xml:space="preserve">. </w:t>
      </w:r>
      <w:r w:rsidR="004F5C41" w:rsidRPr="000A7C5F">
        <w:rPr>
          <w:szCs w:val="28"/>
        </w:rPr>
        <w:t>At least one Disabled man who was not in contact with services starved to death.</w:t>
      </w:r>
      <w:r w:rsidR="00B33888" w:rsidRPr="000A7C5F">
        <w:rPr>
          <w:rStyle w:val="FootnoteReference"/>
          <w:szCs w:val="28"/>
        </w:rPr>
        <w:footnoteReference w:id="476"/>
      </w:r>
      <w:r w:rsidR="007C3C8C" w:rsidRPr="000A7C5F">
        <w:rPr>
          <w:szCs w:val="28"/>
        </w:rPr>
        <w:t xml:space="preserve"> A Parliamentary </w:t>
      </w:r>
      <w:r w:rsidR="007C3C8C" w:rsidRPr="000A7C5F">
        <w:rPr>
          <w:szCs w:val="28"/>
        </w:rPr>
        <w:lastRenderedPageBreak/>
        <w:t xml:space="preserve">Committee found that the pandemic had “profoundly adverse effects” </w:t>
      </w:r>
      <w:r w:rsidR="002E7DBF" w:rsidRPr="000A7C5F">
        <w:rPr>
          <w:szCs w:val="28"/>
        </w:rPr>
        <w:t xml:space="preserve">on </w:t>
      </w:r>
      <w:r w:rsidR="007C3C8C" w:rsidRPr="000A7C5F">
        <w:rPr>
          <w:szCs w:val="28"/>
        </w:rPr>
        <w:t>DDP’s access to services</w:t>
      </w:r>
      <w:r w:rsidR="007C3C8C" w:rsidRPr="000A7C5F">
        <w:rPr>
          <w:rStyle w:val="FootnoteReference"/>
          <w:szCs w:val="28"/>
        </w:rPr>
        <w:footnoteReference w:id="477"/>
      </w:r>
      <w:r w:rsidR="007C3C8C" w:rsidRPr="000A7C5F">
        <w:rPr>
          <w:szCs w:val="28"/>
        </w:rPr>
        <w:t>.</w:t>
      </w:r>
    </w:p>
    <w:p w14:paraId="5A3A51AC" w14:textId="77777777" w:rsidR="004E23E5" w:rsidRPr="000A7C5F" w:rsidRDefault="004E23E5" w:rsidP="00D240A6">
      <w:pPr>
        <w:pStyle w:val="ListParagraph"/>
        <w:ind w:left="851" w:hanging="851"/>
        <w:rPr>
          <w:szCs w:val="28"/>
        </w:rPr>
      </w:pPr>
    </w:p>
    <w:p w14:paraId="05A03B05" w14:textId="70D76CE6" w:rsidR="004E23E5" w:rsidRPr="000A7C5F" w:rsidRDefault="004F5C41" w:rsidP="00794060">
      <w:pPr>
        <w:pStyle w:val="ListParagraph"/>
        <w:numPr>
          <w:ilvl w:val="0"/>
          <w:numId w:val="3"/>
        </w:numPr>
        <w:ind w:left="851" w:hanging="851"/>
        <w:rPr>
          <w:szCs w:val="28"/>
        </w:rPr>
      </w:pPr>
      <w:r w:rsidRPr="000A7C5F">
        <w:rPr>
          <w:szCs w:val="28"/>
        </w:rPr>
        <w:t xml:space="preserve">Safeguarding systems were suspended or reduced during the pandemic. </w:t>
      </w:r>
      <w:r w:rsidR="00DF22A2" w:rsidRPr="000A7C5F">
        <w:rPr>
          <w:szCs w:val="28"/>
        </w:rPr>
        <w:t>We received evidence concerning</w:t>
      </w:r>
      <w:r w:rsidRPr="000A7C5F">
        <w:rPr>
          <w:szCs w:val="28"/>
        </w:rPr>
        <w:t xml:space="preserve"> safeguarding phone lines not being answered and wrong numbers given out in one LA area</w:t>
      </w:r>
      <w:r w:rsidR="00DF22A2" w:rsidRPr="000A7C5F">
        <w:rPr>
          <w:rStyle w:val="FootnoteReference"/>
          <w:szCs w:val="28"/>
        </w:rPr>
        <w:footnoteReference w:id="478"/>
      </w:r>
      <w:r w:rsidRPr="000A7C5F">
        <w:rPr>
          <w:szCs w:val="28"/>
        </w:rPr>
        <w:t xml:space="preserve">. One </w:t>
      </w:r>
      <w:r w:rsidR="00DF22A2" w:rsidRPr="000A7C5F">
        <w:rPr>
          <w:szCs w:val="28"/>
        </w:rPr>
        <w:t xml:space="preserve">young </w:t>
      </w:r>
      <w:r w:rsidRPr="000A7C5F">
        <w:rPr>
          <w:szCs w:val="28"/>
        </w:rPr>
        <w:t xml:space="preserve">man was found </w:t>
      </w:r>
      <w:r w:rsidR="00DF22A2" w:rsidRPr="000A7C5F">
        <w:rPr>
          <w:szCs w:val="28"/>
        </w:rPr>
        <w:t xml:space="preserve">days from death having been starved and locked in his mother’s attic over for months over the course of the first </w:t>
      </w:r>
      <w:r w:rsidR="00CB4025" w:rsidRPr="000A7C5F">
        <w:rPr>
          <w:szCs w:val="28"/>
        </w:rPr>
        <w:t>l</w:t>
      </w:r>
      <w:r w:rsidR="00DF22A2" w:rsidRPr="000A7C5F">
        <w:rPr>
          <w:szCs w:val="28"/>
        </w:rPr>
        <w:t>ockdown</w:t>
      </w:r>
      <w:r w:rsidR="00DF22A2" w:rsidRPr="000A7C5F">
        <w:rPr>
          <w:rStyle w:val="FootnoteReference"/>
          <w:szCs w:val="28"/>
        </w:rPr>
        <w:footnoteReference w:id="479"/>
      </w:r>
      <w:r w:rsidR="00DF22A2" w:rsidRPr="000A7C5F">
        <w:rPr>
          <w:szCs w:val="28"/>
        </w:rPr>
        <w:t>.</w:t>
      </w:r>
    </w:p>
    <w:p w14:paraId="6F04F253" w14:textId="77777777" w:rsidR="004E23E5" w:rsidRPr="000A7C5F" w:rsidRDefault="004E23E5" w:rsidP="00D240A6">
      <w:pPr>
        <w:pStyle w:val="ListParagraph"/>
        <w:ind w:left="851" w:hanging="851"/>
        <w:rPr>
          <w:szCs w:val="28"/>
        </w:rPr>
      </w:pPr>
    </w:p>
    <w:p w14:paraId="00F81FA6" w14:textId="10528B3F" w:rsidR="004D02B1" w:rsidRPr="000A7C5F" w:rsidRDefault="00CB4025" w:rsidP="00794060">
      <w:pPr>
        <w:pStyle w:val="ListParagraph"/>
        <w:numPr>
          <w:ilvl w:val="0"/>
          <w:numId w:val="3"/>
        </w:numPr>
        <w:ind w:left="851" w:hanging="851"/>
        <w:rPr>
          <w:szCs w:val="28"/>
        </w:rPr>
      </w:pPr>
      <w:r w:rsidRPr="000A7C5F">
        <w:rPr>
          <w:szCs w:val="28"/>
        </w:rPr>
        <w:t xml:space="preserve">According to </w:t>
      </w:r>
      <w:proofErr w:type="spellStart"/>
      <w:r w:rsidR="009037D2" w:rsidRPr="000A7C5F">
        <w:rPr>
          <w:szCs w:val="28"/>
        </w:rPr>
        <w:t>WeG</w:t>
      </w:r>
      <w:r w:rsidRPr="000A7C5F">
        <w:rPr>
          <w:szCs w:val="28"/>
        </w:rPr>
        <w:t>’s</w:t>
      </w:r>
      <w:proofErr w:type="spellEnd"/>
      <w:r w:rsidRPr="000A7C5F">
        <w:rPr>
          <w:szCs w:val="28"/>
        </w:rPr>
        <w:t xml:space="preserve"> approach to the pandemic, those most at risk of COVID were designated as</w:t>
      </w:r>
      <w:r w:rsidR="00352763" w:rsidRPr="000A7C5F">
        <w:rPr>
          <w:szCs w:val="28"/>
        </w:rPr>
        <w:t xml:space="preserve"> “vulnerable” and </w:t>
      </w:r>
      <w:r w:rsidRPr="000A7C5F">
        <w:rPr>
          <w:szCs w:val="28"/>
        </w:rPr>
        <w:t xml:space="preserve">advised </w:t>
      </w:r>
      <w:r w:rsidR="00352763" w:rsidRPr="000A7C5F">
        <w:rPr>
          <w:szCs w:val="28"/>
        </w:rPr>
        <w:t xml:space="preserve">to shield. </w:t>
      </w:r>
      <w:proofErr w:type="spellStart"/>
      <w:r w:rsidR="009037D2" w:rsidRPr="000A7C5F">
        <w:rPr>
          <w:szCs w:val="28"/>
        </w:rPr>
        <w:t>WeG</w:t>
      </w:r>
      <w:proofErr w:type="spellEnd"/>
      <w:r w:rsidR="00352763" w:rsidRPr="000A7C5F">
        <w:rPr>
          <w:szCs w:val="28"/>
        </w:rPr>
        <w:t xml:space="preserve"> pandemic planning revealed a lack of understanding of who DDP are</w:t>
      </w:r>
      <w:r w:rsidRPr="000A7C5F">
        <w:rPr>
          <w:szCs w:val="28"/>
        </w:rPr>
        <w:t xml:space="preserve"> and how our lives are integral to the functioning of the communities within which we live</w:t>
      </w:r>
      <w:r w:rsidR="00352763" w:rsidRPr="000A7C5F">
        <w:rPr>
          <w:szCs w:val="28"/>
        </w:rPr>
        <w:t xml:space="preserve">, for example </w:t>
      </w:r>
      <w:r w:rsidRPr="000A7C5F">
        <w:rPr>
          <w:szCs w:val="28"/>
        </w:rPr>
        <w:t xml:space="preserve">it is not straightforward for </w:t>
      </w:r>
      <w:r w:rsidR="00352763" w:rsidRPr="000A7C5F">
        <w:rPr>
          <w:szCs w:val="28"/>
        </w:rPr>
        <w:t>frontline workers</w:t>
      </w:r>
      <w:r w:rsidR="00776167" w:rsidRPr="000A7C5F">
        <w:rPr>
          <w:szCs w:val="28"/>
        </w:rPr>
        <w:t xml:space="preserve"> in insecure employment</w:t>
      </w:r>
      <w:r w:rsidR="00352763" w:rsidRPr="000A7C5F">
        <w:rPr>
          <w:szCs w:val="28"/>
        </w:rPr>
        <w:t xml:space="preserve">, parents of school children and </w:t>
      </w:r>
      <w:r w:rsidR="001B583E" w:rsidRPr="000A7C5F">
        <w:rPr>
          <w:szCs w:val="28"/>
        </w:rPr>
        <w:t xml:space="preserve">with </w:t>
      </w:r>
      <w:r w:rsidR="00E9306B" w:rsidRPr="000A7C5F">
        <w:rPr>
          <w:szCs w:val="28"/>
        </w:rPr>
        <w:t xml:space="preserve">those with </w:t>
      </w:r>
      <w:r w:rsidR="001B583E" w:rsidRPr="000A7C5F">
        <w:rPr>
          <w:szCs w:val="28"/>
        </w:rPr>
        <w:t>unpaid supporting responsibilitie</w:t>
      </w:r>
      <w:r w:rsidR="00E9306B" w:rsidRPr="000A7C5F">
        <w:rPr>
          <w:szCs w:val="28"/>
        </w:rPr>
        <w:t>s</w:t>
      </w:r>
      <w:r w:rsidR="00776167" w:rsidRPr="000A7C5F">
        <w:rPr>
          <w:szCs w:val="28"/>
        </w:rPr>
        <w:t xml:space="preserve"> to self-isolate</w:t>
      </w:r>
      <w:r w:rsidR="00352763" w:rsidRPr="000A7C5F">
        <w:rPr>
          <w:szCs w:val="28"/>
        </w:rPr>
        <w:t xml:space="preserve">. </w:t>
      </w:r>
    </w:p>
    <w:p w14:paraId="6B732D1D" w14:textId="77777777" w:rsidR="001B583E" w:rsidRPr="000A7C5F" w:rsidRDefault="001B583E" w:rsidP="00E739BB">
      <w:pPr>
        <w:pStyle w:val="ListParagraph"/>
        <w:rPr>
          <w:szCs w:val="28"/>
        </w:rPr>
      </w:pPr>
    </w:p>
    <w:p w14:paraId="2E413BF7" w14:textId="71E9EDE0" w:rsidR="004E23E5" w:rsidRPr="000A7C5F" w:rsidRDefault="00352763" w:rsidP="00794060">
      <w:pPr>
        <w:pStyle w:val="ListParagraph"/>
        <w:numPr>
          <w:ilvl w:val="0"/>
          <w:numId w:val="3"/>
        </w:numPr>
        <w:ind w:left="851" w:hanging="851"/>
        <w:rPr>
          <w:szCs w:val="28"/>
        </w:rPr>
      </w:pPr>
      <w:r w:rsidRPr="000A7C5F">
        <w:rPr>
          <w:szCs w:val="28"/>
        </w:rPr>
        <w:t>In</w:t>
      </w:r>
      <w:r w:rsidR="001C0522" w:rsidRPr="000A7C5F">
        <w:rPr>
          <w:szCs w:val="28"/>
        </w:rPr>
        <w:t>adequate</w:t>
      </w:r>
      <w:r w:rsidRPr="000A7C5F">
        <w:rPr>
          <w:szCs w:val="28"/>
        </w:rPr>
        <w:t xml:space="preserve"> consideration was given to the well-being of those </w:t>
      </w:r>
      <w:r w:rsidR="001C0522" w:rsidRPr="000A7C5F">
        <w:rPr>
          <w:szCs w:val="28"/>
        </w:rPr>
        <w:t>who were shielding</w:t>
      </w:r>
      <w:r w:rsidR="001C0522" w:rsidRPr="000A7C5F">
        <w:rPr>
          <w:rStyle w:val="FootnoteReference"/>
          <w:szCs w:val="28"/>
        </w:rPr>
        <w:footnoteReference w:id="480"/>
      </w:r>
      <w:r w:rsidR="001C0522" w:rsidRPr="000A7C5F">
        <w:rPr>
          <w:szCs w:val="28"/>
        </w:rPr>
        <w:t xml:space="preserve">. </w:t>
      </w:r>
      <w:r w:rsidR="00F10E12" w:rsidRPr="000A7C5F">
        <w:rPr>
          <w:szCs w:val="28"/>
        </w:rPr>
        <w:t xml:space="preserve">In July 2020, </w:t>
      </w:r>
      <w:r w:rsidR="00E9306B" w:rsidRPr="000A7C5F">
        <w:rPr>
          <w:szCs w:val="28"/>
        </w:rPr>
        <w:t>D</w:t>
      </w:r>
      <w:r w:rsidR="00F10E12" w:rsidRPr="000A7C5F">
        <w:rPr>
          <w:szCs w:val="28"/>
        </w:rPr>
        <w:t>isabled people reported more frequently than non-</w:t>
      </w:r>
      <w:r w:rsidR="00147A89" w:rsidRPr="000A7C5F">
        <w:rPr>
          <w:szCs w:val="28"/>
        </w:rPr>
        <w:t>D</w:t>
      </w:r>
      <w:r w:rsidR="00F10E12" w:rsidRPr="000A7C5F">
        <w:rPr>
          <w:szCs w:val="28"/>
        </w:rPr>
        <w:t xml:space="preserve">isabled people that the pandemic </w:t>
      </w:r>
      <w:r w:rsidR="00E9306B" w:rsidRPr="000A7C5F">
        <w:rPr>
          <w:szCs w:val="28"/>
        </w:rPr>
        <w:t>wa</w:t>
      </w:r>
      <w:r w:rsidR="00F10E12" w:rsidRPr="000A7C5F">
        <w:rPr>
          <w:szCs w:val="28"/>
        </w:rPr>
        <w:t>s affecting their well-being because it ma</w:t>
      </w:r>
      <w:r w:rsidR="00E9306B" w:rsidRPr="000A7C5F">
        <w:rPr>
          <w:szCs w:val="28"/>
        </w:rPr>
        <w:t xml:space="preserve">de </w:t>
      </w:r>
      <w:r w:rsidR="00F10E12" w:rsidRPr="000A7C5F">
        <w:rPr>
          <w:szCs w:val="28"/>
        </w:rPr>
        <w:t xml:space="preserve">their mental health </w:t>
      </w:r>
      <w:r w:rsidR="00F10E12" w:rsidRPr="000A7C5F">
        <w:rPr>
          <w:szCs w:val="28"/>
        </w:rPr>
        <w:lastRenderedPageBreak/>
        <w:t xml:space="preserve">worse (46% for </w:t>
      </w:r>
      <w:r w:rsidR="00E9306B" w:rsidRPr="000A7C5F">
        <w:rPr>
          <w:szCs w:val="28"/>
        </w:rPr>
        <w:t>D</w:t>
      </w:r>
      <w:r w:rsidR="00F10E12" w:rsidRPr="000A7C5F">
        <w:rPr>
          <w:szCs w:val="28"/>
        </w:rPr>
        <w:t>isabled people and 18% for non-</w:t>
      </w:r>
      <w:r w:rsidR="00147A89" w:rsidRPr="000A7C5F">
        <w:rPr>
          <w:szCs w:val="28"/>
        </w:rPr>
        <w:t>D</w:t>
      </w:r>
      <w:r w:rsidR="00F10E12" w:rsidRPr="000A7C5F">
        <w:rPr>
          <w:szCs w:val="28"/>
        </w:rPr>
        <w:t xml:space="preserve">isabled people), they </w:t>
      </w:r>
      <w:r w:rsidR="00E9306B" w:rsidRPr="000A7C5F">
        <w:rPr>
          <w:szCs w:val="28"/>
        </w:rPr>
        <w:t>felt</w:t>
      </w:r>
      <w:r w:rsidR="00F10E12" w:rsidRPr="000A7C5F">
        <w:rPr>
          <w:szCs w:val="28"/>
        </w:rPr>
        <w:t xml:space="preserve"> lonely (42% and 29%), they </w:t>
      </w:r>
      <w:r w:rsidR="00E9306B" w:rsidRPr="000A7C5F">
        <w:rPr>
          <w:szCs w:val="28"/>
        </w:rPr>
        <w:t>spent</w:t>
      </w:r>
      <w:r w:rsidR="00F10E12" w:rsidRPr="000A7C5F">
        <w:rPr>
          <w:szCs w:val="28"/>
        </w:rPr>
        <w:t xml:space="preserve"> too much time alone (36% and 25%), they fe</w:t>
      </w:r>
      <w:r w:rsidR="00E9306B" w:rsidRPr="000A7C5F">
        <w:rPr>
          <w:szCs w:val="28"/>
        </w:rPr>
        <w:t>lt</w:t>
      </w:r>
      <w:r w:rsidR="00F10E12" w:rsidRPr="000A7C5F">
        <w:rPr>
          <w:szCs w:val="28"/>
        </w:rPr>
        <w:t xml:space="preserve"> like a burden on others (25% and 8%), or ha</w:t>
      </w:r>
      <w:r w:rsidR="00E9306B" w:rsidRPr="000A7C5F">
        <w:rPr>
          <w:szCs w:val="28"/>
        </w:rPr>
        <w:t>d</w:t>
      </w:r>
      <w:r w:rsidR="00F10E12" w:rsidRPr="000A7C5F">
        <w:rPr>
          <w:szCs w:val="28"/>
        </w:rPr>
        <w:t xml:space="preserve"> no one to talk to about their worries (17% and 10%)</w:t>
      </w:r>
      <w:r w:rsidR="00F10E12" w:rsidRPr="000A7C5F">
        <w:rPr>
          <w:rStyle w:val="FootnoteReference"/>
          <w:szCs w:val="28"/>
        </w:rPr>
        <w:footnoteReference w:id="481"/>
      </w:r>
      <w:r w:rsidR="00F10E12" w:rsidRPr="000A7C5F">
        <w:rPr>
          <w:szCs w:val="28"/>
        </w:rPr>
        <w:t xml:space="preserve">. </w:t>
      </w:r>
      <w:r w:rsidRPr="000A7C5F">
        <w:rPr>
          <w:szCs w:val="28"/>
        </w:rPr>
        <w:t xml:space="preserve">We heard extensively about the isolation and anxiety that DDP experienced. </w:t>
      </w:r>
      <w:r w:rsidR="00AA7DC4" w:rsidRPr="000A7C5F">
        <w:rPr>
          <w:szCs w:val="28"/>
        </w:rPr>
        <w:t xml:space="preserve">10% of respondents </w:t>
      </w:r>
      <w:r w:rsidR="002D4BAF" w:rsidRPr="000A7C5F">
        <w:rPr>
          <w:szCs w:val="28"/>
        </w:rPr>
        <w:t xml:space="preserve">to our survey </w:t>
      </w:r>
      <w:r w:rsidR="00AA7DC4" w:rsidRPr="000A7C5F">
        <w:rPr>
          <w:szCs w:val="28"/>
        </w:rPr>
        <w:t>cited shielding and negative impacts on mental health as examples of how things have got worse for DDP since 2017</w:t>
      </w:r>
      <w:r w:rsidR="002D4BAF" w:rsidRPr="000A7C5F">
        <w:rPr>
          <w:rStyle w:val="FootnoteReference"/>
          <w:szCs w:val="28"/>
        </w:rPr>
        <w:footnoteReference w:id="482"/>
      </w:r>
      <w:r w:rsidR="00AA7DC4" w:rsidRPr="000A7C5F">
        <w:rPr>
          <w:szCs w:val="28"/>
        </w:rPr>
        <w:t xml:space="preserve">.   </w:t>
      </w:r>
    </w:p>
    <w:p w14:paraId="0C30461E" w14:textId="77777777" w:rsidR="004E23E5" w:rsidRPr="000A7C5F" w:rsidRDefault="004E23E5" w:rsidP="002E6728">
      <w:pPr>
        <w:pStyle w:val="ListParagraph"/>
        <w:ind w:left="851" w:hanging="851"/>
        <w:rPr>
          <w:szCs w:val="28"/>
        </w:rPr>
      </w:pPr>
    </w:p>
    <w:p w14:paraId="3C6C8159" w14:textId="682F86F9" w:rsidR="004E23E5" w:rsidRPr="000A7C5F" w:rsidRDefault="00352763" w:rsidP="00794060">
      <w:pPr>
        <w:pStyle w:val="ListParagraph"/>
        <w:numPr>
          <w:ilvl w:val="0"/>
          <w:numId w:val="3"/>
        </w:numPr>
        <w:ind w:left="851" w:hanging="851"/>
        <w:rPr>
          <w:szCs w:val="28"/>
        </w:rPr>
      </w:pPr>
      <w:r w:rsidRPr="000A7C5F">
        <w:rPr>
          <w:szCs w:val="28"/>
        </w:rPr>
        <w:t>DDP</w:t>
      </w:r>
      <w:r w:rsidR="00427B30" w:rsidRPr="000A7C5F">
        <w:rPr>
          <w:szCs w:val="28"/>
        </w:rPr>
        <w:t xml:space="preserve"> within institutional and residential settings </w:t>
      </w:r>
      <w:r w:rsidR="002C6760" w:rsidRPr="000A7C5F">
        <w:rPr>
          <w:szCs w:val="28"/>
        </w:rPr>
        <w:t>had fewer freedoms and were subject to greater levels of isolation than non-</w:t>
      </w:r>
      <w:r w:rsidR="00147A89" w:rsidRPr="000A7C5F">
        <w:rPr>
          <w:szCs w:val="28"/>
        </w:rPr>
        <w:t>D</w:t>
      </w:r>
      <w:r w:rsidR="002C6760" w:rsidRPr="000A7C5F">
        <w:rPr>
          <w:szCs w:val="28"/>
        </w:rPr>
        <w:t>isabled people</w:t>
      </w:r>
      <w:r w:rsidR="00AA7DC4" w:rsidRPr="000A7C5F">
        <w:rPr>
          <w:szCs w:val="28"/>
        </w:rPr>
        <w:t xml:space="preserve"> during lockdowns</w:t>
      </w:r>
      <w:r w:rsidR="00427B30" w:rsidRPr="000A7C5F">
        <w:rPr>
          <w:szCs w:val="28"/>
        </w:rPr>
        <w:t>. Under the Coronavirus Act 2020, people detained under the M</w:t>
      </w:r>
      <w:r w:rsidR="002C6760" w:rsidRPr="000A7C5F">
        <w:rPr>
          <w:szCs w:val="28"/>
        </w:rPr>
        <w:t xml:space="preserve">ental </w:t>
      </w:r>
      <w:r w:rsidR="00427B30" w:rsidRPr="000A7C5F">
        <w:rPr>
          <w:szCs w:val="28"/>
        </w:rPr>
        <w:t>H</w:t>
      </w:r>
      <w:r w:rsidR="002C6760" w:rsidRPr="000A7C5F">
        <w:rPr>
          <w:szCs w:val="28"/>
        </w:rPr>
        <w:t>ealth</w:t>
      </w:r>
      <w:r w:rsidR="00427B30" w:rsidRPr="000A7C5F">
        <w:rPr>
          <w:szCs w:val="28"/>
        </w:rPr>
        <w:t xml:space="preserve"> Act were exempt from the right to go outside for exercise once a day. The total visiting ban meant ward activities and therapy ceased.</w:t>
      </w:r>
      <w:r w:rsidR="00B33888" w:rsidRPr="000A7C5F">
        <w:rPr>
          <w:szCs w:val="28"/>
        </w:rPr>
        <w:t xml:space="preserve"> </w:t>
      </w:r>
      <w:r w:rsidR="002C6760" w:rsidRPr="000A7C5F">
        <w:rPr>
          <w:szCs w:val="28"/>
        </w:rPr>
        <w:t xml:space="preserve">Anecdotally, this led to </w:t>
      </w:r>
      <w:r w:rsidR="00427B30" w:rsidRPr="000A7C5F">
        <w:rPr>
          <w:szCs w:val="28"/>
        </w:rPr>
        <w:t xml:space="preserve">increased bullying, assault, </w:t>
      </w:r>
      <w:r w:rsidR="002C6760" w:rsidRPr="000A7C5F">
        <w:rPr>
          <w:szCs w:val="28"/>
        </w:rPr>
        <w:t xml:space="preserve">and </w:t>
      </w:r>
      <w:r w:rsidR="00427B30" w:rsidRPr="000A7C5F">
        <w:rPr>
          <w:szCs w:val="28"/>
        </w:rPr>
        <w:t>self</w:t>
      </w:r>
      <w:r w:rsidR="00B33888" w:rsidRPr="000A7C5F">
        <w:rPr>
          <w:szCs w:val="28"/>
        </w:rPr>
        <w:t>-</w:t>
      </w:r>
      <w:r w:rsidR="00427B30" w:rsidRPr="000A7C5F">
        <w:rPr>
          <w:szCs w:val="28"/>
        </w:rPr>
        <w:t>harm</w:t>
      </w:r>
      <w:r w:rsidR="002C6760" w:rsidRPr="000A7C5F">
        <w:rPr>
          <w:szCs w:val="28"/>
        </w:rPr>
        <w:t xml:space="preserve"> and there were no efforts by staff to facilitate virtual contact with friends and family</w:t>
      </w:r>
      <w:r w:rsidR="002C6760" w:rsidRPr="000A7C5F">
        <w:rPr>
          <w:rStyle w:val="FootnoteReference"/>
          <w:szCs w:val="28"/>
        </w:rPr>
        <w:footnoteReference w:id="483"/>
      </w:r>
      <w:r w:rsidR="002C6760" w:rsidRPr="000A7C5F">
        <w:rPr>
          <w:szCs w:val="28"/>
        </w:rPr>
        <w:t>.</w:t>
      </w:r>
      <w:r w:rsidR="00427B30" w:rsidRPr="000A7C5F">
        <w:rPr>
          <w:szCs w:val="28"/>
        </w:rPr>
        <w:t xml:space="preserve"> DDP in residential homes were subject to 14 days self-isolation if they left the home for contact with friends or family</w:t>
      </w:r>
      <w:r w:rsidR="00DF22A2" w:rsidRPr="000A7C5F">
        <w:rPr>
          <w:rStyle w:val="FootnoteReference"/>
          <w:szCs w:val="28"/>
        </w:rPr>
        <w:footnoteReference w:id="484"/>
      </w:r>
      <w:r w:rsidR="00427B30" w:rsidRPr="000A7C5F">
        <w:rPr>
          <w:szCs w:val="28"/>
        </w:rPr>
        <w:t>. Providers were not clear on guidelines and families were prevented from visiting despite this causing extreme distress to people with l</w:t>
      </w:r>
      <w:r w:rsidR="002C6760" w:rsidRPr="000A7C5F">
        <w:rPr>
          <w:szCs w:val="28"/>
        </w:rPr>
        <w:t>earning difficulties/</w:t>
      </w:r>
      <w:r w:rsidR="00427B30" w:rsidRPr="000A7C5F">
        <w:rPr>
          <w:szCs w:val="28"/>
        </w:rPr>
        <w:t>who are autistic</w:t>
      </w:r>
      <w:r w:rsidR="00AD5058" w:rsidRPr="000A7C5F">
        <w:rPr>
          <w:rStyle w:val="FootnoteReference"/>
          <w:szCs w:val="28"/>
        </w:rPr>
        <w:footnoteReference w:id="485"/>
      </w:r>
      <w:r w:rsidR="00427B30" w:rsidRPr="000A7C5F">
        <w:rPr>
          <w:szCs w:val="28"/>
        </w:rPr>
        <w:t xml:space="preserve">. </w:t>
      </w:r>
      <w:r w:rsidR="002C6760" w:rsidRPr="000A7C5F">
        <w:rPr>
          <w:szCs w:val="28"/>
        </w:rPr>
        <w:t xml:space="preserve">In </w:t>
      </w:r>
      <w:r w:rsidR="00E9306B" w:rsidRPr="000A7C5F">
        <w:rPr>
          <w:szCs w:val="28"/>
        </w:rPr>
        <w:t xml:space="preserve">one </w:t>
      </w:r>
      <w:r w:rsidR="002C6760" w:rsidRPr="000A7C5F">
        <w:rPr>
          <w:szCs w:val="28"/>
        </w:rPr>
        <w:t>c</w:t>
      </w:r>
      <w:r w:rsidR="00427B30" w:rsidRPr="000A7C5F">
        <w:rPr>
          <w:szCs w:val="28"/>
        </w:rPr>
        <w:t>ase stud</w:t>
      </w:r>
      <w:r w:rsidR="002C6760" w:rsidRPr="000A7C5F">
        <w:rPr>
          <w:szCs w:val="28"/>
        </w:rPr>
        <w:t>y</w:t>
      </w:r>
      <w:r w:rsidR="00AD5058" w:rsidRPr="000A7C5F">
        <w:rPr>
          <w:szCs w:val="28"/>
        </w:rPr>
        <w:t>,</w:t>
      </w:r>
      <w:r w:rsidR="002C6760" w:rsidRPr="000A7C5F">
        <w:rPr>
          <w:szCs w:val="28"/>
        </w:rPr>
        <w:t xml:space="preserve"> a provider insisted on </w:t>
      </w:r>
      <w:r w:rsidR="00427B30" w:rsidRPr="000A7C5F">
        <w:rPr>
          <w:szCs w:val="28"/>
        </w:rPr>
        <w:t xml:space="preserve">2:1 staffing to facilitate a </w:t>
      </w:r>
      <w:r w:rsidR="002C6760" w:rsidRPr="000A7C5F">
        <w:rPr>
          <w:szCs w:val="28"/>
        </w:rPr>
        <w:t xml:space="preserve">family </w:t>
      </w:r>
      <w:r w:rsidR="00427B30" w:rsidRPr="000A7C5F">
        <w:rPr>
          <w:szCs w:val="28"/>
        </w:rPr>
        <w:t xml:space="preserve">visit so that </w:t>
      </w:r>
      <w:r w:rsidR="002C6760" w:rsidRPr="000A7C5F">
        <w:rPr>
          <w:szCs w:val="28"/>
        </w:rPr>
        <w:t xml:space="preserve">a </w:t>
      </w:r>
      <w:r w:rsidR="002C6760" w:rsidRPr="000A7C5F">
        <w:rPr>
          <w:szCs w:val="28"/>
        </w:rPr>
        <w:lastRenderedPageBreak/>
        <w:t>woman with learning difficulties co</w:t>
      </w:r>
      <w:r w:rsidR="00427B30" w:rsidRPr="000A7C5F">
        <w:rPr>
          <w:szCs w:val="28"/>
        </w:rPr>
        <w:t xml:space="preserve">uld be physically restrained if she </w:t>
      </w:r>
      <w:r w:rsidR="002C6760" w:rsidRPr="000A7C5F">
        <w:rPr>
          <w:szCs w:val="28"/>
        </w:rPr>
        <w:t xml:space="preserve">broke social distancing rules by </w:t>
      </w:r>
      <w:r w:rsidR="00427B30" w:rsidRPr="000A7C5F">
        <w:rPr>
          <w:szCs w:val="28"/>
        </w:rPr>
        <w:t>attempt</w:t>
      </w:r>
      <w:r w:rsidR="002C6760" w:rsidRPr="000A7C5F">
        <w:rPr>
          <w:szCs w:val="28"/>
        </w:rPr>
        <w:t>ing</w:t>
      </w:r>
      <w:r w:rsidR="00427B30" w:rsidRPr="000A7C5F">
        <w:rPr>
          <w:szCs w:val="28"/>
        </w:rPr>
        <w:t xml:space="preserve"> to hug her family</w:t>
      </w:r>
      <w:r w:rsidR="00427B30" w:rsidRPr="000A7C5F">
        <w:rPr>
          <w:rStyle w:val="FootnoteReference"/>
          <w:szCs w:val="28"/>
        </w:rPr>
        <w:footnoteReference w:id="486"/>
      </w:r>
      <w:r w:rsidR="00427B30" w:rsidRPr="000A7C5F">
        <w:rPr>
          <w:szCs w:val="28"/>
        </w:rPr>
        <w:t>.</w:t>
      </w:r>
    </w:p>
    <w:p w14:paraId="29AAFB0A" w14:textId="77777777" w:rsidR="004E23E5" w:rsidRPr="000A7C5F" w:rsidRDefault="004E23E5" w:rsidP="00E739BB">
      <w:pPr>
        <w:pStyle w:val="ListParagraph"/>
        <w:rPr>
          <w:szCs w:val="28"/>
        </w:rPr>
      </w:pPr>
    </w:p>
    <w:p w14:paraId="323E0A96" w14:textId="56CA66EE" w:rsidR="004E23E5" w:rsidRPr="000A7C5F" w:rsidRDefault="00B144AD" w:rsidP="00794060">
      <w:pPr>
        <w:pStyle w:val="ListParagraph"/>
        <w:numPr>
          <w:ilvl w:val="0"/>
          <w:numId w:val="3"/>
        </w:numPr>
        <w:ind w:left="851" w:hanging="851"/>
        <w:rPr>
          <w:szCs w:val="28"/>
        </w:rPr>
      </w:pPr>
      <w:r w:rsidRPr="000A7C5F">
        <w:rPr>
          <w:szCs w:val="28"/>
        </w:rPr>
        <w:t xml:space="preserve">The ‘Clinically Extremely Vulnerable’ (CEV) list of those officially told to shield was not wide enough. Anecdotally we know of DDP not on the list, and thus not able to access to the protections it afforded, whose GPs said they needed to shield for medical reasons. We also know of DDP who only received notification they </w:t>
      </w:r>
      <w:r w:rsidR="00E9306B" w:rsidRPr="000A7C5F">
        <w:rPr>
          <w:szCs w:val="28"/>
        </w:rPr>
        <w:t>should have been on the</w:t>
      </w:r>
      <w:r w:rsidRPr="000A7C5F">
        <w:rPr>
          <w:szCs w:val="28"/>
        </w:rPr>
        <w:t xml:space="preserve"> CEV a year or longer into the pandemic.</w:t>
      </w:r>
      <w:r w:rsidRPr="000A7C5F">
        <w:rPr>
          <w:rStyle w:val="FootnoteReference"/>
          <w:szCs w:val="28"/>
        </w:rPr>
        <w:footnoteReference w:id="487"/>
      </w:r>
    </w:p>
    <w:p w14:paraId="1128FA02" w14:textId="77777777" w:rsidR="004E23E5" w:rsidRPr="000A7C5F" w:rsidRDefault="004E23E5" w:rsidP="002E6728">
      <w:pPr>
        <w:pStyle w:val="ListParagraph"/>
        <w:ind w:left="851" w:hanging="851"/>
        <w:rPr>
          <w:szCs w:val="28"/>
        </w:rPr>
      </w:pPr>
    </w:p>
    <w:p w14:paraId="7915D0C8" w14:textId="5003CC49" w:rsidR="004E23E5" w:rsidRPr="000A7C5F" w:rsidRDefault="00B144AD" w:rsidP="00794060">
      <w:pPr>
        <w:pStyle w:val="ListParagraph"/>
        <w:numPr>
          <w:ilvl w:val="0"/>
          <w:numId w:val="3"/>
        </w:numPr>
        <w:ind w:left="851" w:hanging="851"/>
        <w:rPr>
          <w:szCs w:val="28"/>
        </w:rPr>
      </w:pPr>
      <w:r w:rsidRPr="000A7C5F">
        <w:rPr>
          <w:szCs w:val="28"/>
        </w:rPr>
        <w:t xml:space="preserve">DDP needed to lobby </w:t>
      </w:r>
      <w:proofErr w:type="spellStart"/>
      <w:r w:rsidR="009037D2" w:rsidRPr="000A7C5F">
        <w:rPr>
          <w:szCs w:val="28"/>
        </w:rPr>
        <w:t>WeG</w:t>
      </w:r>
      <w:proofErr w:type="spellEnd"/>
      <w:r w:rsidRPr="000A7C5F">
        <w:rPr>
          <w:szCs w:val="28"/>
        </w:rPr>
        <w:t xml:space="preserve"> for priority access to COVID vaccines after working age people listed as CEV were initially placed sixth on the priority list</w:t>
      </w:r>
      <w:r w:rsidRPr="000A7C5F">
        <w:rPr>
          <w:rStyle w:val="FootnoteReference"/>
          <w:szCs w:val="28"/>
        </w:rPr>
        <w:footnoteReference w:id="488"/>
      </w:r>
      <w:r w:rsidRPr="000A7C5F">
        <w:rPr>
          <w:szCs w:val="28"/>
        </w:rPr>
        <w:t xml:space="preserve">. </w:t>
      </w:r>
      <w:r w:rsidR="00E9306B" w:rsidRPr="000A7C5F">
        <w:rPr>
          <w:szCs w:val="28"/>
        </w:rPr>
        <w:t xml:space="preserve">After lobbying this </w:t>
      </w:r>
      <w:r w:rsidRPr="000A7C5F">
        <w:rPr>
          <w:szCs w:val="28"/>
        </w:rPr>
        <w:t>was amended to raise the level of priority</w:t>
      </w:r>
      <w:r w:rsidRPr="000A7C5F">
        <w:rPr>
          <w:rStyle w:val="FootnoteReference"/>
          <w:szCs w:val="28"/>
        </w:rPr>
        <w:footnoteReference w:id="489"/>
      </w:r>
      <w:r w:rsidRPr="000A7C5F">
        <w:rPr>
          <w:szCs w:val="28"/>
        </w:rPr>
        <w:t xml:space="preserve">. We received evidence about the lack of priority for younger </w:t>
      </w:r>
      <w:r w:rsidR="00E9306B" w:rsidRPr="000A7C5F">
        <w:rPr>
          <w:szCs w:val="28"/>
        </w:rPr>
        <w:t>D</w:t>
      </w:r>
      <w:r w:rsidRPr="000A7C5F">
        <w:rPr>
          <w:szCs w:val="28"/>
        </w:rPr>
        <w:t>isabled people</w:t>
      </w:r>
      <w:r w:rsidR="00756159" w:rsidRPr="000A7C5F">
        <w:rPr>
          <w:szCs w:val="28"/>
        </w:rPr>
        <w:t xml:space="preserve"> and those living with family members,</w:t>
      </w:r>
      <w:r w:rsidRPr="000A7C5F">
        <w:rPr>
          <w:szCs w:val="28"/>
        </w:rPr>
        <w:t xml:space="preserve"> and difficulties accessing vaccinations</w:t>
      </w:r>
      <w:r w:rsidR="00756159" w:rsidRPr="000A7C5F">
        <w:rPr>
          <w:szCs w:val="28"/>
        </w:rPr>
        <w:t xml:space="preserve"> for those unable to travel</w:t>
      </w:r>
      <w:r w:rsidRPr="000A7C5F">
        <w:rPr>
          <w:rStyle w:val="FootnoteReference"/>
          <w:szCs w:val="28"/>
        </w:rPr>
        <w:footnoteReference w:id="490"/>
      </w:r>
      <w:r w:rsidRPr="000A7C5F">
        <w:rPr>
          <w:szCs w:val="28"/>
        </w:rPr>
        <w:t>.</w:t>
      </w:r>
    </w:p>
    <w:p w14:paraId="54F78A5B" w14:textId="77777777" w:rsidR="004E23E5" w:rsidRPr="000A7C5F" w:rsidRDefault="004E23E5" w:rsidP="00E739BB">
      <w:pPr>
        <w:pStyle w:val="ListParagraph"/>
        <w:rPr>
          <w:szCs w:val="28"/>
        </w:rPr>
      </w:pPr>
    </w:p>
    <w:p w14:paraId="5ED51F3A" w14:textId="2F40E72B" w:rsidR="004E23E5" w:rsidRPr="000A7C5F" w:rsidRDefault="00B144AD" w:rsidP="00794060">
      <w:pPr>
        <w:pStyle w:val="ListParagraph"/>
        <w:numPr>
          <w:ilvl w:val="0"/>
          <w:numId w:val="3"/>
        </w:numPr>
        <w:ind w:left="851" w:hanging="851"/>
        <w:rPr>
          <w:szCs w:val="28"/>
        </w:rPr>
      </w:pPr>
      <w:r w:rsidRPr="000A7C5F">
        <w:rPr>
          <w:szCs w:val="28"/>
        </w:rPr>
        <w:t xml:space="preserve">Legal protections for Disabled workers ended on 31 March 2021 when </w:t>
      </w:r>
      <w:proofErr w:type="spellStart"/>
      <w:r w:rsidR="009037D2" w:rsidRPr="000A7C5F">
        <w:rPr>
          <w:szCs w:val="28"/>
        </w:rPr>
        <w:t>WeG</w:t>
      </w:r>
      <w:proofErr w:type="spellEnd"/>
      <w:r w:rsidRPr="000A7C5F">
        <w:rPr>
          <w:szCs w:val="28"/>
        </w:rPr>
        <w:t xml:space="preserve"> announced an official end to shielding</w:t>
      </w:r>
      <w:r w:rsidR="00E9306B" w:rsidRPr="000A7C5F">
        <w:rPr>
          <w:szCs w:val="28"/>
        </w:rPr>
        <w:t xml:space="preserve"> despite COVID rates still being high</w:t>
      </w:r>
      <w:r w:rsidR="00521259" w:rsidRPr="000A7C5F">
        <w:rPr>
          <w:vertAlign w:val="superscript"/>
        </w:rPr>
        <w:footnoteReference w:id="491"/>
      </w:r>
      <w:r w:rsidRPr="000A7C5F">
        <w:rPr>
          <w:szCs w:val="28"/>
        </w:rPr>
        <w:t xml:space="preserve">. Many employers had not respected DDP’s right to life before this. Research by disability charity Scope found that 22% of disabled workers faced having to choose between going to their place of work and quitting their job </w:t>
      </w:r>
      <w:r w:rsidRPr="000A7C5F">
        <w:rPr>
          <w:rStyle w:val="FootnoteReference"/>
          <w:szCs w:val="28"/>
        </w:rPr>
        <w:footnoteReference w:id="492"/>
      </w:r>
      <w:r w:rsidR="00E9306B" w:rsidRPr="000A7C5F">
        <w:rPr>
          <w:szCs w:val="28"/>
        </w:rPr>
        <w:t>.</w:t>
      </w:r>
    </w:p>
    <w:p w14:paraId="311BCAC3" w14:textId="77777777" w:rsidR="004E23E5" w:rsidRPr="000A7C5F" w:rsidRDefault="004E23E5" w:rsidP="002E6728">
      <w:pPr>
        <w:pStyle w:val="ListParagraph"/>
        <w:ind w:left="851" w:hanging="851"/>
        <w:rPr>
          <w:szCs w:val="28"/>
        </w:rPr>
      </w:pPr>
    </w:p>
    <w:p w14:paraId="595B2073" w14:textId="534AC2CD" w:rsidR="004E23E5" w:rsidRPr="000A7C5F" w:rsidRDefault="00D4149C" w:rsidP="00794060">
      <w:pPr>
        <w:pStyle w:val="ListParagraph"/>
        <w:numPr>
          <w:ilvl w:val="0"/>
          <w:numId w:val="3"/>
        </w:numPr>
        <w:ind w:left="851" w:hanging="851"/>
        <w:rPr>
          <w:szCs w:val="28"/>
        </w:rPr>
      </w:pPr>
      <w:r w:rsidRPr="000A7C5F">
        <w:rPr>
          <w:szCs w:val="28"/>
        </w:rPr>
        <w:t xml:space="preserve">Official communications about the pandemic were </w:t>
      </w:r>
      <w:r w:rsidR="00AA7DC4" w:rsidRPr="000A7C5F">
        <w:rPr>
          <w:szCs w:val="28"/>
        </w:rPr>
        <w:t xml:space="preserve">confusing and </w:t>
      </w:r>
      <w:r w:rsidRPr="000A7C5F">
        <w:rPr>
          <w:szCs w:val="28"/>
        </w:rPr>
        <w:t xml:space="preserve">not made available in accessible formats. </w:t>
      </w:r>
      <w:proofErr w:type="spellStart"/>
      <w:r w:rsidRPr="000A7C5F">
        <w:rPr>
          <w:szCs w:val="28"/>
        </w:rPr>
        <w:t>We</w:t>
      </w:r>
      <w:r w:rsidR="00E9306B" w:rsidRPr="000A7C5F">
        <w:rPr>
          <w:szCs w:val="28"/>
        </w:rPr>
        <w:t>G</w:t>
      </w:r>
      <w:proofErr w:type="spellEnd"/>
      <w:r w:rsidRPr="000A7C5F">
        <w:rPr>
          <w:szCs w:val="28"/>
        </w:rPr>
        <w:t xml:space="preserve"> refused to provide BSL interpretation for </w:t>
      </w:r>
      <w:r w:rsidR="00E9306B" w:rsidRPr="000A7C5F">
        <w:rPr>
          <w:szCs w:val="28"/>
        </w:rPr>
        <w:t xml:space="preserve">televised </w:t>
      </w:r>
      <w:r w:rsidRPr="000A7C5F">
        <w:rPr>
          <w:szCs w:val="28"/>
        </w:rPr>
        <w:t xml:space="preserve">public briefings (which Scotland and Welsh Governments put in place) until </w:t>
      </w:r>
      <w:r w:rsidR="00AA7DC4" w:rsidRPr="000A7C5F">
        <w:rPr>
          <w:szCs w:val="28"/>
        </w:rPr>
        <w:t xml:space="preserve">forced by </w:t>
      </w:r>
      <w:r w:rsidRPr="000A7C5F">
        <w:rPr>
          <w:szCs w:val="28"/>
        </w:rPr>
        <w:t xml:space="preserve">a high court </w:t>
      </w:r>
      <w:r w:rsidR="00AA7DC4" w:rsidRPr="000A7C5F">
        <w:rPr>
          <w:szCs w:val="28"/>
        </w:rPr>
        <w:t>ruling</w:t>
      </w:r>
      <w:r w:rsidRPr="000A7C5F">
        <w:rPr>
          <w:rStyle w:val="FootnoteReference"/>
          <w:szCs w:val="28"/>
        </w:rPr>
        <w:footnoteReference w:id="493"/>
      </w:r>
      <w:r w:rsidRPr="000A7C5F">
        <w:rPr>
          <w:szCs w:val="28"/>
        </w:rPr>
        <w:t>.</w:t>
      </w:r>
      <w:r w:rsidR="00E9306B" w:rsidRPr="000A7C5F">
        <w:rPr>
          <w:szCs w:val="28"/>
        </w:rPr>
        <w:t xml:space="preserve"> At this point there was only one public briefing left.</w:t>
      </w:r>
    </w:p>
    <w:p w14:paraId="17F8B193" w14:textId="77777777" w:rsidR="004E23E5" w:rsidRPr="000A7C5F" w:rsidRDefault="004E23E5" w:rsidP="002E6728">
      <w:pPr>
        <w:pStyle w:val="ListParagraph"/>
        <w:ind w:left="851" w:hanging="851"/>
        <w:rPr>
          <w:szCs w:val="28"/>
        </w:rPr>
      </w:pPr>
    </w:p>
    <w:p w14:paraId="33945CEC" w14:textId="2797B7E6" w:rsidR="004E23E5" w:rsidRPr="000A7C5F" w:rsidRDefault="00D4149C" w:rsidP="00794060">
      <w:pPr>
        <w:pStyle w:val="ListParagraph"/>
        <w:numPr>
          <w:ilvl w:val="0"/>
          <w:numId w:val="3"/>
        </w:numPr>
        <w:ind w:left="851" w:hanging="851"/>
        <w:rPr>
          <w:szCs w:val="28"/>
        </w:rPr>
      </w:pPr>
      <w:r w:rsidRPr="000A7C5F">
        <w:rPr>
          <w:szCs w:val="28"/>
        </w:rPr>
        <w:t xml:space="preserve">The rights of Disabled Parliamentarians to continue shielding after Parliament reconvened in person were denied. They were subject to discriminatory comments by </w:t>
      </w:r>
      <w:r w:rsidR="00366071" w:rsidRPr="000A7C5F">
        <w:rPr>
          <w:szCs w:val="28"/>
        </w:rPr>
        <w:t>fellow politicians.</w:t>
      </w:r>
      <w:r w:rsidRPr="000A7C5F">
        <w:rPr>
          <w:szCs w:val="28"/>
        </w:rPr>
        <w:t xml:space="preserve"> </w:t>
      </w:r>
      <w:r w:rsidR="00A54F37" w:rsidRPr="000A7C5F">
        <w:rPr>
          <w:szCs w:val="28"/>
        </w:rPr>
        <w:t xml:space="preserve">A government minister told MPs shielding from coronavirus that it was their </w:t>
      </w:r>
      <w:r w:rsidR="00A54F37" w:rsidRPr="000A7C5F">
        <w:rPr>
          <w:szCs w:val="28"/>
        </w:rPr>
        <w:lastRenderedPageBreak/>
        <w:t>“duty” to return to the House of Commons, even though that could put their lives at risk</w:t>
      </w:r>
      <w:r w:rsidR="00A54F37" w:rsidRPr="000A7C5F">
        <w:rPr>
          <w:rStyle w:val="FootnoteReference"/>
          <w:szCs w:val="28"/>
        </w:rPr>
        <w:footnoteReference w:id="494"/>
      </w:r>
      <w:r w:rsidR="00A54F37" w:rsidRPr="000A7C5F">
        <w:rPr>
          <w:szCs w:val="28"/>
        </w:rPr>
        <w:t>.</w:t>
      </w:r>
    </w:p>
    <w:p w14:paraId="5DBD8A9F" w14:textId="77777777" w:rsidR="004E23E5" w:rsidRPr="000A7C5F" w:rsidRDefault="004E23E5" w:rsidP="00E739BB">
      <w:pPr>
        <w:pStyle w:val="ListParagraph"/>
        <w:rPr>
          <w:szCs w:val="28"/>
        </w:rPr>
      </w:pPr>
    </w:p>
    <w:p w14:paraId="4D3F36DB" w14:textId="60B1B7AC" w:rsidR="004E23E5" w:rsidRPr="000A7C5F" w:rsidRDefault="00366071" w:rsidP="00794060">
      <w:pPr>
        <w:pStyle w:val="ListParagraph"/>
        <w:numPr>
          <w:ilvl w:val="0"/>
          <w:numId w:val="3"/>
        </w:numPr>
        <w:ind w:left="851" w:hanging="851"/>
        <w:rPr>
          <w:szCs w:val="28"/>
        </w:rPr>
      </w:pPr>
      <w:r w:rsidRPr="000A7C5F">
        <w:rPr>
          <w:szCs w:val="28"/>
        </w:rPr>
        <w:t>A m</w:t>
      </w:r>
      <w:r w:rsidR="009C7259" w:rsidRPr="000A7C5F">
        <w:rPr>
          <w:szCs w:val="28"/>
        </w:rPr>
        <w:t xml:space="preserve">edical model approach </w:t>
      </w:r>
      <w:r w:rsidRPr="000A7C5F">
        <w:rPr>
          <w:szCs w:val="28"/>
        </w:rPr>
        <w:t xml:space="preserve">taken to the pandemic has obscured human </w:t>
      </w:r>
      <w:r w:rsidR="009C7259" w:rsidRPr="000A7C5F">
        <w:rPr>
          <w:szCs w:val="28"/>
        </w:rPr>
        <w:t>rights breaches</w:t>
      </w:r>
      <w:r w:rsidRPr="000A7C5F">
        <w:rPr>
          <w:szCs w:val="28"/>
        </w:rPr>
        <w:t xml:space="preserve">. </w:t>
      </w:r>
      <w:r w:rsidR="00521259" w:rsidRPr="000A7C5F">
        <w:rPr>
          <w:szCs w:val="28"/>
        </w:rPr>
        <w:t xml:space="preserve">24 breaches of DDP’s rights by </w:t>
      </w:r>
      <w:proofErr w:type="spellStart"/>
      <w:r w:rsidR="009037D2" w:rsidRPr="000A7C5F">
        <w:rPr>
          <w:szCs w:val="28"/>
        </w:rPr>
        <w:t>WeG</w:t>
      </w:r>
      <w:proofErr w:type="spellEnd"/>
      <w:r w:rsidR="00521259" w:rsidRPr="000A7C5F">
        <w:rPr>
          <w:szCs w:val="28"/>
        </w:rPr>
        <w:t xml:space="preserve"> were identified in the first 12 months of the pandemic</w:t>
      </w:r>
      <w:r w:rsidR="00521259" w:rsidRPr="000A7C5F">
        <w:rPr>
          <w:rStyle w:val="FootnoteReference"/>
          <w:szCs w:val="28"/>
        </w:rPr>
        <w:footnoteReference w:id="495"/>
      </w:r>
      <w:r w:rsidR="00521259" w:rsidRPr="000A7C5F">
        <w:rPr>
          <w:szCs w:val="28"/>
        </w:rPr>
        <w:t xml:space="preserve">. </w:t>
      </w:r>
      <w:r w:rsidR="00E978F1" w:rsidRPr="000A7C5F">
        <w:rPr>
          <w:szCs w:val="28"/>
        </w:rPr>
        <w:t xml:space="preserve">A report from </w:t>
      </w:r>
      <w:r w:rsidR="00C17543" w:rsidRPr="000A7C5F">
        <w:rPr>
          <w:szCs w:val="28"/>
        </w:rPr>
        <w:t xml:space="preserve">Oxford University’s Disability Law and Policy Project and </w:t>
      </w:r>
      <w:r w:rsidR="00E978F1" w:rsidRPr="000A7C5F">
        <w:rPr>
          <w:szCs w:val="28"/>
        </w:rPr>
        <w:t>the</w:t>
      </w:r>
      <w:r w:rsidR="00C17543" w:rsidRPr="000A7C5F">
        <w:rPr>
          <w:szCs w:val="28"/>
        </w:rPr>
        <w:t xml:space="preserve"> </w:t>
      </w:r>
      <w:proofErr w:type="spellStart"/>
      <w:r w:rsidR="00C17543" w:rsidRPr="000A7C5F">
        <w:rPr>
          <w:szCs w:val="28"/>
        </w:rPr>
        <w:t>Bonavero</w:t>
      </w:r>
      <w:proofErr w:type="spellEnd"/>
      <w:r w:rsidR="00C17543" w:rsidRPr="000A7C5F">
        <w:rPr>
          <w:szCs w:val="28"/>
        </w:rPr>
        <w:t xml:space="preserve"> Institute of Human Rights</w:t>
      </w:r>
      <w:r w:rsidR="00E978F1" w:rsidRPr="000A7C5F">
        <w:rPr>
          <w:szCs w:val="28"/>
        </w:rPr>
        <w:t xml:space="preserve"> </w:t>
      </w:r>
      <w:r w:rsidR="00C17543" w:rsidRPr="000A7C5F">
        <w:rPr>
          <w:szCs w:val="28"/>
        </w:rPr>
        <w:t>conclude</w:t>
      </w:r>
      <w:r w:rsidR="00E978F1" w:rsidRPr="000A7C5F">
        <w:rPr>
          <w:szCs w:val="28"/>
        </w:rPr>
        <w:t>d</w:t>
      </w:r>
      <w:r w:rsidR="00C17543" w:rsidRPr="000A7C5F">
        <w:rPr>
          <w:szCs w:val="28"/>
        </w:rPr>
        <w:t xml:space="preserve"> that </w:t>
      </w:r>
      <w:proofErr w:type="spellStart"/>
      <w:r w:rsidR="009037D2" w:rsidRPr="000A7C5F">
        <w:rPr>
          <w:szCs w:val="28"/>
        </w:rPr>
        <w:t>WeG</w:t>
      </w:r>
      <w:r w:rsidR="00E978F1" w:rsidRPr="000A7C5F">
        <w:rPr>
          <w:szCs w:val="28"/>
        </w:rPr>
        <w:t>’s</w:t>
      </w:r>
      <w:proofErr w:type="spellEnd"/>
      <w:r w:rsidR="00C17543" w:rsidRPr="000A7C5F">
        <w:rPr>
          <w:szCs w:val="28"/>
        </w:rPr>
        <w:t xml:space="preserve"> policy-making breached its duties to </w:t>
      </w:r>
      <w:r w:rsidR="00E978F1" w:rsidRPr="000A7C5F">
        <w:rPr>
          <w:szCs w:val="28"/>
        </w:rPr>
        <w:t>DDP</w:t>
      </w:r>
      <w:r w:rsidR="00C17543" w:rsidRPr="000A7C5F">
        <w:rPr>
          <w:szCs w:val="28"/>
        </w:rPr>
        <w:t xml:space="preserve"> under both the Equality Act and the Convention on the Rights of Persons with Disabilities (UNCRPD).</w:t>
      </w:r>
      <w:r w:rsidR="00E978F1" w:rsidRPr="000A7C5F">
        <w:rPr>
          <w:szCs w:val="28"/>
        </w:rPr>
        <w:t xml:space="preserve"> It called for </w:t>
      </w:r>
      <w:r w:rsidR="00C17543" w:rsidRPr="000A7C5F">
        <w:rPr>
          <w:szCs w:val="28"/>
        </w:rPr>
        <w:t>an “immediate” review of legislation introduced during the crisis, as well as an inquiry to “understand the scale of COVID-19 related deaths and to examine why this group has carried such a heavy burden”</w:t>
      </w:r>
      <w:r w:rsidR="00E978F1" w:rsidRPr="000A7C5F">
        <w:rPr>
          <w:rStyle w:val="FootnoteReference"/>
          <w:szCs w:val="28"/>
        </w:rPr>
        <w:footnoteReference w:id="496"/>
      </w:r>
      <w:r w:rsidR="00E978F1" w:rsidRPr="000A7C5F">
        <w:rPr>
          <w:szCs w:val="28"/>
        </w:rPr>
        <w:t>.</w:t>
      </w:r>
    </w:p>
    <w:p w14:paraId="0D285C95" w14:textId="77777777" w:rsidR="004E23E5" w:rsidRPr="000A7C5F" w:rsidRDefault="004E23E5" w:rsidP="002E6728">
      <w:pPr>
        <w:pStyle w:val="ListParagraph"/>
        <w:ind w:left="851" w:hanging="851"/>
        <w:rPr>
          <w:szCs w:val="28"/>
        </w:rPr>
      </w:pPr>
    </w:p>
    <w:p w14:paraId="4ECFE408" w14:textId="58299434" w:rsidR="004E23E5" w:rsidRPr="000A7C5F" w:rsidRDefault="009037D2" w:rsidP="00794060">
      <w:pPr>
        <w:pStyle w:val="ListParagraph"/>
        <w:numPr>
          <w:ilvl w:val="0"/>
          <w:numId w:val="3"/>
        </w:numPr>
        <w:ind w:left="851" w:hanging="851"/>
        <w:rPr>
          <w:szCs w:val="28"/>
        </w:rPr>
      </w:pPr>
      <w:proofErr w:type="spellStart"/>
      <w:r w:rsidRPr="000A7C5F">
        <w:rPr>
          <w:szCs w:val="28"/>
        </w:rPr>
        <w:t>WeG</w:t>
      </w:r>
      <w:proofErr w:type="spellEnd"/>
      <w:r w:rsidR="00366071" w:rsidRPr="000A7C5F">
        <w:rPr>
          <w:szCs w:val="28"/>
        </w:rPr>
        <w:t xml:space="preserve"> has failed to undertake any rights-based assessment of what happened to DDP during the pandemic. One piece of </w:t>
      </w:r>
      <w:r w:rsidR="00E978F1" w:rsidRPr="000A7C5F">
        <w:rPr>
          <w:szCs w:val="28"/>
        </w:rPr>
        <w:t>ethnographically</w:t>
      </w:r>
      <w:r w:rsidR="00122D23" w:rsidRPr="000A7C5F">
        <w:rPr>
          <w:szCs w:val="28"/>
        </w:rPr>
        <w:t>-</w:t>
      </w:r>
      <w:r w:rsidR="00E978F1" w:rsidRPr="000A7C5F">
        <w:rPr>
          <w:szCs w:val="28"/>
        </w:rPr>
        <w:t xml:space="preserve">led </w:t>
      </w:r>
      <w:r w:rsidR="00366071" w:rsidRPr="000A7C5F">
        <w:rPr>
          <w:szCs w:val="28"/>
        </w:rPr>
        <w:t xml:space="preserve">research commissioned by the </w:t>
      </w:r>
      <w:proofErr w:type="spellStart"/>
      <w:r w:rsidRPr="000A7C5F">
        <w:rPr>
          <w:szCs w:val="28"/>
        </w:rPr>
        <w:t>WeG</w:t>
      </w:r>
      <w:proofErr w:type="spellEnd"/>
      <w:r w:rsidR="00366071" w:rsidRPr="000A7C5F">
        <w:rPr>
          <w:szCs w:val="28"/>
        </w:rPr>
        <w:t xml:space="preserve"> Disability Unit consisted of interviews and qualitative engagement with nine DDP over </w:t>
      </w:r>
      <w:r w:rsidR="00E978F1" w:rsidRPr="000A7C5F">
        <w:rPr>
          <w:szCs w:val="28"/>
        </w:rPr>
        <w:t>six weeks within a three month</w:t>
      </w:r>
      <w:r w:rsidR="00366071" w:rsidRPr="000A7C5F">
        <w:rPr>
          <w:szCs w:val="28"/>
        </w:rPr>
        <w:t xml:space="preserve"> period </w:t>
      </w:r>
      <w:r w:rsidR="00841ECF" w:rsidRPr="000A7C5F">
        <w:rPr>
          <w:szCs w:val="28"/>
        </w:rPr>
        <w:t xml:space="preserve">from July to September </w:t>
      </w:r>
      <w:r w:rsidR="00366071" w:rsidRPr="000A7C5F">
        <w:rPr>
          <w:szCs w:val="28"/>
        </w:rPr>
        <w:t>to map their individual experiences</w:t>
      </w:r>
      <w:r w:rsidR="00E978F1" w:rsidRPr="000A7C5F">
        <w:rPr>
          <w:rStyle w:val="FootnoteReference"/>
          <w:szCs w:val="28"/>
        </w:rPr>
        <w:footnoteReference w:id="497"/>
      </w:r>
      <w:r w:rsidR="00366071" w:rsidRPr="000A7C5F">
        <w:rPr>
          <w:szCs w:val="28"/>
        </w:rPr>
        <w:t xml:space="preserve">. </w:t>
      </w:r>
      <w:r w:rsidR="0014605B" w:rsidRPr="000A7C5F">
        <w:rPr>
          <w:szCs w:val="28"/>
        </w:rPr>
        <w:t xml:space="preserve">Almost no </w:t>
      </w:r>
      <w:r w:rsidR="0014605B" w:rsidRPr="000A7C5F">
        <w:rPr>
          <w:szCs w:val="28"/>
        </w:rPr>
        <w:lastRenderedPageBreak/>
        <w:t>attention has been paid to the discrimination that appears to have led to disabled people dying in disproportionate numbers from COVID-19.</w:t>
      </w:r>
    </w:p>
    <w:p w14:paraId="186BEF6F" w14:textId="77777777" w:rsidR="004E23E5" w:rsidRPr="000A7C5F" w:rsidRDefault="004E23E5" w:rsidP="00E739BB">
      <w:pPr>
        <w:pStyle w:val="ListParagraph"/>
        <w:rPr>
          <w:szCs w:val="28"/>
        </w:rPr>
      </w:pPr>
    </w:p>
    <w:p w14:paraId="57B962EB" w14:textId="618F6F4F" w:rsidR="004E23E5" w:rsidRPr="000A7C5F" w:rsidRDefault="006463C8" w:rsidP="00794060">
      <w:pPr>
        <w:pStyle w:val="ListParagraph"/>
        <w:numPr>
          <w:ilvl w:val="0"/>
          <w:numId w:val="3"/>
        </w:numPr>
        <w:ind w:left="851" w:hanging="851"/>
        <w:rPr>
          <w:szCs w:val="28"/>
        </w:rPr>
      </w:pPr>
      <w:r w:rsidRPr="000A7C5F">
        <w:rPr>
          <w:szCs w:val="28"/>
        </w:rPr>
        <w:t>The Prime Minister has promised an independent inquiry into the handling of the pandemic</w:t>
      </w:r>
      <w:r w:rsidR="00EB080B" w:rsidRPr="000A7C5F">
        <w:rPr>
          <w:szCs w:val="28"/>
        </w:rPr>
        <w:t xml:space="preserve"> but we have no further information such as how to ensure adequate inclusion of disability and human rights approaches</w:t>
      </w:r>
      <w:r w:rsidRPr="000A7C5F">
        <w:rPr>
          <w:szCs w:val="28"/>
        </w:rPr>
        <w:t xml:space="preserve">. </w:t>
      </w:r>
      <w:r w:rsidR="00841ECF" w:rsidRPr="000A7C5F">
        <w:rPr>
          <w:szCs w:val="28"/>
        </w:rPr>
        <w:t>In December 2021 an independent cross-bench Peer, Lady Hallett, was appointed as Chair to the inquiry due to commence in Spring 2022</w:t>
      </w:r>
      <w:r w:rsidR="00841ECF" w:rsidRPr="000A7C5F">
        <w:rPr>
          <w:rStyle w:val="FootnoteReference"/>
          <w:szCs w:val="28"/>
        </w:rPr>
        <w:footnoteReference w:id="498"/>
      </w:r>
      <w:r w:rsidR="00841ECF" w:rsidRPr="000A7C5F">
        <w:rPr>
          <w:szCs w:val="28"/>
        </w:rPr>
        <w:t xml:space="preserve">. We </w:t>
      </w:r>
      <w:r w:rsidR="00122D23" w:rsidRPr="000A7C5F">
        <w:rPr>
          <w:szCs w:val="28"/>
        </w:rPr>
        <w:t>a</w:t>
      </w:r>
      <w:r w:rsidR="00841ECF" w:rsidRPr="000A7C5F">
        <w:rPr>
          <w:szCs w:val="28"/>
        </w:rPr>
        <w:t xml:space="preserve">wait </w:t>
      </w:r>
      <w:r w:rsidR="00122D23" w:rsidRPr="000A7C5F">
        <w:rPr>
          <w:szCs w:val="28"/>
        </w:rPr>
        <w:t xml:space="preserve">further information such as </w:t>
      </w:r>
      <w:r w:rsidR="00841ECF" w:rsidRPr="000A7C5F">
        <w:rPr>
          <w:szCs w:val="28"/>
        </w:rPr>
        <w:t xml:space="preserve">consultation on the terms of reference for the inquiry. </w:t>
      </w:r>
    </w:p>
    <w:p w14:paraId="5D8BE511" w14:textId="77777777" w:rsidR="00EB080B" w:rsidRPr="000A7C5F" w:rsidRDefault="00EB080B" w:rsidP="002E6728">
      <w:pPr>
        <w:pStyle w:val="ListParagraph"/>
        <w:ind w:left="851" w:hanging="851"/>
        <w:rPr>
          <w:szCs w:val="28"/>
        </w:rPr>
      </w:pPr>
    </w:p>
    <w:p w14:paraId="362893A7" w14:textId="322EEE77" w:rsidR="004E23E5" w:rsidRPr="000A7C5F" w:rsidRDefault="00FE06F9" w:rsidP="00794060">
      <w:pPr>
        <w:pStyle w:val="ListParagraph"/>
        <w:numPr>
          <w:ilvl w:val="0"/>
          <w:numId w:val="3"/>
        </w:numPr>
        <w:ind w:left="851" w:hanging="851"/>
        <w:rPr>
          <w:szCs w:val="28"/>
        </w:rPr>
      </w:pPr>
      <w:r w:rsidRPr="000A7C5F">
        <w:rPr>
          <w:szCs w:val="28"/>
        </w:rPr>
        <w:t xml:space="preserve">One area of good practice highlighted in the evidence we received concerns </w:t>
      </w:r>
      <w:proofErr w:type="spellStart"/>
      <w:r w:rsidR="009037D2" w:rsidRPr="000A7C5F">
        <w:rPr>
          <w:szCs w:val="28"/>
        </w:rPr>
        <w:t>WeG</w:t>
      </w:r>
      <w:r w:rsidRPr="000A7C5F">
        <w:rPr>
          <w:szCs w:val="28"/>
        </w:rPr>
        <w:t>’s</w:t>
      </w:r>
      <w:proofErr w:type="spellEnd"/>
      <w:r w:rsidRPr="000A7C5F">
        <w:rPr>
          <w:szCs w:val="28"/>
        </w:rPr>
        <w:t xml:space="preserve"> commitment to “</w:t>
      </w:r>
      <w:r w:rsidR="00816275" w:rsidRPr="000A7C5F">
        <w:rPr>
          <w:szCs w:val="28"/>
        </w:rPr>
        <w:t>Oliver McGowan learning disability and autism for all healthcare staff”</w:t>
      </w:r>
      <w:r w:rsidR="00816275" w:rsidRPr="000A7C5F">
        <w:rPr>
          <w:rStyle w:val="FootnoteReference"/>
          <w:szCs w:val="28"/>
        </w:rPr>
        <w:footnoteReference w:id="499"/>
      </w:r>
      <w:r w:rsidR="00816275" w:rsidRPr="000A7C5F">
        <w:rPr>
          <w:szCs w:val="28"/>
        </w:rPr>
        <w:t>. This training initiative is named after a young autistic man who died after admission to Southmead Hospital in Bristol following an epileptic seizure</w:t>
      </w:r>
      <w:r w:rsidR="008570F2" w:rsidRPr="000A7C5F">
        <w:rPr>
          <w:szCs w:val="28"/>
        </w:rPr>
        <w:t xml:space="preserve"> in 2016</w:t>
      </w:r>
      <w:r w:rsidR="00816275" w:rsidRPr="000A7C5F">
        <w:rPr>
          <w:szCs w:val="28"/>
        </w:rPr>
        <w:t>.</w:t>
      </w:r>
      <w:r w:rsidR="008570F2" w:rsidRPr="000A7C5F">
        <w:rPr>
          <w:szCs w:val="28"/>
        </w:rPr>
        <w:t xml:space="preserve"> Independent review findings published in December 2020 found that the death was “potentially avoidable” and that the initial Learning Disabilities Mortality Review took an "unacceptably prolonged" 17 months to complete and contained a number of inconsistencies</w:t>
      </w:r>
      <w:r w:rsidR="008570F2" w:rsidRPr="000A7C5F">
        <w:rPr>
          <w:rStyle w:val="FootnoteReference"/>
          <w:szCs w:val="28"/>
        </w:rPr>
        <w:footnoteReference w:id="500"/>
      </w:r>
      <w:r w:rsidR="008570F2" w:rsidRPr="000A7C5F">
        <w:rPr>
          <w:szCs w:val="28"/>
        </w:rPr>
        <w:t xml:space="preserve">. </w:t>
      </w:r>
    </w:p>
    <w:p w14:paraId="4DB5434F" w14:textId="77777777" w:rsidR="004E23E5" w:rsidRPr="000A7C5F" w:rsidRDefault="004E23E5" w:rsidP="002E6728">
      <w:pPr>
        <w:pStyle w:val="ListParagraph"/>
        <w:ind w:left="851" w:hanging="851"/>
        <w:rPr>
          <w:szCs w:val="28"/>
        </w:rPr>
      </w:pPr>
    </w:p>
    <w:p w14:paraId="28C65D90" w14:textId="77777777" w:rsidR="00EB080B" w:rsidRPr="000A7C5F" w:rsidRDefault="008570F2" w:rsidP="00794060">
      <w:pPr>
        <w:pStyle w:val="ListParagraph"/>
        <w:numPr>
          <w:ilvl w:val="0"/>
          <w:numId w:val="3"/>
        </w:numPr>
        <w:ind w:left="851" w:hanging="851"/>
        <w:rPr>
          <w:szCs w:val="28"/>
        </w:rPr>
      </w:pPr>
      <w:r w:rsidRPr="000A7C5F">
        <w:rPr>
          <w:szCs w:val="28"/>
        </w:rPr>
        <w:t xml:space="preserve">This commitment is included within the NDS which promises </w:t>
      </w:r>
      <w:r w:rsidR="006F07E9" w:rsidRPr="000A7C5F">
        <w:rPr>
          <w:szCs w:val="28"/>
        </w:rPr>
        <w:t>that, “Subject to evaluation, DHSC will make training on autism and learning disability available for all 2.7 million health and adult social care staff.”</w:t>
      </w:r>
      <w:r w:rsidR="006F07E9" w:rsidRPr="000A7C5F">
        <w:rPr>
          <w:rStyle w:val="FootnoteReference"/>
          <w:szCs w:val="28"/>
        </w:rPr>
        <w:footnoteReference w:id="501"/>
      </w:r>
      <w:r w:rsidR="006F07E9" w:rsidRPr="000A7C5F">
        <w:rPr>
          <w:szCs w:val="28"/>
        </w:rPr>
        <w:t xml:space="preserve"> It is important that this training is user led and consistent with the social model and human rights approaches. Given the absence of engagement from DHSC with DDPOs this is a concern. NDS also includes a commitment to working with “disabled people and disability organisations at every stage of social care reform”</w:t>
      </w:r>
      <w:r w:rsidR="006F07E9" w:rsidRPr="000A7C5F">
        <w:rPr>
          <w:rStyle w:val="FootnoteReference"/>
          <w:szCs w:val="28"/>
        </w:rPr>
        <w:footnoteReference w:id="502"/>
      </w:r>
      <w:r w:rsidR="006F07E9" w:rsidRPr="000A7C5F">
        <w:rPr>
          <w:szCs w:val="28"/>
        </w:rPr>
        <w:t>. DDPOs are excluded.</w:t>
      </w:r>
    </w:p>
    <w:p w14:paraId="5D0030B5" w14:textId="77777777" w:rsidR="00EB080B" w:rsidRPr="000A7C5F" w:rsidRDefault="00EB080B" w:rsidP="00E739BB">
      <w:pPr>
        <w:pStyle w:val="ListParagraph"/>
        <w:rPr>
          <w:szCs w:val="28"/>
        </w:rPr>
      </w:pPr>
    </w:p>
    <w:p w14:paraId="209D0FB6" w14:textId="7D046F06" w:rsidR="008570F2" w:rsidRPr="000A7C5F" w:rsidRDefault="00EB080B" w:rsidP="00794060">
      <w:pPr>
        <w:pStyle w:val="ListParagraph"/>
        <w:numPr>
          <w:ilvl w:val="0"/>
          <w:numId w:val="3"/>
        </w:numPr>
        <w:ind w:left="851" w:hanging="851"/>
        <w:rPr>
          <w:szCs w:val="28"/>
        </w:rPr>
      </w:pPr>
      <w:r w:rsidRPr="000A7C5F">
        <w:rPr>
          <w:szCs w:val="28"/>
        </w:rPr>
        <w:t>We continue to hear of how difficult it remains for DDP to access health appointments, assessments, tests and treatment following the lift of lockdown rules</w:t>
      </w:r>
      <w:r w:rsidRPr="000A7C5F">
        <w:rPr>
          <w:rStyle w:val="FootnoteReference"/>
          <w:szCs w:val="28"/>
        </w:rPr>
        <w:footnoteReference w:id="503"/>
      </w:r>
      <w:r w:rsidRPr="000A7C5F">
        <w:rPr>
          <w:szCs w:val="28"/>
        </w:rPr>
        <w:t>.</w:t>
      </w:r>
      <w:r w:rsidR="006F07E9" w:rsidRPr="000A7C5F">
        <w:rPr>
          <w:szCs w:val="28"/>
        </w:rPr>
        <w:t xml:space="preserve"> </w:t>
      </w:r>
      <w:r w:rsidR="00D27755" w:rsidRPr="000A7C5F">
        <w:rPr>
          <w:szCs w:val="28"/>
        </w:rPr>
        <w:t>As of December 2021, there were nearly 6 million people in England, amounting to 9% of the population, waiting for surgery</w:t>
      </w:r>
      <w:r w:rsidR="00D27755" w:rsidRPr="000A7C5F">
        <w:rPr>
          <w:rStyle w:val="FootnoteReference"/>
          <w:szCs w:val="28"/>
        </w:rPr>
        <w:footnoteReference w:id="504"/>
      </w:r>
      <w:r w:rsidR="00D27755" w:rsidRPr="000A7C5F">
        <w:rPr>
          <w:szCs w:val="28"/>
        </w:rPr>
        <w:t>.</w:t>
      </w:r>
      <w:r w:rsidR="00235E49" w:rsidRPr="000A7C5F">
        <w:rPr>
          <w:szCs w:val="28"/>
        </w:rPr>
        <w:t xml:space="preserve"> Millions of patients have struggled to access dental care since 2019 with an additional 350,000 dental slots needed to clear the backlog at the start of 2022 but insufficient capacity to deliver despite additional funding</w:t>
      </w:r>
      <w:r w:rsidR="00235E49" w:rsidRPr="000A7C5F">
        <w:rPr>
          <w:rStyle w:val="FootnoteReference"/>
          <w:szCs w:val="28"/>
        </w:rPr>
        <w:footnoteReference w:id="505"/>
      </w:r>
      <w:r w:rsidR="00235E49" w:rsidRPr="000A7C5F">
        <w:rPr>
          <w:szCs w:val="28"/>
        </w:rPr>
        <w:t>.</w:t>
      </w:r>
    </w:p>
    <w:p w14:paraId="3C309394" w14:textId="77777777" w:rsidR="00B12172" w:rsidRPr="000A7C5F" w:rsidRDefault="00B12172" w:rsidP="002E6728">
      <w:pPr>
        <w:pStyle w:val="ListParagraph"/>
        <w:ind w:left="851" w:hanging="851"/>
        <w:rPr>
          <w:szCs w:val="28"/>
        </w:rPr>
      </w:pPr>
    </w:p>
    <w:p w14:paraId="2E242873" w14:textId="35A0AB02" w:rsidR="00B12172" w:rsidRPr="000A7C5F" w:rsidRDefault="00B12172" w:rsidP="00794060">
      <w:pPr>
        <w:pStyle w:val="ListParagraph"/>
        <w:numPr>
          <w:ilvl w:val="0"/>
          <w:numId w:val="3"/>
        </w:numPr>
        <w:ind w:left="851" w:hanging="851"/>
        <w:rPr>
          <w:szCs w:val="28"/>
        </w:rPr>
      </w:pPr>
      <w:r w:rsidRPr="000A7C5F">
        <w:rPr>
          <w:szCs w:val="28"/>
        </w:rPr>
        <w:lastRenderedPageBreak/>
        <w:t>Many DDP were concerned by the lifting of all remaining COVID-19 rules in England in February with 6 in 10 saying they are afraid of socialising</w:t>
      </w:r>
      <w:r w:rsidR="00340C66" w:rsidRPr="000A7C5F">
        <w:rPr>
          <w:rStyle w:val="FootnoteReference"/>
          <w:szCs w:val="28"/>
        </w:rPr>
        <w:footnoteReference w:id="506"/>
      </w:r>
      <w:r w:rsidRPr="000A7C5F">
        <w:rPr>
          <w:szCs w:val="28"/>
        </w:rPr>
        <w:t xml:space="preserve">. </w:t>
      </w:r>
      <w:r w:rsidR="004050D8" w:rsidRPr="000A7C5F">
        <w:rPr>
          <w:szCs w:val="28"/>
        </w:rPr>
        <w:t>The Prime Minister has ruled out any future full lockdowns</w:t>
      </w:r>
      <w:r w:rsidR="00715C4F" w:rsidRPr="000A7C5F">
        <w:rPr>
          <w:szCs w:val="28"/>
        </w:rPr>
        <w:t>.</w:t>
      </w:r>
      <w:r w:rsidR="004050D8" w:rsidRPr="000A7C5F">
        <w:rPr>
          <w:rStyle w:val="FootnoteReference"/>
          <w:szCs w:val="28"/>
        </w:rPr>
        <w:footnoteReference w:id="507"/>
      </w:r>
    </w:p>
    <w:p w14:paraId="001E65AA" w14:textId="5085E6FD" w:rsidR="00891390" w:rsidRPr="000A7C5F" w:rsidRDefault="00891390" w:rsidP="002E6728">
      <w:pPr>
        <w:pStyle w:val="Heading3"/>
      </w:pPr>
      <w:bookmarkStart w:id="54" w:name="_Toc98504908"/>
      <w:r w:rsidRPr="000A7C5F">
        <w:t>Other</w:t>
      </w:r>
      <w:bookmarkEnd w:id="54"/>
    </w:p>
    <w:p w14:paraId="609AE69F" w14:textId="44DD82E4" w:rsidR="008D0363" w:rsidRPr="000A7C5F" w:rsidRDefault="00941AA1" w:rsidP="00794060">
      <w:pPr>
        <w:pStyle w:val="ListParagraph"/>
        <w:numPr>
          <w:ilvl w:val="0"/>
          <w:numId w:val="3"/>
        </w:numPr>
        <w:ind w:left="851" w:hanging="851"/>
        <w:rPr>
          <w:szCs w:val="28"/>
        </w:rPr>
      </w:pPr>
      <w:r w:rsidRPr="000A7C5F">
        <w:rPr>
          <w:szCs w:val="28"/>
        </w:rPr>
        <w:t>The law permits terminations at a later stage in pregnancy for foetuses</w:t>
      </w:r>
      <w:r w:rsidR="004D2ED1" w:rsidRPr="000A7C5F">
        <w:rPr>
          <w:szCs w:val="28"/>
        </w:rPr>
        <w:t xml:space="preserve"> </w:t>
      </w:r>
      <w:r w:rsidRPr="000A7C5F">
        <w:rPr>
          <w:szCs w:val="28"/>
        </w:rPr>
        <w:t>that</w:t>
      </w:r>
      <w:r w:rsidR="004D2ED1" w:rsidRPr="000A7C5F">
        <w:rPr>
          <w:szCs w:val="28"/>
        </w:rPr>
        <w:t xml:space="preserve"> will be born</w:t>
      </w:r>
      <w:r w:rsidR="00545582" w:rsidRPr="000A7C5F">
        <w:rPr>
          <w:szCs w:val="28"/>
        </w:rPr>
        <w:t xml:space="preserve"> </w:t>
      </w:r>
      <w:r w:rsidRPr="000A7C5F">
        <w:rPr>
          <w:szCs w:val="28"/>
        </w:rPr>
        <w:t xml:space="preserve">with </w:t>
      </w:r>
      <w:r w:rsidR="00545582" w:rsidRPr="000A7C5F">
        <w:rPr>
          <w:szCs w:val="28"/>
        </w:rPr>
        <w:t>impairments</w:t>
      </w:r>
      <w:r w:rsidR="00E42FCE" w:rsidRPr="000A7C5F">
        <w:rPr>
          <w:szCs w:val="28"/>
        </w:rPr>
        <w:t xml:space="preserve"> which is discriminatory</w:t>
      </w:r>
      <w:r w:rsidR="004D2ED1" w:rsidRPr="000A7C5F">
        <w:rPr>
          <w:szCs w:val="28"/>
        </w:rPr>
        <w:t>.</w:t>
      </w:r>
      <w:r w:rsidR="00891390" w:rsidRPr="000A7C5F">
        <w:rPr>
          <w:rStyle w:val="FootnoteReference"/>
          <w:szCs w:val="28"/>
        </w:rPr>
        <w:footnoteReference w:id="508"/>
      </w:r>
      <w:r w:rsidR="00891390" w:rsidRPr="000A7C5F">
        <w:rPr>
          <w:szCs w:val="28"/>
        </w:rPr>
        <w:t xml:space="preserve"> </w:t>
      </w:r>
      <w:r w:rsidR="001A6F1B" w:rsidRPr="000A7C5F">
        <w:rPr>
          <w:szCs w:val="28"/>
        </w:rPr>
        <w:t>At the same time there are concerns regarding protection of women’s reproductive rights.</w:t>
      </w:r>
      <w:r w:rsidRPr="000A7C5F">
        <w:rPr>
          <w:szCs w:val="28"/>
        </w:rPr>
        <w:t xml:space="preserve"> </w:t>
      </w:r>
      <w:r w:rsidR="00545582" w:rsidRPr="000A7C5F">
        <w:rPr>
          <w:szCs w:val="28"/>
        </w:rPr>
        <w:t xml:space="preserve">A </w:t>
      </w:r>
      <w:r w:rsidR="001A6F1B" w:rsidRPr="000A7C5F">
        <w:rPr>
          <w:szCs w:val="28"/>
        </w:rPr>
        <w:t xml:space="preserve">young woman with Downs Syndrome, Heidi </w:t>
      </w:r>
      <w:proofErr w:type="spellStart"/>
      <w:r w:rsidR="001A6F1B" w:rsidRPr="000A7C5F">
        <w:rPr>
          <w:szCs w:val="28"/>
        </w:rPr>
        <w:t>Crowter</w:t>
      </w:r>
      <w:proofErr w:type="spellEnd"/>
      <w:r w:rsidR="001A6F1B" w:rsidRPr="000A7C5F">
        <w:rPr>
          <w:szCs w:val="28"/>
        </w:rPr>
        <w:t xml:space="preserve">, took a legal challenge against the difference in time frames </w:t>
      </w:r>
      <w:r w:rsidRPr="000A7C5F">
        <w:rPr>
          <w:szCs w:val="28"/>
        </w:rPr>
        <w:t>on the grounds of disability discrimination</w:t>
      </w:r>
      <w:r w:rsidR="001A6F1B" w:rsidRPr="000A7C5F">
        <w:rPr>
          <w:rStyle w:val="FootnoteReference"/>
          <w:szCs w:val="28"/>
        </w:rPr>
        <w:footnoteReference w:id="509"/>
      </w:r>
      <w:r w:rsidR="001A6F1B" w:rsidRPr="000A7C5F">
        <w:rPr>
          <w:szCs w:val="28"/>
        </w:rPr>
        <w:t>.T</w:t>
      </w:r>
      <w:r w:rsidR="00545582" w:rsidRPr="000A7C5F">
        <w:rPr>
          <w:szCs w:val="28"/>
        </w:rPr>
        <w:t xml:space="preserve">his was dismissed </w:t>
      </w:r>
      <w:r w:rsidR="001A6F1B" w:rsidRPr="000A7C5F">
        <w:rPr>
          <w:szCs w:val="28"/>
        </w:rPr>
        <w:t xml:space="preserve">by the high court </w:t>
      </w:r>
      <w:r w:rsidR="00545582" w:rsidRPr="000A7C5F">
        <w:rPr>
          <w:szCs w:val="28"/>
        </w:rPr>
        <w:t>at the end of 2021</w:t>
      </w:r>
      <w:r w:rsidR="00341043" w:rsidRPr="000A7C5F">
        <w:rPr>
          <w:szCs w:val="28"/>
        </w:rPr>
        <w:t xml:space="preserve">. </w:t>
      </w:r>
    </w:p>
    <w:p w14:paraId="00F34E2E" w14:textId="77777777" w:rsidR="008959EF" w:rsidRPr="000A7C5F" w:rsidRDefault="008959EF" w:rsidP="00231B6B">
      <w:pPr>
        <w:pStyle w:val="ListParagraph"/>
        <w:ind w:left="851" w:hanging="851"/>
        <w:rPr>
          <w:szCs w:val="28"/>
        </w:rPr>
      </w:pPr>
    </w:p>
    <w:p w14:paraId="318E5B72" w14:textId="052E8B6B" w:rsidR="008D0363" w:rsidRPr="000A7C5F" w:rsidRDefault="008D0363" w:rsidP="00794060">
      <w:pPr>
        <w:pStyle w:val="ListParagraph"/>
        <w:numPr>
          <w:ilvl w:val="0"/>
          <w:numId w:val="3"/>
        </w:numPr>
        <w:tabs>
          <w:tab w:val="left" w:pos="6075"/>
        </w:tabs>
        <w:ind w:left="851" w:hanging="851"/>
        <w:rPr>
          <w:szCs w:val="28"/>
        </w:rPr>
      </w:pPr>
      <w:r w:rsidRPr="000A7C5F">
        <w:rPr>
          <w:szCs w:val="28"/>
        </w:rPr>
        <w:t xml:space="preserve">There have been repeated and ongoing attempts to legalise assisted suicide both through private members bills in Parliament and the courts. Political parties allow their members a free vote rather than setting a party line on the issue. Given the context of </w:t>
      </w:r>
      <w:r w:rsidRPr="000A7C5F">
        <w:rPr>
          <w:szCs w:val="28"/>
        </w:rPr>
        <w:lastRenderedPageBreak/>
        <w:t>regressing life chances and entrenched disability discrimination within our health system DDP are extremely concerned about this. The campaign pushing for legalisation is very well resourced whereas the voices of DDP, who have access to far fewer resources, are rarely if ever included in media, public or political debate on the issue</w:t>
      </w:r>
      <w:r w:rsidRPr="000A7C5F">
        <w:rPr>
          <w:rStyle w:val="FootnoteReference"/>
          <w:szCs w:val="28"/>
        </w:rPr>
        <w:footnoteReference w:id="510"/>
      </w:r>
      <w:r w:rsidRPr="000A7C5F">
        <w:rPr>
          <w:szCs w:val="28"/>
        </w:rPr>
        <w:t xml:space="preserve">. </w:t>
      </w:r>
    </w:p>
    <w:p w14:paraId="65A73906" w14:textId="77777777" w:rsidR="008D0363" w:rsidRPr="000A7C5F" w:rsidRDefault="008D0363" w:rsidP="00E739BB">
      <w:pPr>
        <w:pStyle w:val="ListParagraph"/>
        <w:tabs>
          <w:tab w:val="left" w:pos="6075"/>
        </w:tabs>
        <w:ind w:left="735"/>
        <w:rPr>
          <w:szCs w:val="28"/>
        </w:rPr>
      </w:pPr>
    </w:p>
    <w:p w14:paraId="39E7AA2D" w14:textId="169A906E" w:rsidR="004E23E5" w:rsidRPr="000A7C5F" w:rsidRDefault="004D2ED1" w:rsidP="00794060">
      <w:pPr>
        <w:pStyle w:val="ListParagraph"/>
        <w:numPr>
          <w:ilvl w:val="0"/>
          <w:numId w:val="3"/>
        </w:numPr>
        <w:tabs>
          <w:tab w:val="left" w:pos="6075"/>
        </w:tabs>
        <w:ind w:left="851" w:hanging="851"/>
        <w:rPr>
          <w:szCs w:val="28"/>
        </w:rPr>
      </w:pPr>
      <w:bookmarkStart w:id="55" w:name="_Hlk97688764"/>
      <w:r w:rsidRPr="000A7C5F">
        <w:rPr>
          <w:szCs w:val="28"/>
        </w:rPr>
        <w:t>Hate crime law is still not equal for disabilit</w:t>
      </w:r>
      <w:r w:rsidR="00BB7A61" w:rsidRPr="000A7C5F">
        <w:rPr>
          <w:szCs w:val="28"/>
        </w:rPr>
        <w:t>y</w:t>
      </w:r>
      <w:r w:rsidR="00341043" w:rsidRPr="000A7C5F">
        <w:rPr>
          <w:szCs w:val="28"/>
        </w:rPr>
        <w:t>.</w:t>
      </w:r>
      <w:r w:rsidR="00DF160C" w:rsidRPr="000A7C5F">
        <w:rPr>
          <w:szCs w:val="28"/>
        </w:rPr>
        <w:t xml:space="preserve"> </w:t>
      </w:r>
      <w:r w:rsidR="00545582" w:rsidRPr="000A7C5F">
        <w:rPr>
          <w:szCs w:val="28"/>
        </w:rPr>
        <w:t xml:space="preserve">Given the rise in disability hate crime </w:t>
      </w:r>
      <w:r w:rsidR="00FF3849" w:rsidRPr="000A7C5F">
        <w:rPr>
          <w:szCs w:val="28"/>
        </w:rPr>
        <w:t xml:space="preserve">this is becoming more urgent. </w:t>
      </w:r>
      <w:bookmarkEnd w:id="55"/>
      <w:r w:rsidR="00FF3849" w:rsidRPr="000A7C5F">
        <w:rPr>
          <w:szCs w:val="28"/>
        </w:rPr>
        <w:t xml:space="preserve">DDP are calling for </w:t>
      </w:r>
      <w:r w:rsidR="00FF3AA9" w:rsidRPr="000A7C5F">
        <w:rPr>
          <w:szCs w:val="28"/>
        </w:rPr>
        <w:t xml:space="preserve">all protected characteristics </w:t>
      </w:r>
      <w:r w:rsidR="00FF3849" w:rsidRPr="000A7C5F">
        <w:rPr>
          <w:szCs w:val="28"/>
        </w:rPr>
        <w:t xml:space="preserve">including disability </w:t>
      </w:r>
      <w:r w:rsidR="00FF3AA9" w:rsidRPr="000A7C5F">
        <w:rPr>
          <w:szCs w:val="28"/>
        </w:rPr>
        <w:t xml:space="preserve">to be included in </w:t>
      </w:r>
      <w:r w:rsidR="00FF3849" w:rsidRPr="000A7C5F">
        <w:rPr>
          <w:szCs w:val="28"/>
        </w:rPr>
        <w:t xml:space="preserve">the </w:t>
      </w:r>
      <w:r w:rsidR="00FF3AA9" w:rsidRPr="000A7C5F">
        <w:rPr>
          <w:szCs w:val="28"/>
        </w:rPr>
        <w:t xml:space="preserve">Public Order Act </w:t>
      </w:r>
      <w:r w:rsidR="004F1508" w:rsidRPr="000A7C5F">
        <w:rPr>
          <w:szCs w:val="28"/>
        </w:rPr>
        <w:t xml:space="preserve">1986 </w:t>
      </w:r>
      <w:r w:rsidR="00FF3849" w:rsidRPr="000A7C5F">
        <w:rPr>
          <w:szCs w:val="28"/>
        </w:rPr>
        <w:t>under</w:t>
      </w:r>
      <w:r w:rsidR="00FF3AA9" w:rsidRPr="000A7C5F">
        <w:rPr>
          <w:szCs w:val="28"/>
        </w:rPr>
        <w:t xml:space="preserve"> “stirring up offences”.</w:t>
      </w:r>
      <w:r w:rsidR="00FF3AA9" w:rsidRPr="000A7C5F">
        <w:rPr>
          <w:rStyle w:val="FootnoteReference"/>
          <w:szCs w:val="28"/>
        </w:rPr>
        <w:footnoteReference w:id="511"/>
      </w:r>
      <w:r w:rsidR="00241D0C" w:rsidRPr="000A7C5F">
        <w:rPr>
          <w:szCs w:val="28"/>
        </w:rPr>
        <w:t xml:space="preserve"> DDPOs also argue the need for anti-hate legislation that captures crimes motivated by reason of a person being Disabled</w:t>
      </w:r>
      <w:r w:rsidR="00996E80" w:rsidRPr="000A7C5F">
        <w:rPr>
          <w:rStyle w:val="FootnoteReference"/>
          <w:szCs w:val="28"/>
        </w:rPr>
        <w:footnoteReference w:id="512"/>
      </w:r>
      <w:r w:rsidR="00241D0C" w:rsidRPr="000A7C5F">
        <w:rPr>
          <w:szCs w:val="28"/>
        </w:rPr>
        <w:t>. Currently perpetrators need to have shown hostility towards</w:t>
      </w:r>
      <w:r w:rsidR="00996E80" w:rsidRPr="000A7C5F">
        <w:rPr>
          <w:szCs w:val="28"/>
        </w:rPr>
        <w:t xml:space="preserve"> a person’s disability for it to count as a hate crime which excludes deliberate targeting and exploitation of Disabled people. </w:t>
      </w:r>
      <w:r w:rsidR="00241D0C" w:rsidRPr="000A7C5F">
        <w:rPr>
          <w:szCs w:val="28"/>
        </w:rPr>
        <w:t xml:space="preserve">  </w:t>
      </w:r>
    </w:p>
    <w:p w14:paraId="0BF37E75" w14:textId="77777777" w:rsidR="00F1277B" w:rsidRPr="000A7C5F" w:rsidRDefault="00F1277B" w:rsidP="00E739BB">
      <w:pPr>
        <w:pStyle w:val="ListParagraph"/>
        <w:tabs>
          <w:tab w:val="left" w:pos="6075"/>
        </w:tabs>
        <w:ind w:left="735"/>
        <w:rPr>
          <w:szCs w:val="28"/>
        </w:rPr>
      </w:pPr>
    </w:p>
    <w:p w14:paraId="5C94ED7A" w14:textId="2D565C7F" w:rsidR="00F1277B" w:rsidRPr="000A7C5F" w:rsidRDefault="00F1277B" w:rsidP="00794060">
      <w:pPr>
        <w:pStyle w:val="ListParagraph"/>
        <w:numPr>
          <w:ilvl w:val="0"/>
          <w:numId w:val="3"/>
        </w:numPr>
        <w:tabs>
          <w:tab w:val="left" w:pos="6075"/>
        </w:tabs>
        <w:ind w:left="851" w:hanging="851"/>
        <w:rPr>
          <w:szCs w:val="28"/>
        </w:rPr>
      </w:pPr>
      <w:r w:rsidRPr="000A7C5F">
        <w:rPr>
          <w:szCs w:val="28"/>
        </w:rPr>
        <w:t>Lenient sentences for perpetrators of deliberate harm towards DDP contribute to a sense that our lives are valued less. A mother who slowly starved her daughter to death, leaving her surrounded by faeces and mouldy food and with an untreated skin disease that left her face unrecognisable, was recently sentenced to just nine years seven months</w:t>
      </w:r>
      <w:r w:rsidRPr="000A7C5F">
        <w:rPr>
          <w:rStyle w:val="FootnoteReference"/>
          <w:szCs w:val="28"/>
        </w:rPr>
        <w:footnoteReference w:id="513"/>
      </w:r>
      <w:r w:rsidRPr="000A7C5F">
        <w:rPr>
          <w:szCs w:val="28"/>
        </w:rPr>
        <w:t xml:space="preserve">. A man was handed a nine-month sentence </w:t>
      </w:r>
      <w:r w:rsidRPr="000A7C5F">
        <w:rPr>
          <w:szCs w:val="28"/>
        </w:rPr>
        <w:lastRenderedPageBreak/>
        <w:t>suspended for 18 months</w:t>
      </w:r>
      <w:r w:rsidR="000F739A" w:rsidRPr="000A7C5F">
        <w:rPr>
          <w:szCs w:val="28"/>
        </w:rPr>
        <w:t xml:space="preserve"> for his involvement with his father’s keeping of man with learning difficulties in appalling conditions as a slave for forty years</w:t>
      </w:r>
      <w:r w:rsidR="000F739A" w:rsidRPr="000A7C5F">
        <w:rPr>
          <w:rStyle w:val="FootnoteReference"/>
          <w:szCs w:val="28"/>
        </w:rPr>
        <w:footnoteReference w:id="514"/>
      </w:r>
      <w:r w:rsidR="000F739A" w:rsidRPr="000A7C5F">
        <w:rPr>
          <w:szCs w:val="28"/>
        </w:rPr>
        <w:t>. His father had died before he could stand trial and the man was charged only with paying below minimum wage.</w:t>
      </w:r>
    </w:p>
    <w:p w14:paraId="57A19AB8" w14:textId="77777777" w:rsidR="004E23E5" w:rsidRPr="000A7C5F" w:rsidRDefault="004E23E5" w:rsidP="00231B6B">
      <w:pPr>
        <w:pStyle w:val="ListParagraph"/>
        <w:ind w:left="851" w:hanging="851"/>
        <w:rPr>
          <w:szCs w:val="28"/>
        </w:rPr>
      </w:pPr>
    </w:p>
    <w:p w14:paraId="28EC360E" w14:textId="14640D39" w:rsidR="008D0363" w:rsidRPr="000A7C5F" w:rsidRDefault="008D0363" w:rsidP="00794060">
      <w:pPr>
        <w:pStyle w:val="ListParagraph"/>
        <w:numPr>
          <w:ilvl w:val="0"/>
          <w:numId w:val="3"/>
        </w:numPr>
        <w:tabs>
          <w:tab w:val="left" w:pos="6075"/>
        </w:tabs>
        <w:ind w:left="851" w:hanging="851"/>
        <w:rPr>
          <w:szCs w:val="28"/>
        </w:rPr>
      </w:pPr>
      <w:bookmarkStart w:id="56" w:name="_Hlk97688800"/>
      <w:r w:rsidRPr="000A7C5F">
        <w:rPr>
          <w:szCs w:val="28"/>
        </w:rPr>
        <w:t xml:space="preserve">DDP report being made to feel like criminals due to benefit fraud investigations </w:t>
      </w:r>
      <w:bookmarkEnd w:id="56"/>
      <w:r w:rsidRPr="000A7C5F">
        <w:rPr>
          <w:szCs w:val="28"/>
        </w:rPr>
        <w:t>triggered by a secret algorithm that campaigners suspect targets Disabled people</w:t>
      </w:r>
      <w:r w:rsidR="00EC5D14" w:rsidRPr="000A7C5F">
        <w:rPr>
          <w:rStyle w:val="FootnoteReference"/>
          <w:szCs w:val="28"/>
        </w:rPr>
        <w:footnoteReference w:id="515"/>
      </w:r>
      <w:r w:rsidRPr="000A7C5F">
        <w:rPr>
          <w:szCs w:val="28"/>
        </w:rPr>
        <w:t xml:space="preserve">. </w:t>
      </w:r>
      <w:r w:rsidR="00EC5D14" w:rsidRPr="000A7C5F">
        <w:rPr>
          <w:szCs w:val="28"/>
        </w:rPr>
        <w:t>Claimants undergo considerable anxiety and stress during investigations that can take up to a year</w:t>
      </w:r>
      <w:r w:rsidR="00EC5D14" w:rsidRPr="000A7C5F">
        <w:rPr>
          <w:rStyle w:val="FootnoteReference"/>
          <w:szCs w:val="28"/>
        </w:rPr>
        <w:footnoteReference w:id="516"/>
      </w:r>
      <w:r w:rsidR="00EC5D14" w:rsidRPr="000A7C5F">
        <w:rPr>
          <w:szCs w:val="28"/>
        </w:rPr>
        <w:t>.</w:t>
      </w:r>
    </w:p>
    <w:p w14:paraId="15D40FF1" w14:textId="77777777" w:rsidR="00EC5D14" w:rsidRPr="000A7C5F" w:rsidRDefault="00EC5D14" w:rsidP="00231B6B">
      <w:pPr>
        <w:pStyle w:val="ListParagraph"/>
        <w:ind w:left="851" w:hanging="851"/>
        <w:rPr>
          <w:szCs w:val="28"/>
        </w:rPr>
      </w:pPr>
    </w:p>
    <w:p w14:paraId="7F2E4833" w14:textId="79189499" w:rsidR="004E23E5" w:rsidRPr="000A7C5F" w:rsidRDefault="00893335" w:rsidP="00794060">
      <w:pPr>
        <w:pStyle w:val="ListParagraph"/>
        <w:numPr>
          <w:ilvl w:val="0"/>
          <w:numId w:val="3"/>
        </w:numPr>
        <w:tabs>
          <w:tab w:val="left" w:pos="6075"/>
        </w:tabs>
        <w:ind w:left="851" w:hanging="851"/>
        <w:rPr>
          <w:szCs w:val="28"/>
        </w:rPr>
      </w:pPr>
      <w:bookmarkStart w:id="57" w:name="_Hlk97688835"/>
      <w:r w:rsidRPr="000A7C5F">
        <w:rPr>
          <w:szCs w:val="28"/>
        </w:rPr>
        <w:t xml:space="preserve">The introduction of </w:t>
      </w:r>
      <w:r w:rsidR="004F1508" w:rsidRPr="000A7C5F">
        <w:rPr>
          <w:szCs w:val="28"/>
        </w:rPr>
        <w:t xml:space="preserve">Serenity Integrated Mentoring (SIM) </w:t>
      </w:r>
      <w:r w:rsidRPr="000A7C5F">
        <w:rPr>
          <w:szCs w:val="28"/>
        </w:rPr>
        <w:t>a</w:t>
      </w:r>
      <w:r w:rsidR="004F1508" w:rsidRPr="000A7C5F">
        <w:rPr>
          <w:szCs w:val="28"/>
        </w:rPr>
        <w:t>s a model o</w:t>
      </w:r>
      <w:r w:rsidRPr="000A7C5F">
        <w:rPr>
          <w:szCs w:val="28"/>
        </w:rPr>
        <w:t xml:space="preserve">f </w:t>
      </w:r>
      <w:r w:rsidR="004F1508" w:rsidRPr="000A7C5F">
        <w:rPr>
          <w:szCs w:val="28"/>
        </w:rPr>
        <w:t>mental health intervention</w:t>
      </w:r>
      <w:r w:rsidRPr="000A7C5F">
        <w:rPr>
          <w:szCs w:val="28"/>
        </w:rPr>
        <w:t xml:space="preserve"> is contrary to a human rights approach. </w:t>
      </w:r>
      <w:r w:rsidR="004F1508" w:rsidRPr="000A7C5F">
        <w:rPr>
          <w:szCs w:val="28"/>
        </w:rPr>
        <w:t xml:space="preserve"> </w:t>
      </w:r>
      <w:bookmarkEnd w:id="57"/>
      <w:r w:rsidRPr="000A7C5F">
        <w:rPr>
          <w:szCs w:val="28"/>
        </w:rPr>
        <w:t xml:space="preserve">It was designed in </w:t>
      </w:r>
      <w:r w:rsidR="004F1508" w:rsidRPr="000A7C5F">
        <w:rPr>
          <w:szCs w:val="28"/>
        </w:rPr>
        <w:t xml:space="preserve">2013 for people who are in contact with mental health services, at high risk of suicide and self-harm, and deemed “high intensity users” of emergency services. </w:t>
      </w:r>
      <w:r w:rsidRPr="000A7C5F">
        <w:rPr>
          <w:szCs w:val="28"/>
        </w:rPr>
        <w:t xml:space="preserve">The premise is to create a </w:t>
      </w:r>
      <w:r w:rsidR="004F1508" w:rsidRPr="000A7C5F">
        <w:rPr>
          <w:szCs w:val="28"/>
        </w:rPr>
        <w:t>SIM Response Plan</w:t>
      </w:r>
      <w:r w:rsidRPr="000A7C5F">
        <w:rPr>
          <w:szCs w:val="28"/>
        </w:rPr>
        <w:t xml:space="preserve"> for such individuals which will give health professionals the confidence NOT </w:t>
      </w:r>
      <w:r w:rsidR="000F3679" w:rsidRPr="000A7C5F">
        <w:rPr>
          <w:szCs w:val="28"/>
        </w:rPr>
        <w:t xml:space="preserve">to treat </w:t>
      </w:r>
      <w:r w:rsidRPr="000A7C5F">
        <w:rPr>
          <w:szCs w:val="28"/>
        </w:rPr>
        <w:t xml:space="preserve">them </w:t>
      </w:r>
      <w:r w:rsidR="000F3679" w:rsidRPr="000A7C5F">
        <w:rPr>
          <w:szCs w:val="28"/>
        </w:rPr>
        <w:t xml:space="preserve">or respond in ways in which they would have felt compelled to before. </w:t>
      </w:r>
      <w:r w:rsidR="004F1508" w:rsidRPr="000A7C5F">
        <w:rPr>
          <w:szCs w:val="28"/>
        </w:rPr>
        <w:t xml:space="preserve">SIM explicitly advocates withholding potentially life-saving treatments from </w:t>
      </w:r>
      <w:r w:rsidR="008959EF" w:rsidRPr="000A7C5F">
        <w:rPr>
          <w:szCs w:val="28"/>
        </w:rPr>
        <w:t>D</w:t>
      </w:r>
      <w:r w:rsidR="004F1508" w:rsidRPr="000A7C5F">
        <w:rPr>
          <w:szCs w:val="28"/>
        </w:rPr>
        <w:t>isabled people.</w:t>
      </w:r>
      <w:r w:rsidRPr="000A7C5F">
        <w:rPr>
          <w:rStyle w:val="FootnoteReference"/>
          <w:szCs w:val="28"/>
        </w:rPr>
        <w:t xml:space="preserve"> </w:t>
      </w:r>
      <w:r w:rsidRPr="000A7C5F">
        <w:rPr>
          <w:rStyle w:val="FootnoteReference"/>
          <w:szCs w:val="28"/>
        </w:rPr>
        <w:footnoteReference w:id="517"/>
      </w:r>
      <w:r w:rsidR="004F1508" w:rsidRPr="000A7C5F">
        <w:rPr>
          <w:szCs w:val="28"/>
        </w:rPr>
        <w:t xml:space="preserve"> </w:t>
      </w:r>
    </w:p>
    <w:p w14:paraId="0CB421B6" w14:textId="77777777" w:rsidR="009524B4" w:rsidRPr="000A7C5F" w:rsidRDefault="009524B4" w:rsidP="00231B6B">
      <w:pPr>
        <w:pStyle w:val="ListParagraph"/>
        <w:ind w:left="851" w:hanging="851"/>
        <w:rPr>
          <w:szCs w:val="28"/>
        </w:rPr>
      </w:pPr>
    </w:p>
    <w:p w14:paraId="1F1B271A" w14:textId="5F5E6445" w:rsidR="00122D23" w:rsidRPr="00EA7A6A" w:rsidRDefault="00893335" w:rsidP="00EA7A6A">
      <w:pPr>
        <w:pStyle w:val="ListParagraph"/>
        <w:numPr>
          <w:ilvl w:val="0"/>
          <w:numId w:val="3"/>
        </w:numPr>
        <w:tabs>
          <w:tab w:val="left" w:pos="6075"/>
        </w:tabs>
        <w:ind w:left="851" w:hanging="851"/>
        <w:rPr>
          <w:szCs w:val="28"/>
        </w:rPr>
      </w:pPr>
      <w:r w:rsidRPr="000A7C5F">
        <w:rPr>
          <w:szCs w:val="28"/>
        </w:rPr>
        <w:t xml:space="preserve">The approach and model of disability underpinning the </w:t>
      </w:r>
      <w:r w:rsidR="00BB7A61" w:rsidRPr="000A7C5F">
        <w:rPr>
          <w:szCs w:val="28"/>
        </w:rPr>
        <w:t>Spectrum 10k</w:t>
      </w:r>
      <w:r w:rsidRPr="000A7C5F">
        <w:rPr>
          <w:szCs w:val="28"/>
        </w:rPr>
        <w:t xml:space="preserve"> study has also caused concern</w:t>
      </w:r>
      <w:r w:rsidR="009524B4" w:rsidRPr="000A7C5F">
        <w:rPr>
          <w:rStyle w:val="FootnoteReference"/>
          <w:szCs w:val="28"/>
        </w:rPr>
        <w:footnoteReference w:id="518"/>
      </w:r>
      <w:r w:rsidRPr="000A7C5F">
        <w:rPr>
          <w:szCs w:val="28"/>
        </w:rPr>
        <w:t xml:space="preserve">. </w:t>
      </w:r>
      <w:r w:rsidR="00FE06F9" w:rsidRPr="000A7C5F">
        <w:rPr>
          <w:szCs w:val="28"/>
        </w:rPr>
        <w:t xml:space="preserve"> </w:t>
      </w:r>
      <w:r w:rsidR="009524B4" w:rsidRPr="000A7C5F">
        <w:rPr>
          <w:szCs w:val="28"/>
        </w:rPr>
        <w:t xml:space="preserve">The study seeks pre-natal screening of </w:t>
      </w:r>
      <w:r w:rsidR="001C1FC3" w:rsidRPr="000A7C5F">
        <w:rPr>
          <w:szCs w:val="28"/>
        </w:rPr>
        <w:t>Autistic babies.”</w:t>
      </w:r>
      <w:r w:rsidR="001C1FC3" w:rsidRPr="000A7C5F">
        <w:rPr>
          <w:rStyle w:val="FootnoteReference"/>
          <w:szCs w:val="28"/>
        </w:rPr>
        <w:footnoteReference w:id="519"/>
      </w:r>
      <w:r w:rsidR="001C1FC3" w:rsidRPr="000A7C5F">
        <w:rPr>
          <w:szCs w:val="28"/>
        </w:rPr>
        <w:t xml:space="preserve">  Many in the autis</w:t>
      </w:r>
      <w:r w:rsidRPr="000A7C5F">
        <w:rPr>
          <w:szCs w:val="28"/>
        </w:rPr>
        <w:t>tic</w:t>
      </w:r>
      <w:r w:rsidR="001C1FC3" w:rsidRPr="000A7C5F">
        <w:rPr>
          <w:szCs w:val="28"/>
        </w:rPr>
        <w:t xml:space="preserve"> rights movement have criticised the lack of consultation with autistic people or their families and raised </w:t>
      </w:r>
      <w:r w:rsidR="001F2F38" w:rsidRPr="000A7C5F">
        <w:rPr>
          <w:szCs w:val="28"/>
        </w:rPr>
        <w:t xml:space="preserve">concerns related to </w:t>
      </w:r>
      <w:r w:rsidR="001C1FC3" w:rsidRPr="000A7C5F">
        <w:rPr>
          <w:szCs w:val="28"/>
        </w:rPr>
        <w:t xml:space="preserve">privacy, scientific ethics and eugenics </w:t>
      </w:r>
      <w:r w:rsidR="001F2F38" w:rsidRPr="000A7C5F">
        <w:rPr>
          <w:szCs w:val="28"/>
        </w:rPr>
        <w:t>due</w:t>
      </w:r>
      <w:r w:rsidR="001C1FC3" w:rsidRPr="000A7C5F">
        <w:rPr>
          <w:szCs w:val="28"/>
        </w:rPr>
        <w:t xml:space="preserve"> to fears of sharing genetic data. This led to the formation of the autistic-led Boycott Spectrum 10K group. T</w:t>
      </w:r>
      <w:r w:rsidR="00FE06F9" w:rsidRPr="000A7C5F">
        <w:rPr>
          <w:szCs w:val="28"/>
        </w:rPr>
        <w:t>he project was paused in September 2021</w:t>
      </w:r>
      <w:r w:rsidR="008857CD" w:rsidRPr="000A7C5F">
        <w:rPr>
          <w:rStyle w:val="FootnoteReference"/>
          <w:szCs w:val="28"/>
        </w:rPr>
        <w:footnoteReference w:id="520"/>
      </w:r>
      <w:r w:rsidR="001C1FC3" w:rsidRPr="000A7C5F">
        <w:rPr>
          <w:szCs w:val="28"/>
        </w:rPr>
        <w:t xml:space="preserve">. </w:t>
      </w:r>
    </w:p>
    <w:p w14:paraId="0F98B065" w14:textId="3A0AE193" w:rsidR="00A14798" w:rsidRPr="009524B4" w:rsidRDefault="00A14798" w:rsidP="00231B6B">
      <w:pPr>
        <w:pStyle w:val="Heading3"/>
      </w:pPr>
      <w:bookmarkStart w:id="58" w:name="_Toc98504909"/>
      <w:bookmarkStart w:id="59" w:name="_Hlk93702418"/>
      <w:r w:rsidRPr="000A7C5F">
        <w:t>END</w:t>
      </w:r>
      <w:bookmarkEnd w:id="58"/>
    </w:p>
    <w:p w14:paraId="630D83CD" w14:textId="77777777" w:rsidR="00D031D6" w:rsidRDefault="00D031D6" w:rsidP="00E739BB">
      <w:pPr>
        <w:rPr>
          <w:szCs w:val="28"/>
        </w:rPr>
      </w:pPr>
    </w:p>
    <w:bookmarkEnd w:id="59"/>
    <w:p w14:paraId="783A45BE" w14:textId="1C8AE8AA" w:rsidR="00A3176C" w:rsidRPr="00EB4068" w:rsidRDefault="006A4D87" w:rsidP="00BB6A41">
      <w:pPr>
        <w:pStyle w:val="Heading2"/>
      </w:pPr>
      <w:r>
        <w:br w:type="page"/>
      </w:r>
      <w:bookmarkStart w:id="60" w:name="Abbreviations"/>
      <w:bookmarkStart w:id="61" w:name="_Toc98504910"/>
      <w:bookmarkStart w:id="62" w:name="_Toc98505550"/>
      <w:bookmarkStart w:id="63" w:name="_Toc98506556"/>
      <w:bookmarkEnd w:id="60"/>
      <w:r w:rsidR="00A3176C" w:rsidRPr="00EB4068">
        <w:lastRenderedPageBreak/>
        <w:t>Abbreviations</w:t>
      </w:r>
      <w:bookmarkEnd w:id="61"/>
      <w:bookmarkEnd w:id="62"/>
      <w:bookmarkEnd w:id="63"/>
    </w:p>
    <w:p w14:paraId="0E18AF15" w14:textId="77777777" w:rsidR="00392033" w:rsidRDefault="00B00BDC" w:rsidP="00E739BB">
      <w:pPr>
        <w:rPr>
          <w:szCs w:val="28"/>
        </w:rPr>
      </w:pPr>
      <w:r w:rsidRPr="006B73F4">
        <w:rPr>
          <w:b/>
          <w:bCs/>
          <w:color w:val="003B3A"/>
          <w:szCs w:val="28"/>
        </w:rPr>
        <w:t>AAC</w:t>
      </w:r>
      <w:r>
        <w:rPr>
          <w:szCs w:val="28"/>
        </w:rPr>
        <w:tab/>
      </w:r>
      <w:r>
        <w:rPr>
          <w:szCs w:val="28"/>
        </w:rPr>
        <w:tab/>
      </w:r>
      <w:r w:rsidR="00392033" w:rsidRPr="00392033">
        <w:rPr>
          <w:szCs w:val="28"/>
        </w:rPr>
        <w:t xml:space="preserve">Augmentative and alternative communication </w:t>
      </w:r>
    </w:p>
    <w:p w14:paraId="51652FED" w14:textId="3AF96EB3" w:rsidR="00E51EB8" w:rsidRDefault="00E51EB8" w:rsidP="00E739BB">
      <w:pPr>
        <w:rPr>
          <w:szCs w:val="28"/>
        </w:rPr>
      </w:pPr>
      <w:r w:rsidRPr="006B73F4">
        <w:rPr>
          <w:b/>
          <w:bCs/>
          <w:color w:val="003B3A"/>
          <w:szCs w:val="28"/>
        </w:rPr>
        <w:t>ADASS</w:t>
      </w:r>
      <w:r>
        <w:rPr>
          <w:szCs w:val="28"/>
        </w:rPr>
        <w:tab/>
        <w:t>Association of Directors of Adult Social Services</w:t>
      </w:r>
    </w:p>
    <w:p w14:paraId="3585A2F9" w14:textId="4B1D1B19" w:rsidR="000827A5" w:rsidRDefault="000827A5" w:rsidP="00E739BB">
      <w:pPr>
        <w:rPr>
          <w:szCs w:val="28"/>
        </w:rPr>
      </w:pPr>
      <w:r w:rsidRPr="006B73F4">
        <w:rPr>
          <w:b/>
          <w:bCs/>
          <w:color w:val="003B3A"/>
          <w:szCs w:val="28"/>
        </w:rPr>
        <w:t>APPG</w:t>
      </w:r>
      <w:r>
        <w:rPr>
          <w:szCs w:val="28"/>
        </w:rPr>
        <w:tab/>
        <w:t>All Party Parliamentary Group</w:t>
      </w:r>
    </w:p>
    <w:p w14:paraId="6E927791" w14:textId="7F03D73D" w:rsidR="00A3176C" w:rsidRDefault="00A3176C" w:rsidP="00E739BB">
      <w:pPr>
        <w:rPr>
          <w:szCs w:val="28"/>
        </w:rPr>
      </w:pPr>
      <w:r w:rsidRPr="006B73F4">
        <w:rPr>
          <w:b/>
          <w:bCs/>
          <w:color w:val="003B3A"/>
          <w:szCs w:val="28"/>
        </w:rPr>
        <w:t>ATU</w:t>
      </w:r>
      <w:r>
        <w:rPr>
          <w:szCs w:val="28"/>
        </w:rPr>
        <w:tab/>
      </w:r>
      <w:r>
        <w:rPr>
          <w:szCs w:val="28"/>
        </w:rPr>
        <w:tab/>
        <w:t>Assessment and Treatment Unit</w:t>
      </w:r>
    </w:p>
    <w:p w14:paraId="0401E519" w14:textId="77777777" w:rsidR="00A3176C" w:rsidRDefault="00A3176C" w:rsidP="00E739BB">
      <w:pPr>
        <w:rPr>
          <w:szCs w:val="28"/>
        </w:rPr>
      </w:pPr>
      <w:r w:rsidRPr="006B73F4">
        <w:rPr>
          <w:b/>
          <w:bCs/>
          <w:color w:val="003B3A"/>
          <w:szCs w:val="28"/>
        </w:rPr>
        <w:t>BMA</w:t>
      </w:r>
      <w:r>
        <w:rPr>
          <w:szCs w:val="28"/>
        </w:rPr>
        <w:tab/>
      </w:r>
      <w:r>
        <w:rPr>
          <w:szCs w:val="28"/>
        </w:rPr>
        <w:tab/>
        <w:t>British Medical Association</w:t>
      </w:r>
    </w:p>
    <w:p w14:paraId="482AEFE5" w14:textId="5D75BCC2" w:rsidR="00A3176C" w:rsidRDefault="00A3176C" w:rsidP="00E739BB">
      <w:pPr>
        <w:rPr>
          <w:szCs w:val="28"/>
        </w:rPr>
      </w:pPr>
      <w:r w:rsidRPr="006B73F4">
        <w:rPr>
          <w:b/>
          <w:bCs/>
          <w:color w:val="003B3A"/>
          <w:szCs w:val="28"/>
        </w:rPr>
        <w:t>BSL</w:t>
      </w:r>
      <w:r>
        <w:rPr>
          <w:szCs w:val="28"/>
        </w:rPr>
        <w:tab/>
      </w:r>
      <w:r>
        <w:rPr>
          <w:szCs w:val="28"/>
        </w:rPr>
        <w:tab/>
        <w:t>British Sign Language</w:t>
      </w:r>
    </w:p>
    <w:p w14:paraId="08D73B51" w14:textId="25C28358" w:rsidR="00004C3E" w:rsidRDefault="00004C3E" w:rsidP="00E739BB">
      <w:pPr>
        <w:rPr>
          <w:szCs w:val="28"/>
        </w:rPr>
      </w:pPr>
      <w:r w:rsidRPr="006B73F4">
        <w:rPr>
          <w:b/>
          <w:bCs/>
          <w:color w:val="003B3A"/>
          <w:szCs w:val="28"/>
        </w:rPr>
        <w:t>CBT</w:t>
      </w:r>
      <w:r>
        <w:rPr>
          <w:szCs w:val="28"/>
        </w:rPr>
        <w:tab/>
      </w:r>
      <w:r>
        <w:rPr>
          <w:szCs w:val="28"/>
        </w:rPr>
        <w:tab/>
        <w:t>Cognitive Behavioural Therapy</w:t>
      </w:r>
    </w:p>
    <w:p w14:paraId="32420D78" w14:textId="77777777" w:rsidR="00A3176C" w:rsidRDefault="00A3176C" w:rsidP="00E739BB">
      <w:pPr>
        <w:rPr>
          <w:szCs w:val="28"/>
        </w:rPr>
      </w:pPr>
      <w:r w:rsidRPr="006B73F4">
        <w:rPr>
          <w:b/>
          <w:bCs/>
          <w:color w:val="003B3A"/>
          <w:szCs w:val="28"/>
        </w:rPr>
        <w:t>CEV</w:t>
      </w:r>
      <w:r>
        <w:rPr>
          <w:szCs w:val="28"/>
        </w:rPr>
        <w:tab/>
      </w:r>
      <w:r>
        <w:rPr>
          <w:szCs w:val="28"/>
        </w:rPr>
        <w:tab/>
        <w:t>Clinically Extremely Vulnerable</w:t>
      </w:r>
    </w:p>
    <w:p w14:paraId="2B0B6FF0" w14:textId="1D18AA31" w:rsidR="00A3176C" w:rsidRDefault="00A3176C" w:rsidP="00E739BB">
      <w:pPr>
        <w:rPr>
          <w:szCs w:val="28"/>
        </w:rPr>
      </w:pPr>
      <w:r w:rsidRPr="006B73F4">
        <w:rPr>
          <w:b/>
          <w:bCs/>
          <w:color w:val="003B3A"/>
          <w:szCs w:val="28"/>
        </w:rPr>
        <w:t>CFS</w:t>
      </w:r>
      <w:r>
        <w:rPr>
          <w:szCs w:val="28"/>
        </w:rPr>
        <w:tab/>
      </w:r>
      <w:r>
        <w:rPr>
          <w:szCs w:val="28"/>
        </w:rPr>
        <w:tab/>
        <w:t>Clinical Frailty Score</w:t>
      </w:r>
    </w:p>
    <w:p w14:paraId="5645CBA1" w14:textId="02DACE67" w:rsidR="00004C3E" w:rsidRDefault="00004C3E" w:rsidP="00E739BB">
      <w:pPr>
        <w:rPr>
          <w:szCs w:val="28"/>
        </w:rPr>
      </w:pPr>
      <w:r w:rsidRPr="006B73F4">
        <w:rPr>
          <w:b/>
          <w:bCs/>
          <w:color w:val="003B3A"/>
          <w:szCs w:val="28"/>
        </w:rPr>
        <w:t>CJS</w:t>
      </w:r>
      <w:r>
        <w:rPr>
          <w:szCs w:val="28"/>
        </w:rPr>
        <w:tab/>
      </w:r>
      <w:r>
        <w:rPr>
          <w:szCs w:val="28"/>
        </w:rPr>
        <w:tab/>
        <w:t>Criminal Justice System</w:t>
      </w:r>
    </w:p>
    <w:p w14:paraId="1A6D4AD2" w14:textId="2E8557AC" w:rsidR="00004C3E" w:rsidRDefault="00004C3E" w:rsidP="00E739BB">
      <w:pPr>
        <w:rPr>
          <w:szCs w:val="28"/>
        </w:rPr>
      </w:pPr>
      <w:r w:rsidRPr="006B73F4">
        <w:rPr>
          <w:b/>
          <w:bCs/>
          <w:color w:val="003B3A"/>
          <w:szCs w:val="28"/>
        </w:rPr>
        <w:t>CPS</w:t>
      </w:r>
      <w:r>
        <w:rPr>
          <w:szCs w:val="28"/>
        </w:rPr>
        <w:tab/>
      </w:r>
      <w:r>
        <w:rPr>
          <w:szCs w:val="28"/>
        </w:rPr>
        <w:tab/>
        <w:t>Crown Prosecution Service</w:t>
      </w:r>
    </w:p>
    <w:p w14:paraId="70D21EA1" w14:textId="53FFE126" w:rsidR="00A3176C" w:rsidRDefault="00A3176C" w:rsidP="00E739BB">
      <w:pPr>
        <w:rPr>
          <w:szCs w:val="28"/>
        </w:rPr>
      </w:pPr>
      <w:r w:rsidRPr="005B45BB">
        <w:rPr>
          <w:b/>
          <w:bCs/>
          <w:szCs w:val="28"/>
        </w:rPr>
        <w:t>CQC</w:t>
      </w:r>
      <w:r>
        <w:rPr>
          <w:szCs w:val="28"/>
        </w:rPr>
        <w:tab/>
      </w:r>
      <w:r>
        <w:rPr>
          <w:szCs w:val="28"/>
        </w:rPr>
        <w:tab/>
        <w:t>Care Quality Commission</w:t>
      </w:r>
    </w:p>
    <w:p w14:paraId="73742FFF" w14:textId="053BD358" w:rsidR="003852F0" w:rsidRDefault="003852F0" w:rsidP="00E739BB">
      <w:pPr>
        <w:rPr>
          <w:szCs w:val="28"/>
        </w:rPr>
      </w:pPr>
      <w:r w:rsidRPr="006B73F4">
        <w:rPr>
          <w:b/>
          <w:bCs/>
          <w:color w:val="003B3A"/>
          <w:szCs w:val="28"/>
        </w:rPr>
        <w:t>DCP</w:t>
      </w:r>
      <w:r>
        <w:rPr>
          <w:szCs w:val="28"/>
        </w:rPr>
        <w:tab/>
      </w:r>
      <w:r>
        <w:rPr>
          <w:szCs w:val="28"/>
        </w:rPr>
        <w:tab/>
        <w:t>Disabled Children’s Partnership</w:t>
      </w:r>
    </w:p>
    <w:p w14:paraId="47EDFB87" w14:textId="739C1851" w:rsidR="00A3176C" w:rsidRDefault="00A3176C" w:rsidP="00E739BB">
      <w:pPr>
        <w:rPr>
          <w:szCs w:val="28"/>
        </w:rPr>
      </w:pPr>
      <w:r w:rsidRPr="006B73F4">
        <w:rPr>
          <w:b/>
          <w:bCs/>
          <w:color w:val="003B3A"/>
          <w:szCs w:val="28"/>
        </w:rPr>
        <w:t>DDPO</w:t>
      </w:r>
      <w:r w:rsidRPr="006B73F4">
        <w:rPr>
          <w:color w:val="003B3A"/>
          <w:szCs w:val="28"/>
        </w:rPr>
        <w:t xml:space="preserve"> </w:t>
      </w:r>
      <w:r>
        <w:rPr>
          <w:szCs w:val="28"/>
        </w:rPr>
        <w:tab/>
        <w:t>Deaf and Disabled People’s Organisation</w:t>
      </w:r>
    </w:p>
    <w:p w14:paraId="0FD73965" w14:textId="465DC4A1" w:rsidR="00A3176C" w:rsidRDefault="00A3176C" w:rsidP="00E739BB">
      <w:pPr>
        <w:ind w:left="1440" w:hanging="1440"/>
        <w:rPr>
          <w:szCs w:val="28"/>
        </w:rPr>
      </w:pPr>
      <w:r w:rsidRPr="006B73F4">
        <w:rPr>
          <w:b/>
          <w:bCs/>
          <w:color w:val="003B3A"/>
          <w:szCs w:val="28"/>
        </w:rPr>
        <w:t>DDP</w:t>
      </w:r>
      <w:r>
        <w:rPr>
          <w:szCs w:val="28"/>
        </w:rPr>
        <w:tab/>
        <w:t xml:space="preserve">Deaf and Disabled People </w:t>
      </w:r>
    </w:p>
    <w:p w14:paraId="4EC198E1" w14:textId="77777777" w:rsidR="00A3176C" w:rsidRDefault="00A3176C" w:rsidP="00E739BB">
      <w:pPr>
        <w:ind w:left="1440" w:hanging="1440"/>
        <w:rPr>
          <w:szCs w:val="28"/>
        </w:rPr>
      </w:pPr>
      <w:r w:rsidRPr="006B73F4">
        <w:rPr>
          <w:b/>
          <w:bCs/>
          <w:color w:val="003B3A"/>
          <w:szCs w:val="28"/>
        </w:rPr>
        <w:t>DHSC</w:t>
      </w:r>
      <w:r>
        <w:rPr>
          <w:szCs w:val="28"/>
        </w:rPr>
        <w:tab/>
        <w:t>Department of Health and Social Care</w:t>
      </w:r>
    </w:p>
    <w:p w14:paraId="7412CAA0" w14:textId="32359E90" w:rsidR="00A3176C" w:rsidRDefault="00A3176C" w:rsidP="00E739BB">
      <w:pPr>
        <w:ind w:left="1440" w:hanging="1440"/>
        <w:rPr>
          <w:szCs w:val="28"/>
        </w:rPr>
      </w:pPr>
      <w:r w:rsidRPr="006B73F4">
        <w:rPr>
          <w:b/>
          <w:bCs/>
          <w:color w:val="003B3A"/>
          <w:szCs w:val="28"/>
        </w:rPr>
        <w:t>DLUHC</w:t>
      </w:r>
      <w:r>
        <w:rPr>
          <w:szCs w:val="28"/>
        </w:rPr>
        <w:tab/>
        <w:t>Department for Levelling Up, Housing and Communities</w:t>
      </w:r>
      <w:r w:rsidR="005502B1">
        <w:rPr>
          <w:szCs w:val="28"/>
        </w:rPr>
        <w:t xml:space="preserve"> (formerly MHCLG)</w:t>
      </w:r>
    </w:p>
    <w:p w14:paraId="4E10BAC0" w14:textId="3465983A" w:rsidR="00004C3E" w:rsidRDefault="00004C3E" w:rsidP="00E739BB">
      <w:pPr>
        <w:ind w:left="1440" w:hanging="1440"/>
        <w:rPr>
          <w:szCs w:val="28"/>
        </w:rPr>
      </w:pPr>
      <w:r w:rsidRPr="006B73F4">
        <w:rPr>
          <w:b/>
          <w:bCs/>
          <w:color w:val="003B3A"/>
          <w:szCs w:val="28"/>
        </w:rPr>
        <w:t>DNACPR</w:t>
      </w:r>
      <w:r>
        <w:rPr>
          <w:szCs w:val="28"/>
        </w:rPr>
        <w:tab/>
        <w:t>Do Not Attempt Cardio-Pulmonary Resuscitation</w:t>
      </w:r>
    </w:p>
    <w:p w14:paraId="20F86668" w14:textId="6C0251CF" w:rsidR="00392033" w:rsidRDefault="00392033" w:rsidP="00E739BB">
      <w:pPr>
        <w:ind w:left="1440" w:hanging="1440"/>
        <w:rPr>
          <w:szCs w:val="28"/>
        </w:rPr>
      </w:pPr>
      <w:r w:rsidRPr="006B73F4">
        <w:rPr>
          <w:b/>
          <w:bCs/>
          <w:color w:val="003B3A"/>
          <w:szCs w:val="28"/>
        </w:rPr>
        <w:lastRenderedPageBreak/>
        <w:t>DSA</w:t>
      </w:r>
      <w:r>
        <w:rPr>
          <w:szCs w:val="28"/>
        </w:rPr>
        <w:tab/>
        <w:t>Disabled Students’ Allowance</w:t>
      </w:r>
    </w:p>
    <w:p w14:paraId="184153FE" w14:textId="0D41B963" w:rsidR="000827A5" w:rsidRDefault="000827A5" w:rsidP="00E739BB">
      <w:pPr>
        <w:ind w:left="1440" w:hanging="1440"/>
        <w:rPr>
          <w:szCs w:val="28"/>
        </w:rPr>
      </w:pPr>
      <w:r w:rsidRPr="006B73F4">
        <w:rPr>
          <w:b/>
          <w:bCs/>
          <w:color w:val="003B3A"/>
          <w:szCs w:val="28"/>
        </w:rPr>
        <w:t>DWP</w:t>
      </w:r>
      <w:r>
        <w:rPr>
          <w:szCs w:val="28"/>
        </w:rPr>
        <w:tab/>
        <w:t>Department for Work and Pensions</w:t>
      </w:r>
    </w:p>
    <w:p w14:paraId="2D71C9C2" w14:textId="43BB06A7" w:rsidR="00E3194F" w:rsidRDefault="00E3194F" w:rsidP="00E739BB">
      <w:pPr>
        <w:ind w:left="1440" w:hanging="1440"/>
        <w:rPr>
          <w:szCs w:val="28"/>
        </w:rPr>
      </w:pPr>
      <w:r w:rsidRPr="006B73F4">
        <w:rPr>
          <w:b/>
          <w:bCs/>
          <w:color w:val="003B3A"/>
          <w:szCs w:val="28"/>
        </w:rPr>
        <w:t>EHCP</w:t>
      </w:r>
      <w:r>
        <w:rPr>
          <w:szCs w:val="28"/>
        </w:rPr>
        <w:tab/>
        <w:t>Education, Health and Care Plan</w:t>
      </w:r>
    </w:p>
    <w:p w14:paraId="0FF442A1" w14:textId="77777777" w:rsidR="00A3176C" w:rsidRDefault="00A3176C" w:rsidP="00E739BB">
      <w:pPr>
        <w:ind w:left="1440" w:hanging="1440"/>
        <w:rPr>
          <w:szCs w:val="28"/>
        </w:rPr>
      </w:pPr>
      <w:r w:rsidRPr="006B73F4">
        <w:rPr>
          <w:b/>
          <w:bCs/>
          <w:color w:val="003B3A"/>
          <w:szCs w:val="28"/>
        </w:rPr>
        <w:t>ELCI</w:t>
      </w:r>
      <w:r>
        <w:rPr>
          <w:szCs w:val="28"/>
        </w:rPr>
        <w:tab/>
        <w:t>Energy Limiting Chronic Illness</w:t>
      </w:r>
    </w:p>
    <w:p w14:paraId="28ACE08C" w14:textId="4C812525" w:rsidR="00A3176C" w:rsidRDefault="00A3176C" w:rsidP="00E739BB">
      <w:pPr>
        <w:ind w:left="1440" w:hanging="1440"/>
        <w:rPr>
          <w:szCs w:val="28"/>
        </w:rPr>
      </w:pPr>
      <w:r w:rsidRPr="006B73F4">
        <w:rPr>
          <w:b/>
          <w:bCs/>
          <w:color w:val="003B3A"/>
          <w:szCs w:val="28"/>
        </w:rPr>
        <w:t>ESA</w:t>
      </w:r>
      <w:r>
        <w:rPr>
          <w:szCs w:val="28"/>
        </w:rPr>
        <w:tab/>
        <w:t>Employment Support Allowance</w:t>
      </w:r>
    </w:p>
    <w:p w14:paraId="117AD71C" w14:textId="6141B8B6" w:rsidR="00004C3E" w:rsidRDefault="00004C3E" w:rsidP="00E739BB">
      <w:pPr>
        <w:ind w:left="1440" w:hanging="1440"/>
        <w:rPr>
          <w:szCs w:val="28"/>
        </w:rPr>
      </w:pPr>
      <w:r w:rsidRPr="006B73F4">
        <w:rPr>
          <w:b/>
          <w:bCs/>
          <w:color w:val="003B3A"/>
          <w:szCs w:val="28"/>
        </w:rPr>
        <w:t>EU</w:t>
      </w:r>
      <w:r>
        <w:rPr>
          <w:szCs w:val="28"/>
        </w:rPr>
        <w:tab/>
        <w:t>European Union</w:t>
      </w:r>
    </w:p>
    <w:p w14:paraId="08073BE1" w14:textId="3258A1BE" w:rsidR="00E3194F" w:rsidRDefault="00E3194F" w:rsidP="00E739BB">
      <w:pPr>
        <w:ind w:left="1440" w:hanging="1440"/>
        <w:rPr>
          <w:szCs w:val="28"/>
        </w:rPr>
      </w:pPr>
      <w:r w:rsidRPr="006B73F4">
        <w:rPr>
          <w:b/>
          <w:bCs/>
          <w:color w:val="003B3A"/>
          <w:szCs w:val="28"/>
        </w:rPr>
        <w:t>FSM</w:t>
      </w:r>
      <w:r>
        <w:rPr>
          <w:szCs w:val="28"/>
        </w:rPr>
        <w:tab/>
        <w:t>Free School Meals</w:t>
      </w:r>
    </w:p>
    <w:p w14:paraId="2C1133B2" w14:textId="304B30D4" w:rsidR="00A3176C" w:rsidRDefault="00A3176C" w:rsidP="00E739BB">
      <w:pPr>
        <w:ind w:left="1440" w:hanging="1440"/>
        <w:rPr>
          <w:szCs w:val="28"/>
        </w:rPr>
      </w:pPr>
      <w:r w:rsidRPr="006B73F4">
        <w:rPr>
          <w:b/>
          <w:bCs/>
          <w:color w:val="003B3A"/>
          <w:szCs w:val="28"/>
        </w:rPr>
        <w:t>GRT</w:t>
      </w:r>
      <w:r>
        <w:rPr>
          <w:szCs w:val="28"/>
        </w:rPr>
        <w:tab/>
        <w:t>Gypsy, Roma and Traveller communities</w:t>
      </w:r>
    </w:p>
    <w:p w14:paraId="4F9D082F" w14:textId="43D3524D" w:rsidR="00CB5011" w:rsidRDefault="00CB5011" w:rsidP="00E739BB">
      <w:pPr>
        <w:ind w:left="1440" w:hanging="1440"/>
        <w:rPr>
          <w:szCs w:val="28"/>
        </w:rPr>
      </w:pPr>
      <w:r w:rsidRPr="006B73F4">
        <w:rPr>
          <w:b/>
          <w:bCs/>
          <w:color w:val="003B3A"/>
          <w:szCs w:val="28"/>
        </w:rPr>
        <w:t>ICO</w:t>
      </w:r>
      <w:r>
        <w:rPr>
          <w:szCs w:val="28"/>
        </w:rPr>
        <w:tab/>
        <w:t>Information Commissioners Office</w:t>
      </w:r>
    </w:p>
    <w:p w14:paraId="60C7B959" w14:textId="23A4AD58" w:rsidR="00705393" w:rsidRDefault="00705393" w:rsidP="00E739BB">
      <w:pPr>
        <w:ind w:left="1440" w:hanging="1440"/>
        <w:rPr>
          <w:szCs w:val="28"/>
        </w:rPr>
      </w:pPr>
      <w:r w:rsidRPr="006B73F4">
        <w:rPr>
          <w:b/>
          <w:bCs/>
          <w:color w:val="003B3A"/>
          <w:szCs w:val="28"/>
        </w:rPr>
        <w:t>IMCA</w:t>
      </w:r>
      <w:r>
        <w:rPr>
          <w:szCs w:val="28"/>
        </w:rPr>
        <w:tab/>
        <w:t>Independent Mental Capacity Advocate</w:t>
      </w:r>
    </w:p>
    <w:p w14:paraId="7CE1E7B7" w14:textId="2254624B" w:rsidR="00705393" w:rsidRDefault="00705393" w:rsidP="00E739BB">
      <w:pPr>
        <w:ind w:left="1440" w:hanging="1440"/>
        <w:rPr>
          <w:szCs w:val="28"/>
        </w:rPr>
      </w:pPr>
      <w:r w:rsidRPr="006B73F4">
        <w:rPr>
          <w:b/>
          <w:bCs/>
          <w:color w:val="003B3A"/>
          <w:szCs w:val="28"/>
        </w:rPr>
        <w:t>IMHA</w:t>
      </w:r>
      <w:r>
        <w:rPr>
          <w:szCs w:val="28"/>
        </w:rPr>
        <w:tab/>
        <w:t>Independent Mental Health Advocate</w:t>
      </w:r>
    </w:p>
    <w:p w14:paraId="2058063F" w14:textId="4C877FA6" w:rsidR="003852F0" w:rsidRDefault="003852F0" w:rsidP="00E739BB">
      <w:pPr>
        <w:ind w:left="1440" w:hanging="1440"/>
        <w:rPr>
          <w:szCs w:val="28"/>
        </w:rPr>
      </w:pPr>
      <w:r w:rsidRPr="006B73F4">
        <w:rPr>
          <w:b/>
          <w:bCs/>
          <w:color w:val="003B3A"/>
          <w:szCs w:val="28"/>
        </w:rPr>
        <w:t>JCHR</w:t>
      </w:r>
      <w:r>
        <w:rPr>
          <w:szCs w:val="28"/>
        </w:rPr>
        <w:tab/>
        <w:t>Joint Committee on Human Rights</w:t>
      </w:r>
    </w:p>
    <w:p w14:paraId="1FA06E9D" w14:textId="0A2B20CA" w:rsidR="002F76E7" w:rsidRDefault="002F76E7" w:rsidP="00E739BB">
      <w:pPr>
        <w:ind w:left="1440" w:hanging="1440"/>
        <w:rPr>
          <w:szCs w:val="28"/>
        </w:rPr>
      </w:pPr>
      <w:r w:rsidRPr="006B73F4">
        <w:rPr>
          <w:b/>
          <w:bCs/>
          <w:color w:val="003B3A"/>
          <w:szCs w:val="28"/>
        </w:rPr>
        <w:t>JR</w:t>
      </w:r>
      <w:r>
        <w:rPr>
          <w:szCs w:val="28"/>
        </w:rPr>
        <w:tab/>
        <w:t>Judicial Review</w:t>
      </w:r>
    </w:p>
    <w:p w14:paraId="2AF8EBB6" w14:textId="77777777" w:rsidR="00A3176C" w:rsidRDefault="00A3176C" w:rsidP="00E739BB">
      <w:pPr>
        <w:ind w:left="1440" w:hanging="1440"/>
        <w:rPr>
          <w:szCs w:val="28"/>
        </w:rPr>
      </w:pPr>
      <w:r w:rsidRPr="006B73F4">
        <w:rPr>
          <w:b/>
          <w:bCs/>
          <w:color w:val="003B3A"/>
          <w:szCs w:val="28"/>
        </w:rPr>
        <w:t>LASPO</w:t>
      </w:r>
      <w:r>
        <w:rPr>
          <w:szCs w:val="28"/>
        </w:rPr>
        <w:tab/>
        <w:t>Legal Aid, Sentencing and Punishment of Offenders Act 2012</w:t>
      </w:r>
    </w:p>
    <w:p w14:paraId="2A7779DD" w14:textId="77777777" w:rsidR="00A3176C" w:rsidRDefault="00A3176C" w:rsidP="00E739BB">
      <w:pPr>
        <w:ind w:left="1440" w:hanging="1440"/>
        <w:rPr>
          <w:szCs w:val="28"/>
        </w:rPr>
      </w:pPr>
      <w:r w:rsidRPr="006B73F4">
        <w:rPr>
          <w:b/>
          <w:bCs/>
          <w:color w:val="003B3A"/>
          <w:szCs w:val="28"/>
        </w:rPr>
        <w:t>LCW</w:t>
      </w:r>
      <w:r>
        <w:rPr>
          <w:szCs w:val="28"/>
        </w:rPr>
        <w:tab/>
        <w:t>Limited Capability for Work</w:t>
      </w:r>
    </w:p>
    <w:p w14:paraId="448AD778" w14:textId="77777777" w:rsidR="00A3176C" w:rsidRDefault="00A3176C" w:rsidP="00E739BB">
      <w:pPr>
        <w:ind w:left="1440" w:hanging="1440"/>
        <w:rPr>
          <w:szCs w:val="28"/>
        </w:rPr>
      </w:pPr>
      <w:r w:rsidRPr="006B73F4">
        <w:rPr>
          <w:b/>
          <w:bCs/>
          <w:color w:val="003B3A"/>
          <w:szCs w:val="28"/>
        </w:rPr>
        <w:t>LCWRA</w:t>
      </w:r>
      <w:r>
        <w:rPr>
          <w:szCs w:val="28"/>
        </w:rPr>
        <w:tab/>
        <w:t>Limited Capability for Work Related Activity</w:t>
      </w:r>
    </w:p>
    <w:p w14:paraId="1D78FBAD" w14:textId="77777777" w:rsidR="00A3176C" w:rsidRDefault="00A3176C" w:rsidP="00E739BB">
      <w:pPr>
        <w:ind w:left="1440" w:hanging="1440"/>
        <w:rPr>
          <w:szCs w:val="28"/>
        </w:rPr>
      </w:pPr>
      <w:r w:rsidRPr="006B73F4">
        <w:rPr>
          <w:b/>
          <w:bCs/>
          <w:color w:val="003B3A"/>
          <w:szCs w:val="28"/>
        </w:rPr>
        <w:t>LGBTQ+</w:t>
      </w:r>
      <w:r>
        <w:rPr>
          <w:szCs w:val="28"/>
        </w:rPr>
        <w:tab/>
        <w:t xml:space="preserve">Lesbian, Gay, Bisexual, Transgender, Queer, </w:t>
      </w:r>
      <w:r w:rsidRPr="002016B2">
        <w:rPr>
          <w:szCs w:val="28"/>
        </w:rPr>
        <w:t>Questioning, Intersex, Allies, Asexual and Pansexual</w:t>
      </w:r>
    </w:p>
    <w:p w14:paraId="0666E9D0" w14:textId="31580E10" w:rsidR="003852F0" w:rsidRDefault="003852F0" w:rsidP="00E739BB">
      <w:pPr>
        <w:ind w:left="1440" w:hanging="1440"/>
        <w:rPr>
          <w:szCs w:val="28"/>
        </w:rPr>
      </w:pPr>
      <w:r w:rsidRPr="006B73F4">
        <w:rPr>
          <w:b/>
          <w:bCs/>
          <w:color w:val="003B3A"/>
          <w:szCs w:val="28"/>
        </w:rPr>
        <w:t>LGSCO</w:t>
      </w:r>
      <w:r>
        <w:rPr>
          <w:szCs w:val="28"/>
        </w:rPr>
        <w:tab/>
        <w:t>Local Government and Social Care Ombudsman</w:t>
      </w:r>
    </w:p>
    <w:p w14:paraId="1A205488" w14:textId="3BA8FAFD" w:rsidR="00004C3E" w:rsidRDefault="00004C3E" w:rsidP="00E739BB">
      <w:pPr>
        <w:ind w:left="1440" w:hanging="1440"/>
        <w:rPr>
          <w:szCs w:val="28"/>
        </w:rPr>
      </w:pPr>
      <w:r w:rsidRPr="006B73F4">
        <w:rPr>
          <w:b/>
          <w:bCs/>
          <w:color w:val="003B3A"/>
          <w:szCs w:val="28"/>
        </w:rPr>
        <w:t>MAC</w:t>
      </w:r>
      <w:r>
        <w:rPr>
          <w:szCs w:val="28"/>
        </w:rPr>
        <w:tab/>
        <w:t>Migration Advisory Committee</w:t>
      </w:r>
    </w:p>
    <w:p w14:paraId="455BD099" w14:textId="5CB1839D" w:rsidR="00A3176C" w:rsidRDefault="00A3176C" w:rsidP="00E739BB">
      <w:pPr>
        <w:ind w:left="1440" w:hanging="1440"/>
        <w:rPr>
          <w:szCs w:val="28"/>
        </w:rPr>
      </w:pPr>
      <w:r w:rsidRPr="006B73F4">
        <w:rPr>
          <w:b/>
          <w:bCs/>
          <w:color w:val="003B3A"/>
          <w:szCs w:val="28"/>
        </w:rPr>
        <w:lastRenderedPageBreak/>
        <w:t>ME/CFS</w:t>
      </w:r>
      <w:r>
        <w:rPr>
          <w:szCs w:val="28"/>
        </w:rPr>
        <w:tab/>
      </w:r>
      <w:proofErr w:type="spellStart"/>
      <w:r w:rsidRPr="00EA2F4E">
        <w:rPr>
          <w:szCs w:val="28"/>
        </w:rPr>
        <w:t>Myalgic</w:t>
      </w:r>
      <w:proofErr w:type="spellEnd"/>
      <w:r w:rsidRPr="00EA2F4E">
        <w:rPr>
          <w:szCs w:val="28"/>
        </w:rPr>
        <w:t xml:space="preserve"> encephalomyelitis</w:t>
      </w:r>
      <w:r>
        <w:rPr>
          <w:szCs w:val="28"/>
        </w:rPr>
        <w:t xml:space="preserve"> / Chronic Fatigue Syndrome</w:t>
      </w:r>
    </w:p>
    <w:p w14:paraId="211317B9" w14:textId="1EF44362" w:rsidR="00004C3E" w:rsidRDefault="00004C3E" w:rsidP="00E739BB">
      <w:pPr>
        <w:ind w:left="1440" w:hanging="1440"/>
        <w:rPr>
          <w:szCs w:val="28"/>
        </w:rPr>
      </w:pPr>
      <w:r w:rsidRPr="006B73F4">
        <w:rPr>
          <w:b/>
          <w:bCs/>
          <w:color w:val="003B3A"/>
          <w:szCs w:val="28"/>
        </w:rPr>
        <w:t>MH</w:t>
      </w:r>
      <w:r>
        <w:rPr>
          <w:szCs w:val="28"/>
        </w:rPr>
        <w:tab/>
        <w:t>Mental Health</w:t>
      </w:r>
    </w:p>
    <w:p w14:paraId="6E5E52A0" w14:textId="77777777" w:rsidR="00A3176C" w:rsidRDefault="00A3176C" w:rsidP="00E739BB">
      <w:pPr>
        <w:ind w:left="1440" w:hanging="1440"/>
        <w:rPr>
          <w:szCs w:val="28"/>
        </w:rPr>
      </w:pPr>
      <w:r w:rsidRPr="006B73F4">
        <w:rPr>
          <w:b/>
          <w:bCs/>
          <w:color w:val="003B3A"/>
          <w:szCs w:val="28"/>
        </w:rPr>
        <w:t>MHCLG</w:t>
      </w:r>
      <w:r>
        <w:rPr>
          <w:szCs w:val="28"/>
        </w:rPr>
        <w:tab/>
        <w:t>Ministry of Housing, Communities and Local Government</w:t>
      </w:r>
    </w:p>
    <w:p w14:paraId="3394A42F" w14:textId="33A32BA2" w:rsidR="00A3176C" w:rsidRDefault="00A3176C" w:rsidP="00E739BB">
      <w:pPr>
        <w:ind w:left="1440" w:hanging="1440"/>
        <w:rPr>
          <w:szCs w:val="28"/>
        </w:rPr>
      </w:pPr>
      <w:proofErr w:type="spellStart"/>
      <w:r w:rsidRPr="006B73F4">
        <w:rPr>
          <w:b/>
          <w:bCs/>
          <w:color w:val="003B3A"/>
          <w:szCs w:val="28"/>
        </w:rPr>
        <w:t>MoJ</w:t>
      </w:r>
      <w:proofErr w:type="spellEnd"/>
      <w:r>
        <w:rPr>
          <w:szCs w:val="28"/>
        </w:rPr>
        <w:tab/>
        <w:t>Ministry of Justice</w:t>
      </w:r>
    </w:p>
    <w:p w14:paraId="15CDAE89" w14:textId="4BA87183" w:rsidR="005D11F8" w:rsidRDefault="005D11F8" w:rsidP="00E739BB">
      <w:pPr>
        <w:ind w:left="1440" w:hanging="1440"/>
        <w:rPr>
          <w:szCs w:val="28"/>
        </w:rPr>
      </w:pPr>
      <w:r w:rsidRPr="006B73F4">
        <w:rPr>
          <w:b/>
          <w:bCs/>
          <w:color w:val="003B3A"/>
          <w:szCs w:val="28"/>
        </w:rPr>
        <w:t>MUS</w:t>
      </w:r>
      <w:r>
        <w:rPr>
          <w:szCs w:val="28"/>
        </w:rPr>
        <w:tab/>
        <w:t>Medically Unexplained Symptoms</w:t>
      </w:r>
    </w:p>
    <w:p w14:paraId="686B73D1" w14:textId="77777777" w:rsidR="00A3176C" w:rsidRDefault="00A3176C" w:rsidP="00E739BB">
      <w:pPr>
        <w:ind w:left="1440" w:hanging="1440"/>
        <w:rPr>
          <w:szCs w:val="28"/>
        </w:rPr>
      </w:pPr>
      <w:r w:rsidRPr="006B73F4">
        <w:rPr>
          <w:b/>
          <w:bCs/>
          <w:color w:val="003B3A"/>
          <w:szCs w:val="28"/>
        </w:rPr>
        <w:t>NAO</w:t>
      </w:r>
      <w:r>
        <w:rPr>
          <w:szCs w:val="28"/>
        </w:rPr>
        <w:tab/>
        <w:t>National Audit Office</w:t>
      </w:r>
    </w:p>
    <w:p w14:paraId="7D470378" w14:textId="78FB0D3B" w:rsidR="00A3176C" w:rsidRDefault="00A3176C" w:rsidP="00E739BB">
      <w:pPr>
        <w:ind w:left="1440" w:hanging="1440"/>
        <w:rPr>
          <w:szCs w:val="28"/>
        </w:rPr>
      </w:pPr>
      <w:r w:rsidRPr="006B73F4">
        <w:rPr>
          <w:b/>
          <w:bCs/>
          <w:color w:val="003B3A"/>
          <w:szCs w:val="28"/>
        </w:rPr>
        <w:t>NDS</w:t>
      </w:r>
      <w:r>
        <w:rPr>
          <w:szCs w:val="28"/>
        </w:rPr>
        <w:tab/>
        <w:t>National Disability Strategy</w:t>
      </w:r>
    </w:p>
    <w:p w14:paraId="52378519" w14:textId="08B6B751" w:rsidR="00E3194F" w:rsidRDefault="00E3194F" w:rsidP="00E739BB">
      <w:pPr>
        <w:ind w:left="1440" w:hanging="1440"/>
        <w:rPr>
          <w:szCs w:val="28"/>
        </w:rPr>
      </w:pPr>
      <w:r w:rsidRPr="006B73F4">
        <w:rPr>
          <w:b/>
          <w:bCs/>
          <w:color w:val="003B3A"/>
          <w:szCs w:val="28"/>
        </w:rPr>
        <w:t>NHRI</w:t>
      </w:r>
      <w:r>
        <w:rPr>
          <w:szCs w:val="28"/>
        </w:rPr>
        <w:tab/>
        <w:t>National Human Rights Institution</w:t>
      </w:r>
    </w:p>
    <w:p w14:paraId="285D1E09" w14:textId="77777777" w:rsidR="00A3176C" w:rsidRDefault="00A3176C" w:rsidP="00E739BB">
      <w:pPr>
        <w:ind w:left="1440" w:hanging="1440"/>
        <w:rPr>
          <w:szCs w:val="28"/>
        </w:rPr>
      </w:pPr>
      <w:r w:rsidRPr="006B73F4">
        <w:rPr>
          <w:b/>
          <w:bCs/>
          <w:color w:val="003B3A"/>
          <w:szCs w:val="28"/>
        </w:rPr>
        <w:t>NHS</w:t>
      </w:r>
      <w:r>
        <w:rPr>
          <w:szCs w:val="28"/>
        </w:rPr>
        <w:tab/>
        <w:t>National Health Service</w:t>
      </w:r>
    </w:p>
    <w:p w14:paraId="5D41D684" w14:textId="18178DD4" w:rsidR="00A3176C" w:rsidRDefault="00A3176C" w:rsidP="00E739BB">
      <w:pPr>
        <w:ind w:left="1440" w:hanging="1440"/>
        <w:rPr>
          <w:szCs w:val="28"/>
        </w:rPr>
      </w:pPr>
      <w:r w:rsidRPr="006B73F4">
        <w:rPr>
          <w:b/>
          <w:bCs/>
          <w:color w:val="003B3A"/>
          <w:szCs w:val="28"/>
        </w:rPr>
        <w:t>NICE</w:t>
      </w:r>
      <w:r>
        <w:rPr>
          <w:szCs w:val="28"/>
        </w:rPr>
        <w:tab/>
        <w:t>National Institute for Clinical Excellence</w:t>
      </w:r>
    </w:p>
    <w:p w14:paraId="5AA8AC52" w14:textId="24578C02" w:rsidR="005D11F8" w:rsidRDefault="005D11F8" w:rsidP="00E739BB">
      <w:pPr>
        <w:ind w:left="1440" w:hanging="1440"/>
        <w:rPr>
          <w:szCs w:val="28"/>
        </w:rPr>
      </w:pPr>
      <w:r w:rsidRPr="006B73F4">
        <w:rPr>
          <w:b/>
          <w:bCs/>
          <w:color w:val="003B3A"/>
          <w:szCs w:val="28"/>
        </w:rPr>
        <w:t>NRM</w:t>
      </w:r>
      <w:r>
        <w:rPr>
          <w:szCs w:val="28"/>
        </w:rPr>
        <w:tab/>
        <w:t>National Referral Mechanism</w:t>
      </w:r>
    </w:p>
    <w:p w14:paraId="41CF61E4" w14:textId="77777777" w:rsidR="00A3176C" w:rsidRDefault="00A3176C" w:rsidP="00E739BB">
      <w:pPr>
        <w:ind w:left="1440" w:hanging="1440"/>
        <w:rPr>
          <w:szCs w:val="28"/>
        </w:rPr>
      </w:pPr>
      <w:r w:rsidRPr="006B73F4">
        <w:rPr>
          <w:b/>
          <w:bCs/>
          <w:color w:val="003B3A"/>
          <w:szCs w:val="28"/>
        </w:rPr>
        <w:t>ONS</w:t>
      </w:r>
      <w:r>
        <w:rPr>
          <w:szCs w:val="28"/>
        </w:rPr>
        <w:tab/>
        <w:t>Office for National Statistics</w:t>
      </w:r>
    </w:p>
    <w:p w14:paraId="4BEB3CCC" w14:textId="77777777" w:rsidR="00A3176C" w:rsidRDefault="00A3176C" w:rsidP="00E739BB">
      <w:pPr>
        <w:ind w:left="1440" w:hanging="1440"/>
        <w:rPr>
          <w:szCs w:val="28"/>
        </w:rPr>
      </w:pPr>
      <w:r w:rsidRPr="006B73F4">
        <w:rPr>
          <w:b/>
          <w:bCs/>
          <w:color w:val="003B3A"/>
          <w:szCs w:val="28"/>
        </w:rPr>
        <w:t>PA</w:t>
      </w:r>
      <w:r w:rsidRPr="005B45BB">
        <w:rPr>
          <w:b/>
          <w:bCs/>
          <w:szCs w:val="28"/>
        </w:rPr>
        <w:tab/>
      </w:r>
      <w:r>
        <w:rPr>
          <w:szCs w:val="28"/>
        </w:rPr>
        <w:t>Personal Assistant</w:t>
      </w:r>
    </w:p>
    <w:p w14:paraId="1A883734" w14:textId="77777777" w:rsidR="00A3176C" w:rsidRDefault="00A3176C" w:rsidP="00E739BB">
      <w:pPr>
        <w:ind w:left="1440" w:hanging="1440"/>
        <w:rPr>
          <w:szCs w:val="28"/>
        </w:rPr>
      </w:pPr>
      <w:r w:rsidRPr="006B73F4">
        <w:rPr>
          <w:b/>
          <w:bCs/>
          <w:color w:val="003B3A"/>
          <w:szCs w:val="28"/>
        </w:rPr>
        <w:t>PHE</w:t>
      </w:r>
      <w:r>
        <w:rPr>
          <w:szCs w:val="28"/>
        </w:rPr>
        <w:tab/>
        <w:t>Public Health England</w:t>
      </w:r>
    </w:p>
    <w:p w14:paraId="76BA783D" w14:textId="77777777" w:rsidR="00A3176C" w:rsidRDefault="00A3176C" w:rsidP="00E739BB">
      <w:pPr>
        <w:ind w:left="1440" w:hanging="1440"/>
        <w:rPr>
          <w:szCs w:val="28"/>
        </w:rPr>
      </w:pPr>
      <w:r w:rsidRPr="006B73F4">
        <w:rPr>
          <w:b/>
          <w:bCs/>
          <w:color w:val="003B3A"/>
          <w:szCs w:val="28"/>
        </w:rPr>
        <w:t>PIP</w:t>
      </w:r>
      <w:r>
        <w:rPr>
          <w:szCs w:val="28"/>
        </w:rPr>
        <w:tab/>
        <w:t>Personal Independence Payment</w:t>
      </w:r>
    </w:p>
    <w:p w14:paraId="6AA3BEC2" w14:textId="77777777" w:rsidR="00A3176C" w:rsidRDefault="00A3176C" w:rsidP="00E739BB">
      <w:pPr>
        <w:ind w:left="1440" w:hanging="1440"/>
        <w:rPr>
          <w:szCs w:val="28"/>
        </w:rPr>
      </w:pPr>
      <w:r w:rsidRPr="006B73F4">
        <w:rPr>
          <w:b/>
          <w:bCs/>
          <w:color w:val="003B3A"/>
          <w:szCs w:val="28"/>
        </w:rPr>
        <w:t>PPE</w:t>
      </w:r>
      <w:r>
        <w:rPr>
          <w:szCs w:val="28"/>
        </w:rPr>
        <w:tab/>
        <w:t>Personal Protective Equipment</w:t>
      </w:r>
    </w:p>
    <w:p w14:paraId="6F694D67" w14:textId="1AC119B8" w:rsidR="00B12172" w:rsidRDefault="00B12172" w:rsidP="00E739BB">
      <w:pPr>
        <w:ind w:left="1440" w:hanging="1440"/>
        <w:rPr>
          <w:szCs w:val="28"/>
        </w:rPr>
      </w:pPr>
      <w:r w:rsidRPr="006B73F4">
        <w:rPr>
          <w:b/>
          <w:bCs/>
          <w:color w:val="003B3A"/>
          <w:szCs w:val="28"/>
        </w:rPr>
        <w:t>SSAC</w:t>
      </w:r>
      <w:r>
        <w:rPr>
          <w:szCs w:val="28"/>
        </w:rPr>
        <w:tab/>
        <w:t>Social Security Advisory Committee</w:t>
      </w:r>
    </w:p>
    <w:p w14:paraId="26DA0965" w14:textId="3B455F64" w:rsidR="00A3176C" w:rsidRDefault="00A3176C" w:rsidP="00E739BB">
      <w:pPr>
        <w:ind w:left="1440" w:hanging="1440"/>
        <w:rPr>
          <w:szCs w:val="28"/>
        </w:rPr>
      </w:pPr>
      <w:r w:rsidRPr="006B73F4">
        <w:rPr>
          <w:b/>
          <w:bCs/>
          <w:color w:val="003B3A"/>
          <w:szCs w:val="28"/>
        </w:rPr>
        <w:t>SEND</w:t>
      </w:r>
      <w:r>
        <w:rPr>
          <w:szCs w:val="28"/>
        </w:rPr>
        <w:tab/>
        <w:t>Special Educational Needs and Disability</w:t>
      </w:r>
    </w:p>
    <w:p w14:paraId="15A73745" w14:textId="77777777" w:rsidR="00A3176C" w:rsidRDefault="00A3176C" w:rsidP="00E739BB">
      <w:pPr>
        <w:ind w:left="1440" w:hanging="1440"/>
        <w:rPr>
          <w:szCs w:val="28"/>
        </w:rPr>
      </w:pPr>
      <w:r w:rsidRPr="006B73F4">
        <w:rPr>
          <w:b/>
          <w:bCs/>
          <w:color w:val="003B3A"/>
          <w:szCs w:val="28"/>
        </w:rPr>
        <w:t>TUC</w:t>
      </w:r>
      <w:r>
        <w:rPr>
          <w:szCs w:val="28"/>
        </w:rPr>
        <w:tab/>
        <w:t>Trades Union Congress</w:t>
      </w:r>
    </w:p>
    <w:p w14:paraId="4B0001CC" w14:textId="77777777" w:rsidR="00A3176C" w:rsidRDefault="00A3176C" w:rsidP="00E739BB">
      <w:pPr>
        <w:ind w:left="1440" w:hanging="1440"/>
        <w:rPr>
          <w:szCs w:val="28"/>
        </w:rPr>
      </w:pPr>
      <w:r w:rsidRPr="006B73F4">
        <w:rPr>
          <w:b/>
          <w:bCs/>
          <w:color w:val="003B3A"/>
          <w:szCs w:val="28"/>
        </w:rPr>
        <w:t>UC</w:t>
      </w:r>
      <w:r>
        <w:rPr>
          <w:szCs w:val="28"/>
        </w:rPr>
        <w:tab/>
        <w:t>Universal Credit</w:t>
      </w:r>
    </w:p>
    <w:p w14:paraId="5A51BDA2" w14:textId="77777777" w:rsidR="00A3176C" w:rsidRDefault="00A3176C" w:rsidP="00E739BB">
      <w:pPr>
        <w:ind w:left="1440" w:hanging="1440"/>
        <w:rPr>
          <w:szCs w:val="28"/>
        </w:rPr>
      </w:pPr>
      <w:r w:rsidRPr="006B73F4">
        <w:rPr>
          <w:b/>
          <w:bCs/>
          <w:color w:val="003B3A"/>
          <w:szCs w:val="28"/>
        </w:rPr>
        <w:lastRenderedPageBreak/>
        <w:t>UK</w:t>
      </w:r>
      <w:r>
        <w:rPr>
          <w:szCs w:val="28"/>
        </w:rPr>
        <w:tab/>
        <w:t>United Kingdom</w:t>
      </w:r>
    </w:p>
    <w:p w14:paraId="6769FD17" w14:textId="14C61559" w:rsidR="007D75D3" w:rsidRDefault="007D75D3" w:rsidP="00E739BB">
      <w:pPr>
        <w:ind w:left="1440" w:hanging="1440"/>
        <w:rPr>
          <w:szCs w:val="28"/>
        </w:rPr>
      </w:pPr>
      <w:r w:rsidRPr="006B73F4">
        <w:rPr>
          <w:b/>
          <w:bCs/>
          <w:color w:val="003B3A"/>
          <w:szCs w:val="28"/>
        </w:rPr>
        <w:t>VI</w:t>
      </w:r>
      <w:r>
        <w:rPr>
          <w:szCs w:val="28"/>
        </w:rPr>
        <w:tab/>
        <w:t>Visual Impairment</w:t>
      </w:r>
    </w:p>
    <w:p w14:paraId="0CE4D77B" w14:textId="7AE2BC98" w:rsidR="00A3176C" w:rsidRDefault="00A3176C" w:rsidP="00E739BB">
      <w:pPr>
        <w:ind w:left="1440" w:hanging="1440"/>
        <w:rPr>
          <w:szCs w:val="28"/>
        </w:rPr>
      </w:pPr>
      <w:r w:rsidRPr="006B73F4">
        <w:rPr>
          <w:b/>
          <w:bCs/>
          <w:color w:val="003B3A"/>
          <w:szCs w:val="28"/>
        </w:rPr>
        <w:t>WCA</w:t>
      </w:r>
      <w:r>
        <w:rPr>
          <w:szCs w:val="28"/>
        </w:rPr>
        <w:tab/>
        <w:t>Work Capability Assessment</w:t>
      </w:r>
    </w:p>
    <w:p w14:paraId="422B452D" w14:textId="77777777" w:rsidR="00A3176C" w:rsidRDefault="00A3176C" w:rsidP="00E739BB">
      <w:pPr>
        <w:ind w:left="1440" w:hanging="1440"/>
        <w:rPr>
          <w:szCs w:val="28"/>
        </w:rPr>
      </w:pPr>
      <w:r w:rsidRPr="006B73F4">
        <w:rPr>
          <w:b/>
          <w:bCs/>
          <w:color w:val="003B3A"/>
          <w:szCs w:val="28"/>
        </w:rPr>
        <w:t>WEC</w:t>
      </w:r>
      <w:r>
        <w:rPr>
          <w:szCs w:val="28"/>
        </w:rPr>
        <w:tab/>
        <w:t>Women and Equalities Committee</w:t>
      </w:r>
    </w:p>
    <w:p w14:paraId="1109B1BB" w14:textId="77777777" w:rsidR="00A3176C" w:rsidRDefault="00A3176C" w:rsidP="00E739BB">
      <w:pPr>
        <w:ind w:left="1440" w:hanging="1440"/>
        <w:rPr>
          <w:szCs w:val="28"/>
        </w:rPr>
      </w:pPr>
      <w:r w:rsidRPr="006B73F4">
        <w:rPr>
          <w:b/>
          <w:bCs/>
          <w:color w:val="003B3A"/>
          <w:szCs w:val="28"/>
        </w:rPr>
        <w:t>WPC</w:t>
      </w:r>
      <w:r>
        <w:rPr>
          <w:szCs w:val="28"/>
        </w:rPr>
        <w:tab/>
        <w:t>Work and Pensions Committee</w:t>
      </w:r>
    </w:p>
    <w:p w14:paraId="3BF4195E" w14:textId="4BF0126E" w:rsidR="00A3176C" w:rsidRDefault="00A3176C" w:rsidP="00E739BB">
      <w:pPr>
        <w:ind w:left="1440" w:hanging="1440"/>
        <w:rPr>
          <w:szCs w:val="28"/>
        </w:rPr>
      </w:pPr>
    </w:p>
    <w:p w14:paraId="51F9E13C" w14:textId="77777777" w:rsidR="00231B6B" w:rsidRDefault="00231B6B">
      <w:pPr>
        <w:spacing w:after="160" w:line="259" w:lineRule="auto"/>
        <w:rPr>
          <w:rFonts w:eastAsiaTheme="majorEastAsia" w:cstheme="majorBidi"/>
          <w:color w:val="003B3A"/>
          <w:sz w:val="52"/>
          <w:szCs w:val="26"/>
        </w:rPr>
      </w:pPr>
      <w:r>
        <w:br w:type="page"/>
      </w:r>
    </w:p>
    <w:p w14:paraId="6216C0A7" w14:textId="236E92B8" w:rsidR="00A3176C" w:rsidRPr="009646EA" w:rsidRDefault="00A3176C" w:rsidP="00BB6A41">
      <w:pPr>
        <w:pStyle w:val="Heading2"/>
      </w:pPr>
      <w:bookmarkStart w:id="64" w:name="_Toc98504911"/>
      <w:bookmarkStart w:id="65" w:name="_Toc98505551"/>
      <w:bookmarkStart w:id="66" w:name="_Toc98506557"/>
      <w:r>
        <w:lastRenderedPageBreak/>
        <w:t xml:space="preserve">Evidence </w:t>
      </w:r>
      <w:r w:rsidRPr="009646EA">
        <w:t>Reference numbers</w:t>
      </w:r>
      <w:bookmarkEnd w:id="64"/>
      <w:bookmarkEnd w:id="65"/>
      <w:bookmarkEnd w:id="66"/>
    </w:p>
    <w:p w14:paraId="0679DFAC" w14:textId="77777777" w:rsidR="00EA7A6A" w:rsidRDefault="00EA7A6A" w:rsidP="00E739BB">
      <w:pPr>
        <w:ind w:left="1440" w:hanging="1440"/>
        <w:rPr>
          <w:b/>
          <w:bCs/>
          <w:szCs w:val="28"/>
        </w:rPr>
      </w:pPr>
    </w:p>
    <w:p w14:paraId="1DE9A6F4" w14:textId="358A2C0B" w:rsidR="00A3176C" w:rsidRDefault="00A3176C" w:rsidP="00E739BB">
      <w:pPr>
        <w:ind w:left="1440" w:hanging="1440"/>
        <w:rPr>
          <w:szCs w:val="28"/>
        </w:rPr>
      </w:pPr>
      <w:r w:rsidRPr="006B73F4">
        <w:rPr>
          <w:b/>
          <w:bCs/>
          <w:color w:val="003B3A"/>
          <w:szCs w:val="28"/>
        </w:rPr>
        <w:t>CBCE</w:t>
      </w:r>
      <w:r w:rsidR="006B73F4">
        <w:rPr>
          <w:szCs w:val="28"/>
        </w:rPr>
        <w:tab/>
      </w:r>
      <w:r>
        <w:rPr>
          <w:szCs w:val="28"/>
        </w:rPr>
        <w:t>Notes from capacity building and consultation events</w:t>
      </w:r>
    </w:p>
    <w:p w14:paraId="27B6A1C7" w14:textId="74C5439D" w:rsidR="00A3176C" w:rsidRDefault="00A3176C" w:rsidP="00E739BB">
      <w:pPr>
        <w:ind w:left="1440" w:hanging="1440"/>
        <w:rPr>
          <w:szCs w:val="28"/>
        </w:rPr>
      </w:pPr>
      <w:r w:rsidRPr="006B73F4">
        <w:rPr>
          <w:b/>
          <w:bCs/>
          <w:color w:val="003B3A"/>
          <w:szCs w:val="28"/>
        </w:rPr>
        <w:t>D.DP</w:t>
      </w:r>
      <w:r w:rsidRPr="006B73F4">
        <w:rPr>
          <w:color w:val="003B3A"/>
          <w:szCs w:val="28"/>
        </w:rPr>
        <w:t xml:space="preserve"> </w:t>
      </w:r>
      <w:r w:rsidR="006B73F4">
        <w:rPr>
          <w:szCs w:val="28"/>
        </w:rPr>
        <w:tab/>
      </w:r>
      <w:r>
        <w:rPr>
          <w:szCs w:val="28"/>
        </w:rPr>
        <w:t>Evidence submission from an individual Deaf or Disabled person</w:t>
      </w:r>
    </w:p>
    <w:p w14:paraId="24691F8B" w14:textId="4EBFC270" w:rsidR="00A3176C" w:rsidRDefault="00A3176C" w:rsidP="00E739BB">
      <w:pPr>
        <w:ind w:left="1440" w:hanging="1440"/>
        <w:rPr>
          <w:szCs w:val="28"/>
        </w:rPr>
      </w:pPr>
      <w:r w:rsidRPr="006B73F4">
        <w:rPr>
          <w:b/>
          <w:bCs/>
          <w:color w:val="003B3A"/>
          <w:szCs w:val="28"/>
        </w:rPr>
        <w:t>DPPO</w:t>
      </w:r>
      <w:r>
        <w:rPr>
          <w:szCs w:val="28"/>
        </w:rPr>
        <w:t xml:space="preserve"> </w:t>
      </w:r>
      <w:r w:rsidR="006B73F4">
        <w:rPr>
          <w:szCs w:val="28"/>
        </w:rPr>
        <w:tab/>
      </w:r>
      <w:r>
        <w:rPr>
          <w:szCs w:val="28"/>
        </w:rPr>
        <w:t>Evidence submission from a Deaf and Disabled People’s Organisation</w:t>
      </w:r>
    </w:p>
    <w:p w14:paraId="6FEBDF93" w14:textId="02049E56" w:rsidR="00A3176C" w:rsidRDefault="00A3176C" w:rsidP="00E739BB">
      <w:pPr>
        <w:ind w:left="1440" w:hanging="1440"/>
        <w:rPr>
          <w:szCs w:val="28"/>
        </w:rPr>
      </w:pPr>
      <w:r w:rsidRPr="006B73F4">
        <w:rPr>
          <w:b/>
          <w:bCs/>
          <w:color w:val="003B3A"/>
          <w:szCs w:val="28"/>
        </w:rPr>
        <w:t xml:space="preserve">OI </w:t>
      </w:r>
      <w:r w:rsidR="006B73F4">
        <w:rPr>
          <w:szCs w:val="28"/>
        </w:rPr>
        <w:tab/>
      </w:r>
      <w:r>
        <w:rPr>
          <w:szCs w:val="28"/>
        </w:rPr>
        <w:t xml:space="preserve">Evidence submission from a non-Deaf or Disabled person </w:t>
      </w:r>
    </w:p>
    <w:p w14:paraId="46ED0090" w14:textId="206B2B9B" w:rsidR="00A3176C" w:rsidRDefault="00A3176C" w:rsidP="00E739BB">
      <w:pPr>
        <w:ind w:left="1440" w:hanging="1440"/>
        <w:rPr>
          <w:szCs w:val="28"/>
        </w:rPr>
      </w:pPr>
      <w:r w:rsidRPr="006B73F4">
        <w:rPr>
          <w:b/>
          <w:bCs/>
          <w:color w:val="003B3A"/>
          <w:szCs w:val="28"/>
        </w:rPr>
        <w:t>OO</w:t>
      </w:r>
      <w:r w:rsidRPr="006B73F4">
        <w:rPr>
          <w:color w:val="003B3A"/>
          <w:szCs w:val="28"/>
        </w:rPr>
        <w:t xml:space="preserve"> </w:t>
      </w:r>
      <w:r w:rsidR="006B73F4">
        <w:rPr>
          <w:szCs w:val="28"/>
        </w:rPr>
        <w:tab/>
      </w:r>
      <w:r w:rsidRPr="009646EA">
        <w:rPr>
          <w:szCs w:val="28"/>
        </w:rPr>
        <w:t>Evidence submission from a non-user led organisation</w:t>
      </w:r>
    </w:p>
    <w:p w14:paraId="0D3B7F63" w14:textId="7731EF38" w:rsidR="00A3176C" w:rsidRDefault="00A3176C" w:rsidP="00E739BB">
      <w:pPr>
        <w:ind w:left="1440" w:hanging="1440"/>
        <w:rPr>
          <w:szCs w:val="28"/>
        </w:rPr>
      </w:pPr>
      <w:r w:rsidRPr="006B73F4">
        <w:rPr>
          <w:b/>
          <w:bCs/>
          <w:color w:val="003B3A"/>
          <w:szCs w:val="28"/>
        </w:rPr>
        <w:t>SR</w:t>
      </w:r>
      <w:r w:rsidRPr="006B73F4">
        <w:rPr>
          <w:color w:val="003B3A"/>
          <w:szCs w:val="28"/>
        </w:rPr>
        <w:t xml:space="preserve"> </w:t>
      </w:r>
      <w:r w:rsidR="006B73F4">
        <w:rPr>
          <w:szCs w:val="28"/>
        </w:rPr>
        <w:tab/>
      </w:r>
      <w:r>
        <w:rPr>
          <w:szCs w:val="28"/>
        </w:rPr>
        <w:t>Survey Respondent</w:t>
      </w:r>
    </w:p>
    <w:p w14:paraId="608391F1" w14:textId="77777777" w:rsidR="00E17A25" w:rsidRDefault="00A3176C" w:rsidP="00BB6A41">
      <w:pPr>
        <w:pStyle w:val="Heading2"/>
      </w:pPr>
      <w:r>
        <w:br w:type="page"/>
      </w:r>
    </w:p>
    <w:p w14:paraId="5950DD58" w14:textId="5C5E51A4" w:rsidR="00E17A25" w:rsidRPr="00BB6A41" w:rsidRDefault="00E17A25" w:rsidP="00BB6A41">
      <w:pPr>
        <w:pStyle w:val="Heading1"/>
      </w:pPr>
      <w:bookmarkStart w:id="67" w:name="_Toc98505552"/>
      <w:bookmarkStart w:id="68" w:name="_Toc98506558"/>
      <w:r w:rsidRPr="00BB6A41">
        <w:lastRenderedPageBreak/>
        <w:t>Appendices</w:t>
      </w:r>
      <w:bookmarkEnd w:id="67"/>
      <w:bookmarkEnd w:id="68"/>
    </w:p>
    <w:p w14:paraId="5084C60C" w14:textId="5C8841C4" w:rsidR="00E17A25" w:rsidRPr="00750361" w:rsidRDefault="007F2813" w:rsidP="00750361">
      <w:pPr>
        <w:pStyle w:val="Heading2"/>
      </w:pPr>
      <w:bookmarkStart w:id="69" w:name="_Appendix_1:_List"/>
      <w:bookmarkStart w:id="70" w:name="Appendix1"/>
      <w:bookmarkStart w:id="71" w:name="_Toc98504912"/>
      <w:bookmarkStart w:id="72" w:name="_Toc98505553"/>
      <w:bookmarkStart w:id="73" w:name="_Toc98506559"/>
      <w:bookmarkEnd w:id="69"/>
      <w:bookmarkEnd w:id="70"/>
      <w:r w:rsidRPr="001725FC">
        <w:t>Appendix 1</w:t>
      </w:r>
      <w:bookmarkEnd w:id="71"/>
      <w:r w:rsidR="004E0813">
        <w:t>:</w:t>
      </w:r>
      <w:r w:rsidR="004E0813">
        <w:br/>
      </w:r>
      <w:r w:rsidR="00411866">
        <w:t>List of Contributors</w:t>
      </w:r>
      <w:bookmarkEnd w:id="72"/>
      <w:bookmarkEnd w:id="73"/>
    </w:p>
    <w:p w14:paraId="7D47027E" w14:textId="1C2B9F23" w:rsidR="007F2813" w:rsidRPr="001725FC" w:rsidRDefault="00411866" w:rsidP="00E739BB">
      <w:pPr>
        <w:rPr>
          <w:szCs w:val="28"/>
        </w:rPr>
      </w:pPr>
      <w:r>
        <w:rPr>
          <w:szCs w:val="28"/>
        </w:rPr>
        <w:t>Thank you</w:t>
      </w:r>
      <w:r w:rsidR="007F2813" w:rsidRPr="001725FC">
        <w:rPr>
          <w:szCs w:val="28"/>
        </w:rPr>
        <w:t xml:space="preserve"> to everyone who sent in evidence and contributed to the development of this report.</w:t>
      </w:r>
    </w:p>
    <w:p w14:paraId="04DA6470" w14:textId="3234C3ED" w:rsidR="00A6217A" w:rsidRDefault="00EA7A6A" w:rsidP="00E739BB">
      <w:pPr>
        <w:rPr>
          <w:szCs w:val="28"/>
        </w:rPr>
      </w:pPr>
      <w:r w:rsidRPr="00EA7A6A">
        <w:rPr>
          <w:szCs w:val="28"/>
        </w:rPr>
        <w:t xml:space="preserve">All evidence is published online on the Inclusion London website: </w:t>
      </w:r>
      <w:hyperlink r:id="rId14" w:history="1">
        <w:r w:rsidRPr="00A97FBA">
          <w:rPr>
            <w:rStyle w:val="Hyperlink"/>
            <w:szCs w:val="28"/>
          </w:rPr>
          <w:t>www.inclusionlondon.org.uk/uncrdp</w:t>
        </w:r>
      </w:hyperlink>
      <w:r>
        <w:rPr>
          <w:szCs w:val="28"/>
        </w:rPr>
        <w:t xml:space="preserve">. </w:t>
      </w:r>
    </w:p>
    <w:p w14:paraId="2D4D1FE2" w14:textId="77777777" w:rsidR="00EA7A6A" w:rsidRPr="001725FC" w:rsidRDefault="00EA7A6A" w:rsidP="00E739BB">
      <w:pPr>
        <w:rPr>
          <w:szCs w:val="28"/>
        </w:rPr>
      </w:pPr>
    </w:p>
    <w:p w14:paraId="0A15F0A4" w14:textId="6B8FB71A" w:rsidR="00A6217A" w:rsidRPr="001725FC" w:rsidRDefault="00A6217A" w:rsidP="00231B6B">
      <w:pPr>
        <w:pStyle w:val="Heading3"/>
      </w:pPr>
      <w:bookmarkStart w:id="74" w:name="_Toc98504913"/>
      <w:r w:rsidRPr="001725FC">
        <w:t>Deaf and Disabled People’s Organisations</w:t>
      </w:r>
      <w:bookmarkEnd w:id="74"/>
    </w:p>
    <w:p w14:paraId="1F76F588" w14:textId="54325819" w:rsidR="007D438F" w:rsidRPr="001725FC" w:rsidRDefault="007D438F" w:rsidP="00750361">
      <w:pPr>
        <w:spacing w:after="140"/>
        <w:rPr>
          <w:szCs w:val="28"/>
        </w:rPr>
      </w:pPr>
      <w:r w:rsidRPr="001725FC">
        <w:rPr>
          <w:szCs w:val="28"/>
        </w:rPr>
        <w:t>Anonymous1</w:t>
      </w:r>
    </w:p>
    <w:p w14:paraId="554BE859" w14:textId="3E8F6DE0" w:rsidR="007D438F" w:rsidRPr="001725FC" w:rsidRDefault="007D438F" w:rsidP="00750361">
      <w:pPr>
        <w:spacing w:after="140"/>
        <w:rPr>
          <w:szCs w:val="28"/>
        </w:rPr>
      </w:pPr>
      <w:r w:rsidRPr="001725FC">
        <w:rPr>
          <w:szCs w:val="28"/>
        </w:rPr>
        <w:t>#Queer#Crip Group</w:t>
      </w:r>
    </w:p>
    <w:p w14:paraId="5C1D8548" w14:textId="77777777" w:rsidR="007D438F" w:rsidRPr="001725FC" w:rsidRDefault="007D438F" w:rsidP="00750361">
      <w:pPr>
        <w:spacing w:after="140"/>
        <w:rPr>
          <w:szCs w:val="28"/>
        </w:rPr>
      </w:pPr>
      <w:r w:rsidRPr="001725FC">
        <w:rPr>
          <w:szCs w:val="28"/>
        </w:rPr>
        <w:t>Birmingham DRC</w:t>
      </w:r>
    </w:p>
    <w:p w14:paraId="738F0B05" w14:textId="77777777" w:rsidR="007D438F" w:rsidRPr="001725FC" w:rsidRDefault="007D438F" w:rsidP="00750361">
      <w:pPr>
        <w:spacing w:after="140"/>
        <w:rPr>
          <w:szCs w:val="28"/>
        </w:rPr>
      </w:pPr>
      <w:r w:rsidRPr="001725FC">
        <w:rPr>
          <w:szCs w:val="28"/>
        </w:rPr>
        <w:t>Bristol &amp; South West Disabled People Against Cuts</w:t>
      </w:r>
    </w:p>
    <w:p w14:paraId="51A6C649" w14:textId="77777777" w:rsidR="007D438F" w:rsidRPr="001725FC" w:rsidRDefault="007D438F" w:rsidP="00750361">
      <w:pPr>
        <w:spacing w:after="140"/>
        <w:rPr>
          <w:szCs w:val="28"/>
        </w:rPr>
      </w:pPr>
      <w:r w:rsidRPr="001725FC">
        <w:rPr>
          <w:szCs w:val="28"/>
        </w:rPr>
        <w:t>Bristol Independent Living Group</w:t>
      </w:r>
    </w:p>
    <w:p w14:paraId="0611C7F3" w14:textId="002BE3E5" w:rsidR="007D438F" w:rsidRDefault="007D438F" w:rsidP="00750361">
      <w:pPr>
        <w:spacing w:after="140"/>
        <w:rPr>
          <w:szCs w:val="28"/>
        </w:rPr>
      </w:pPr>
      <w:r w:rsidRPr="001725FC">
        <w:rPr>
          <w:szCs w:val="28"/>
        </w:rPr>
        <w:t>Cambridge and Essex Disabled People Against Cuts</w:t>
      </w:r>
    </w:p>
    <w:p w14:paraId="2ED28B41" w14:textId="02124854" w:rsidR="001129BD" w:rsidRPr="001725FC" w:rsidRDefault="001129BD" w:rsidP="00750361">
      <w:pPr>
        <w:spacing w:after="140"/>
        <w:rPr>
          <w:szCs w:val="28"/>
        </w:rPr>
      </w:pPr>
      <w:r>
        <w:rPr>
          <w:szCs w:val="28"/>
        </w:rPr>
        <w:t>Changing Perspectives</w:t>
      </w:r>
    </w:p>
    <w:p w14:paraId="73305831" w14:textId="77777777" w:rsidR="007D438F" w:rsidRPr="001725FC" w:rsidRDefault="007D438F" w:rsidP="00750361">
      <w:pPr>
        <w:spacing w:after="140"/>
        <w:rPr>
          <w:szCs w:val="28"/>
        </w:rPr>
      </w:pPr>
      <w:r w:rsidRPr="001725FC">
        <w:rPr>
          <w:szCs w:val="28"/>
        </w:rPr>
        <w:t>Cheshire Disabled People Against Cuts</w:t>
      </w:r>
    </w:p>
    <w:p w14:paraId="20B4425E" w14:textId="77777777" w:rsidR="007D438F" w:rsidRPr="001725FC" w:rsidRDefault="007D438F" w:rsidP="00750361">
      <w:pPr>
        <w:spacing w:after="140"/>
        <w:rPr>
          <w:szCs w:val="28"/>
        </w:rPr>
      </w:pPr>
      <w:r w:rsidRPr="001725FC">
        <w:rPr>
          <w:szCs w:val="28"/>
        </w:rPr>
        <w:t xml:space="preserve">Chronic Illness Inclusion </w:t>
      </w:r>
    </w:p>
    <w:p w14:paraId="3E62DFA6" w14:textId="77777777" w:rsidR="007D438F" w:rsidRPr="001725FC" w:rsidRDefault="007D438F" w:rsidP="00750361">
      <w:pPr>
        <w:spacing w:after="140"/>
        <w:rPr>
          <w:szCs w:val="28"/>
        </w:rPr>
      </w:pPr>
      <w:r w:rsidRPr="001725FC">
        <w:rPr>
          <w:szCs w:val="28"/>
        </w:rPr>
        <w:t>Disability Murals</w:t>
      </w:r>
    </w:p>
    <w:p w14:paraId="722AB26D" w14:textId="77777777" w:rsidR="007D438F" w:rsidRPr="001725FC" w:rsidRDefault="007D438F" w:rsidP="00750361">
      <w:pPr>
        <w:spacing w:after="140"/>
        <w:rPr>
          <w:szCs w:val="28"/>
        </w:rPr>
      </w:pPr>
      <w:r w:rsidRPr="001725FC">
        <w:rPr>
          <w:szCs w:val="28"/>
        </w:rPr>
        <w:lastRenderedPageBreak/>
        <w:t>Disability Positive</w:t>
      </w:r>
    </w:p>
    <w:p w14:paraId="6B0BF89B" w14:textId="77777777" w:rsidR="007D438F" w:rsidRPr="001725FC" w:rsidRDefault="007D438F" w:rsidP="00750361">
      <w:pPr>
        <w:spacing w:after="140"/>
        <w:rPr>
          <w:szCs w:val="28"/>
        </w:rPr>
      </w:pPr>
      <w:r w:rsidRPr="001725FC">
        <w:rPr>
          <w:szCs w:val="28"/>
        </w:rPr>
        <w:t>Disability Rights UK</w:t>
      </w:r>
    </w:p>
    <w:p w14:paraId="454D39A2" w14:textId="77777777" w:rsidR="007D438F" w:rsidRPr="001725FC" w:rsidRDefault="007D438F" w:rsidP="00750361">
      <w:pPr>
        <w:spacing w:after="140"/>
        <w:rPr>
          <w:szCs w:val="28"/>
        </w:rPr>
      </w:pPr>
      <w:r w:rsidRPr="001725FC">
        <w:rPr>
          <w:szCs w:val="28"/>
        </w:rPr>
        <w:t>Disability Sheffield</w:t>
      </w:r>
    </w:p>
    <w:p w14:paraId="3EA8E846" w14:textId="77777777" w:rsidR="007D438F" w:rsidRPr="001725FC" w:rsidRDefault="007D438F" w:rsidP="00750361">
      <w:pPr>
        <w:spacing w:after="140"/>
        <w:rPr>
          <w:szCs w:val="28"/>
        </w:rPr>
      </w:pPr>
      <w:r w:rsidRPr="001725FC">
        <w:rPr>
          <w:szCs w:val="28"/>
        </w:rPr>
        <w:t>Equal Lives</w:t>
      </w:r>
    </w:p>
    <w:p w14:paraId="70E398E6" w14:textId="77777777" w:rsidR="007D438F" w:rsidRPr="001725FC" w:rsidRDefault="007D438F" w:rsidP="00750361">
      <w:pPr>
        <w:spacing w:after="140"/>
        <w:rPr>
          <w:szCs w:val="28"/>
        </w:rPr>
      </w:pPr>
      <w:r w:rsidRPr="001725FC">
        <w:rPr>
          <w:szCs w:val="28"/>
        </w:rPr>
        <w:t>Equality Together</w:t>
      </w:r>
    </w:p>
    <w:p w14:paraId="666D96BB" w14:textId="77777777" w:rsidR="007D438F" w:rsidRPr="001725FC" w:rsidRDefault="007D438F" w:rsidP="00750361">
      <w:pPr>
        <w:spacing w:after="140"/>
        <w:rPr>
          <w:szCs w:val="28"/>
        </w:rPr>
      </w:pPr>
      <w:r w:rsidRPr="001725FC">
        <w:rPr>
          <w:szCs w:val="28"/>
        </w:rPr>
        <w:t>Greater Manchester Coalition of Disabled People</w:t>
      </w:r>
    </w:p>
    <w:p w14:paraId="153C626C" w14:textId="77777777" w:rsidR="007D438F" w:rsidRPr="001725FC" w:rsidRDefault="007D438F" w:rsidP="00750361">
      <w:pPr>
        <w:spacing w:after="140"/>
        <w:rPr>
          <w:szCs w:val="28"/>
        </w:rPr>
      </w:pPr>
      <w:r w:rsidRPr="001725FC">
        <w:rPr>
          <w:szCs w:val="28"/>
        </w:rPr>
        <w:t>Inclusion London</w:t>
      </w:r>
    </w:p>
    <w:p w14:paraId="48987E95" w14:textId="373BBE5A" w:rsidR="007D438F" w:rsidRPr="001725FC" w:rsidRDefault="007D438F" w:rsidP="00750361">
      <w:pPr>
        <w:spacing w:after="140"/>
        <w:rPr>
          <w:szCs w:val="28"/>
        </w:rPr>
      </w:pPr>
      <w:r w:rsidRPr="001725FC">
        <w:rPr>
          <w:szCs w:val="28"/>
        </w:rPr>
        <w:t>Liberation</w:t>
      </w:r>
    </w:p>
    <w:p w14:paraId="1D3D008F" w14:textId="77777777" w:rsidR="007D438F" w:rsidRPr="001725FC" w:rsidRDefault="007D438F" w:rsidP="00750361">
      <w:pPr>
        <w:spacing w:after="140"/>
        <w:rPr>
          <w:szCs w:val="28"/>
        </w:rPr>
      </w:pPr>
      <w:r w:rsidRPr="001725FC">
        <w:rPr>
          <w:szCs w:val="28"/>
        </w:rPr>
        <w:t>London, East and South East TUC Disabled Workers’ Forum</w:t>
      </w:r>
    </w:p>
    <w:p w14:paraId="484B2D0A" w14:textId="77777777" w:rsidR="007D438F" w:rsidRPr="001725FC" w:rsidRDefault="007D438F" w:rsidP="00750361">
      <w:pPr>
        <w:spacing w:after="140"/>
        <w:rPr>
          <w:szCs w:val="28"/>
        </w:rPr>
      </w:pPr>
      <w:r w:rsidRPr="001725FC">
        <w:rPr>
          <w:szCs w:val="28"/>
        </w:rPr>
        <w:t>National Disabled People Against Cuts</w:t>
      </w:r>
    </w:p>
    <w:p w14:paraId="070BB03A" w14:textId="77777777" w:rsidR="007D438F" w:rsidRPr="001725FC" w:rsidRDefault="007D438F" w:rsidP="00750361">
      <w:pPr>
        <w:spacing w:after="140"/>
        <w:rPr>
          <w:szCs w:val="28"/>
        </w:rPr>
      </w:pPr>
      <w:r w:rsidRPr="001725FC">
        <w:rPr>
          <w:szCs w:val="28"/>
        </w:rPr>
        <w:t>People First (Self Advocacy)</w:t>
      </w:r>
    </w:p>
    <w:p w14:paraId="66746182" w14:textId="77777777" w:rsidR="007D438F" w:rsidRPr="001725FC" w:rsidRDefault="007D438F" w:rsidP="00750361">
      <w:pPr>
        <w:spacing w:after="140"/>
        <w:rPr>
          <w:szCs w:val="28"/>
        </w:rPr>
      </w:pPr>
      <w:r w:rsidRPr="001725FC">
        <w:rPr>
          <w:szCs w:val="28"/>
        </w:rPr>
        <w:t>Regard</w:t>
      </w:r>
    </w:p>
    <w:p w14:paraId="19CD9A29" w14:textId="77777777" w:rsidR="007D438F" w:rsidRPr="001725FC" w:rsidRDefault="007D438F" w:rsidP="00750361">
      <w:pPr>
        <w:spacing w:after="140"/>
        <w:rPr>
          <w:szCs w:val="28"/>
        </w:rPr>
      </w:pPr>
      <w:r w:rsidRPr="001725FC">
        <w:rPr>
          <w:szCs w:val="28"/>
        </w:rPr>
        <w:t>Sheffield Voices</w:t>
      </w:r>
    </w:p>
    <w:p w14:paraId="7F9FD9E0" w14:textId="77777777" w:rsidR="007D438F" w:rsidRPr="001725FC" w:rsidRDefault="007D438F" w:rsidP="00750361">
      <w:pPr>
        <w:spacing w:after="140"/>
        <w:rPr>
          <w:szCs w:val="28"/>
        </w:rPr>
      </w:pPr>
      <w:r w:rsidRPr="001725FC">
        <w:rPr>
          <w:szCs w:val="28"/>
        </w:rPr>
        <w:t>Social Power and Mental Health Steering Group</w:t>
      </w:r>
    </w:p>
    <w:p w14:paraId="3276756A" w14:textId="77777777" w:rsidR="007D438F" w:rsidRPr="001725FC" w:rsidRDefault="007D438F" w:rsidP="00750361">
      <w:pPr>
        <w:spacing w:after="140"/>
        <w:rPr>
          <w:szCs w:val="28"/>
        </w:rPr>
      </w:pPr>
      <w:r w:rsidRPr="001725FC">
        <w:rPr>
          <w:szCs w:val="28"/>
        </w:rPr>
        <w:t>Sovereign Harbour Disability Association, East Sussex</w:t>
      </w:r>
    </w:p>
    <w:p w14:paraId="058333E9" w14:textId="77777777" w:rsidR="007D438F" w:rsidRPr="001725FC" w:rsidRDefault="007D438F" w:rsidP="00750361">
      <w:pPr>
        <w:spacing w:after="140"/>
        <w:rPr>
          <w:szCs w:val="28"/>
        </w:rPr>
      </w:pPr>
      <w:r w:rsidRPr="001725FC">
        <w:rPr>
          <w:szCs w:val="28"/>
        </w:rPr>
        <w:t>Stay Safe East</w:t>
      </w:r>
    </w:p>
    <w:p w14:paraId="156B214D" w14:textId="77777777" w:rsidR="007D438F" w:rsidRPr="001725FC" w:rsidRDefault="007D438F" w:rsidP="00750361">
      <w:pPr>
        <w:spacing w:after="140"/>
        <w:rPr>
          <w:szCs w:val="28"/>
        </w:rPr>
      </w:pPr>
      <w:proofErr w:type="spellStart"/>
      <w:r w:rsidRPr="001725FC">
        <w:rPr>
          <w:szCs w:val="28"/>
        </w:rPr>
        <w:t>StopSIM</w:t>
      </w:r>
      <w:proofErr w:type="spellEnd"/>
      <w:r w:rsidRPr="001725FC">
        <w:rPr>
          <w:szCs w:val="28"/>
        </w:rPr>
        <w:t xml:space="preserve"> Coalition</w:t>
      </w:r>
    </w:p>
    <w:p w14:paraId="49E94E87" w14:textId="77777777" w:rsidR="007D438F" w:rsidRPr="001725FC" w:rsidRDefault="007D438F" w:rsidP="00750361">
      <w:pPr>
        <w:spacing w:after="140"/>
        <w:rPr>
          <w:szCs w:val="28"/>
        </w:rPr>
      </w:pPr>
      <w:r w:rsidRPr="001725FC">
        <w:rPr>
          <w:szCs w:val="28"/>
        </w:rPr>
        <w:t>Suffolk Coalition of Disabled People</w:t>
      </w:r>
    </w:p>
    <w:p w14:paraId="16767CCB" w14:textId="77777777" w:rsidR="007D438F" w:rsidRPr="001725FC" w:rsidRDefault="007D438F" w:rsidP="00750361">
      <w:pPr>
        <w:spacing w:after="140"/>
        <w:rPr>
          <w:szCs w:val="28"/>
        </w:rPr>
      </w:pPr>
      <w:r w:rsidRPr="001725FC">
        <w:rPr>
          <w:szCs w:val="28"/>
        </w:rPr>
        <w:t xml:space="preserve">SWARM Collective: Sex Workers Advocacy and Resistance Movement </w:t>
      </w:r>
    </w:p>
    <w:p w14:paraId="5A9E32DD" w14:textId="77777777" w:rsidR="007D438F" w:rsidRPr="001725FC" w:rsidRDefault="007D438F" w:rsidP="00750361">
      <w:pPr>
        <w:spacing w:after="140"/>
        <w:rPr>
          <w:szCs w:val="28"/>
        </w:rPr>
      </w:pPr>
      <w:r w:rsidRPr="001725FC">
        <w:rPr>
          <w:szCs w:val="28"/>
        </w:rPr>
        <w:t>TUC Disabled Workers’ Committee</w:t>
      </w:r>
    </w:p>
    <w:p w14:paraId="02122E31" w14:textId="231BD79F" w:rsidR="007D438F" w:rsidRDefault="007D438F" w:rsidP="00750361">
      <w:pPr>
        <w:spacing w:after="140"/>
        <w:rPr>
          <w:szCs w:val="28"/>
        </w:rPr>
      </w:pPr>
      <w:r w:rsidRPr="001725FC">
        <w:rPr>
          <w:szCs w:val="28"/>
        </w:rPr>
        <w:t>Unfair Debt Group</w:t>
      </w:r>
    </w:p>
    <w:p w14:paraId="7E2BA348" w14:textId="000F18DE" w:rsidR="00173818" w:rsidRPr="001725FC" w:rsidRDefault="00173818" w:rsidP="00750361">
      <w:pPr>
        <w:spacing w:after="140"/>
        <w:rPr>
          <w:szCs w:val="28"/>
        </w:rPr>
      </w:pPr>
      <w:r>
        <w:rPr>
          <w:szCs w:val="28"/>
        </w:rPr>
        <w:t>Unspoken</w:t>
      </w:r>
    </w:p>
    <w:p w14:paraId="0E82C27B" w14:textId="77777777" w:rsidR="007D438F" w:rsidRPr="001725FC" w:rsidRDefault="007D438F" w:rsidP="00750361">
      <w:pPr>
        <w:spacing w:after="140"/>
        <w:rPr>
          <w:szCs w:val="28"/>
        </w:rPr>
      </w:pPr>
      <w:r w:rsidRPr="001725FC">
        <w:rPr>
          <w:szCs w:val="28"/>
        </w:rPr>
        <w:t>World of Inclusion</w:t>
      </w:r>
    </w:p>
    <w:p w14:paraId="496B9066" w14:textId="77777777" w:rsidR="007D438F" w:rsidRPr="001725FC" w:rsidRDefault="007D438F" w:rsidP="00750361">
      <w:pPr>
        <w:spacing w:after="140"/>
        <w:rPr>
          <w:szCs w:val="28"/>
        </w:rPr>
      </w:pPr>
      <w:r w:rsidRPr="001725FC">
        <w:rPr>
          <w:szCs w:val="28"/>
        </w:rPr>
        <w:t>York Disability Rights Forum</w:t>
      </w:r>
    </w:p>
    <w:p w14:paraId="1A722FC0" w14:textId="1D9AED18" w:rsidR="00EA7A6A" w:rsidRDefault="00EA7A6A">
      <w:pPr>
        <w:spacing w:after="160" w:line="259" w:lineRule="auto"/>
        <w:rPr>
          <w:rFonts w:eastAsiaTheme="majorEastAsia" w:cstheme="majorBidi"/>
          <w:b/>
          <w:bCs/>
          <w:color w:val="003B3A"/>
          <w:sz w:val="36"/>
          <w:szCs w:val="36"/>
        </w:rPr>
      </w:pPr>
    </w:p>
    <w:p w14:paraId="7D49C3BE" w14:textId="178D152D" w:rsidR="00A6217A" w:rsidRPr="001725FC" w:rsidRDefault="00A6217A" w:rsidP="00EA7A6A">
      <w:pPr>
        <w:pStyle w:val="Heading3"/>
        <w:tabs>
          <w:tab w:val="left" w:pos="540"/>
        </w:tabs>
      </w:pPr>
      <w:bookmarkStart w:id="75" w:name="_Toc98504914"/>
      <w:r w:rsidRPr="001725FC">
        <w:t>Ally Organisations:</w:t>
      </w:r>
      <w:bookmarkEnd w:id="75"/>
    </w:p>
    <w:p w14:paraId="737DE9B8" w14:textId="3F4953C0" w:rsidR="007D438F" w:rsidRDefault="007D438F" w:rsidP="00750361">
      <w:pPr>
        <w:spacing w:after="140"/>
        <w:rPr>
          <w:szCs w:val="28"/>
        </w:rPr>
      </w:pPr>
      <w:r w:rsidRPr="001725FC">
        <w:rPr>
          <w:szCs w:val="28"/>
        </w:rPr>
        <w:t>Access Social Care</w:t>
      </w:r>
    </w:p>
    <w:p w14:paraId="7B1EB1D5" w14:textId="55D25408" w:rsidR="001725FC" w:rsidRPr="001725FC" w:rsidRDefault="001725FC" w:rsidP="00750361">
      <w:pPr>
        <w:spacing w:after="140"/>
        <w:rPr>
          <w:szCs w:val="28"/>
        </w:rPr>
      </w:pPr>
      <w:r>
        <w:rPr>
          <w:szCs w:val="28"/>
        </w:rPr>
        <w:t>Centre for Applied Human Rights at the University of York</w:t>
      </w:r>
    </w:p>
    <w:p w14:paraId="407C3DA1" w14:textId="77777777" w:rsidR="007D438F" w:rsidRPr="001725FC" w:rsidRDefault="007D438F" w:rsidP="00750361">
      <w:pPr>
        <w:spacing w:after="140"/>
        <w:rPr>
          <w:szCs w:val="28"/>
        </w:rPr>
      </w:pPr>
      <w:r w:rsidRPr="001725FC">
        <w:rPr>
          <w:szCs w:val="28"/>
        </w:rPr>
        <w:t>Disability Benefits Consortium</w:t>
      </w:r>
    </w:p>
    <w:p w14:paraId="79551C6E" w14:textId="269CD454" w:rsidR="007D438F" w:rsidRDefault="007D438F" w:rsidP="00750361">
      <w:pPr>
        <w:spacing w:after="140"/>
        <w:rPr>
          <w:szCs w:val="28"/>
        </w:rPr>
      </w:pPr>
      <w:r w:rsidRPr="001725FC">
        <w:rPr>
          <w:szCs w:val="28"/>
        </w:rPr>
        <w:t>Disabled Children's Partnership</w:t>
      </w:r>
    </w:p>
    <w:p w14:paraId="698A5E19" w14:textId="1D7B6D46" w:rsidR="00173818" w:rsidRPr="001725FC" w:rsidRDefault="00173818" w:rsidP="00750361">
      <w:pPr>
        <w:spacing w:after="140"/>
        <w:rPr>
          <w:szCs w:val="28"/>
        </w:rPr>
      </w:pPr>
      <w:r>
        <w:rPr>
          <w:szCs w:val="28"/>
        </w:rPr>
        <w:t>Disability Politics UK</w:t>
      </w:r>
    </w:p>
    <w:p w14:paraId="5130AB16" w14:textId="77777777" w:rsidR="007D438F" w:rsidRPr="001725FC" w:rsidRDefault="007D438F" w:rsidP="00750361">
      <w:pPr>
        <w:spacing w:after="140"/>
        <w:rPr>
          <w:szCs w:val="28"/>
        </w:rPr>
      </w:pPr>
      <w:r w:rsidRPr="001725FC">
        <w:rPr>
          <w:szCs w:val="28"/>
        </w:rPr>
        <w:t>Friends, Families and Travellers</w:t>
      </w:r>
    </w:p>
    <w:p w14:paraId="53204009" w14:textId="24635042" w:rsidR="007D438F" w:rsidRDefault="007D438F" w:rsidP="00750361">
      <w:pPr>
        <w:spacing w:after="140"/>
        <w:rPr>
          <w:szCs w:val="28"/>
        </w:rPr>
      </w:pPr>
      <w:r w:rsidRPr="001725FC">
        <w:rPr>
          <w:szCs w:val="28"/>
        </w:rPr>
        <w:t>Just Fair</w:t>
      </w:r>
    </w:p>
    <w:p w14:paraId="110AC7F9" w14:textId="165D659C" w:rsidR="00557713" w:rsidRPr="001725FC" w:rsidRDefault="00557713" w:rsidP="00750361">
      <w:pPr>
        <w:spacing w:after="140"/>
        <w:rPr>
          <w:szCs w:val="28"/>
        </w:rPr>
      </w:pPr>
      <w:r>
        <w:rPr>
          <w:szCs w:val="28"/>
        </w:rPr>
        <w:t>Mencap</w:t>
      </w:r>
    </w:p>
    <w:p w14:paraId="17457955" w14:textId="77777777" w:rsidR="007D438F" w:rsidRPr="001725FC" w:rsidRDefault="007D438F" w:rsidP="00750361">
      <w:pPr>
        <w:spacing w:after="140"/>
        <w:rPr>
          <w:szCs w:val="28"/>
        </w:rPr>
      </w:pPr>
      <w:r w:rsidRPr="001725FC">
        <w:rPr>
          <w:szCs w:val="28"/>
        </w:rPr>
        <w:t>National Union of British Sign Language Interpreters (NUBSLI)</w:t>
      </w:r>
    </w:p>
    <w:p w14:paraId="5F4C601C" w14:textId="77777777" w:rsidR="007D438F" w:rsidRPr="001725FC" w:rsidRDefault="007D438F" w:rsidP="00750361">
      <w:pPr>
        <w:spacing w:after="140"/>
        <w:rPr>
          <w:szCs w:val="28"/>
        </w:rPr>
      </w:pPr>
      <w:r w:rsidRPr="001725FC">
        <w:rPr>
          <w:szCs w:val="28"/>
        </w:rPr>
        <w:t>Norah Fry</w:t>
      </w:r>
    </w:p>
    <w:p w14:paraId="100FEEC9" w14:textId="77777777" w:rsidR="007D438F" w:rsidRPr="001725FC" w:rsidRDefault="007D438F" w:rsidP="00750361">
      <w:pPr>
        <w:spacing w:after="140"/>
        <w:rPr>
          <w:szCs w:val="28"/>
        </w:rPr>
      </w:pPr>
      <w:r w:rsidRPr="001725FC">
        <w:rPr>
          <w:szCs w:val="28"/>
        </w:rPr>
        <w:t>Royal Association for Deaf People (RAD)</w:t>
      </w:r>
    </w:p>
    <w:p w14:paraId="4E485BFA" w14:textId="77777777" w:rsidR="007D438F" w:rsidRPr="001725FC" w:rsidRDefault="007D438F" w:rsidP="00750361">
      <w:pPr>
        <w:spacing w:after="140"/>
        <w:rPr>
          <w:szCs w:val="28"/>
        </w:rPr>
      </w:pPr>
      <w:r w:rsidRPr="001725FC">
        <w:rPr>
          <w:szCs w:val="28"/>
        </w:rPr>
        <w:t>Royal National Institute for the Blind</w:t>
      </w:r>
    </w:p>
    <w:p w14:paraId="48FD602F" w14:textId="299E8868" w:rsidR="007D438F" w:rsidRDefault="007D438F" w:rsidP="00750361">
      <w:pPr>
        <w:spacing w:after="140"/>
        <w:rPr>
          <w:szCs w:val="28"/>
        </w:rPr>
      </w:pPr>
      <w:r w:rsidRPr="001725FC">
        <w:rPr>
          <w:szCs w:val="28"/>
        </w:rPr>
        <w:t>Unison</w:t>
      </w:r>
    </w:p>
    <w:p w14:paraId="41E3C557" w14:textId="77777777" w:rsidR="00EA7A6A" w:rsidRPr="001725FC" w:rsidRDefault="00EA7A6A" w:rsidP="00E739BB">
      <w:pPr>
        <w:rPr>
          <w:szCs w:val="28"/>
        </w:rPr>
      </w:pPr>
    </w:p>
    <w:p w14:paraId="557A3D14" w14:textId="0A65858A" w:rsidR="007D438F" w:rsidRPr="001725FC" w:rsidRDefault="007D438F" w:rsidP="00EA7A6A">
      <w:pPr>
        <w:pStyle w:val="Heading3"/>
      </w:pPr>
      <w:bookmarkStart w:id="76" w:name="_Toc98504915"/>
      <w:r w:rsidRPr="001725FC">
        <w:t>Individuals:</w:t>
      </w:r>
      <w:bookmarkEnd w:id="76"/>
    </w:p>
    <w:p w14:paraId="403C9C88" w14:textId="1B5E331B" w:rsidR="001725FC" w:rsidRPr="001725FC" w:rsidRDefault="001725FC" w:rsidP="00750361">
      <w:pPr>
        <w:spacing w:after="140"/>
        <w:rPr>
          <w:szCs w:val="28"/>
        </w:rPr>
      </w:pPr>
      <w:r w:rsidRPr="001725FC">
        <w:rPr>
          <w:szCs w:val="28"/>
        </w:rPr>
        <w:t>Anonymous x 11</w:t>
      </w:r>
    </w:p>
    <w:p w14:paraId="68AE3EC6" w14:textId="55267AAA" w:rsidR="007D438F" w:rsidRPr="001725FC" w:rsidRDefault="007D438F" w:rsidP="00750361">
      <w:pPr>
        <w:spacing w:after="140"/>
        <w:rPr>
          <w:szCs w:val="28"/>
        </w:rPr>
      </w:pPr>
      <w:r w:rsidRPr="001725FC">
        <w:rPr>
          <w:szCs w:val="28"/>
        </w:rPr>
        <w:t>Alyson Fisk</w:t>
      </w:r>
    </w:p>
    <w:p w14:paraId="7FAB2863" w14:textId="77777777" w:rsidR="007D438F" w:rsidRPr="001725FC" w:rsidRDefault="007D438F" w:rsidP="00750361">
      <w:pPr>
        <w:spacing w:after="140"/>
        <w:rPr>
          <w:szCs w:val="28"/>
        </w:rPr>
      </w:pPr>
      <w:r w:rsidRPr="001725FC">
        <w:rPr>
          <w:szCs w:val="28"/>
        </w:rPr>
        <w:t>Amanda Jacobs</w:t>
      </w:r>
    </w:p>
    <w:p w14:paraId="47D22979" w14:textId="07DB599F" w:rsidR="007D438F" w:rsidRPr="001725FC" w:rsidRDefault="007D438F" w:rsidP="00750361">
      <w:pPr>
        <w:spacing w:after="140"/>
        <w:rPr>
          <w:szCs w:val="28"/>
        </w:rPr>
      </w:pPr>
      <w:r w:rsidRPr="001725FC">
        <w:rPr>
          <w:szCs w:val="28"/>
        </w:rPr>
        <w:t>Christopher</w:t>
      </w:r>
    </w:p>
    <w:p w14:paraId="3C93D781" w14:textId="77777777" w:rsidR="007D438F" w:rsidRPr="001725FC" w:rsidRDefault="007D438F" w:rsidP="00750361">
      <w:pPr>
        <w:spacing w:after="140"/>
        <w:rPr>
          <w:szCs w:val="28"/>
        </w:rPr>
      </w:pPr>
      <w:r w:rsidRPr="001725FC">
        <w:rPr>
          <w:szCs w:val="28"/>
        </w:rPr>
        <w:t>George Gale Snr</w:t>
      </w:r>
    </w:p>
    <w:p w14:paraId="0EBF345A" w14:textId="126D71FF" w:rsidR="007D438F" w:rsidRDefault="007D438F" w:rsidP="00750361">
      <w:pPr>
        <w:spacing w:after="140"/>
        <w:rPr>
          <w:szCs w:val="28"/>
        </w:rPr>
      </w:pPr>
      <w:r w:rsidRPr="001725FC">
        <w:rPr>
          <w:szCs w:val="28"/>
        </w:rPr>
        <w:t>Haley Jones</w:t>
      </w:r>
    </w:p>
    <w:p w14:paraId="0BBAEEF3" w14:textId="4223336F" w:rsidR="001129BD" w:rsidRDefault="001129BD" w:rsidP="00750361">
      <w:pPr>
        <w:spacing w:after="140"/>
        <w:rPr>
          <w:szCs w:val="28"/>
        </w:rPr>
      </w:pPr>
      <w:r>
        <w:rPr>
          <w:szCs w:val="28"/>
        </w:rPr>
        <w:lastRenderedPageBreak/>
        <w:t xml:space="preserve">Heidi </w:t>
      </w:r>
      <w:proofErr w:type="spellStart"/>
      <w:r>
        <w:rPr>
          <w:szCs w:val="28"/>
        </w:rPr>
        <w:t>Crowter</w:t>
      </w:r>
      <w:proofErr w:type="spellEnd"/>
    </w:p>
    <w:p w14:paraId="669F47DD" w14:textId="68EC9698" w:rsidR="00173818" w:rsidRPr="001725FC" w:rsidRDefault="00173818" w:rsidP="00750361">
      <w:pPr>
        <w:spacing w:after="140"/>
        <w:rPr>
          <w:szCs w:val="28"/>
        </w:rPr>
      </w:pPr>
      <w:r>
        <w:rPr>
          <w:szCs w:val="28"/>
        </w:rPr>
        <w:t>Jason Holmes</w:t>
      </w:r>
    </w:p>
    <w:p w14:paraId="63C9E4A8" w14:textId="77777777" w:rsidR="007D438F" w:rsidRPr="001725FC" w:rsidRDefault="007D438F" w:rsidP="00750361">
      <w:pPr>
        <w:spacing w:after="140"/>
        <w:rPr>
          <w:szCs w:val="28"/>
        </w:rPr>
      </w:pPr>
      <w:r w:rsidRPr="001725FC">
        <w:rPr>
          <w:szCs w:val="28"/>
        </w:rPr>
        <w:t>Julia Cameron</w:t>
      </w:r>
    </w:p>
    <w:p w14:paraId="5355FEC3" w14:textId="77777777" w:rsidR="007D438F" w:rsidRPr="001725FC" w:rsidRDefault="007D438F" w:rsidP="00750361">
      <w:pPr>
        <w:spacing w:after="140"/>
        <w:rPr>
          <w:szCs w:val="28"/>
        </w:rPr>
      </w:pPr>
      <w:r w:rsidRPr="001725FC">
        <w:rPr>
          <w:szCs w:val="28"/>
        </w:rPr>
        <w:t>Kenny Thompson</w:t>
      </w:r>
    </w:p>
    <w:p w14:paraId="251B50BD" w14:textId="77777777" w:rsidR="007D438F" w:rsidRPr="001725FC" w:rsidRDefault="007D438F" w:rsidP="00750361">
      <w:pPr>
        <w:spacing w:after="140"/>
        <w:rPr>
          <w:szCs w:val="28"/>
        </w:rPr>
      </w:pPr>
      <w:proofErr w:type="spellStart"/>
      <w:r w:rsidRPr="001725FC">
        <w:rPr>
          <w:szCs w:val="28"/>
        </w:rPr>
        <w:t>Kimaya</w:t>
      </w:r>
      <w:proofErr w:type="spellEnd"/>
      <w:r w:rsidRPr="001725FC">
        <w:rPr>
          <w:szCs w:val="28"/>
        </w:rPr>
        <w:t xml:space="preserve"> </w:t>
      </w:r>
      <w:proofErr w:type="spellStart"/>
      <w:r w:rsidRPr="001725FC">
        <w:rPr>
          <w:szCs w:val="28"/>
        </w:rPr>
        <w:t>Crolla</w:t>
      </w:r>
      <w:proofErr w:type="spellEnd"/>
      <w:r w:rsidRPr="001725FC">
        <w:rPr>
          <w:szCs w:val="28"/>
        </w:rPr>
        <w:t>-Younger</w:t>
      </w:r>
    </w:p>
    <w:p w14:paraId="23F52A98" w14:textId="77777777" w:rsidR="007D438F" w:rsidRPr="001725FC" w:rsidRDefault="007D438F" w:rsidP="00750361">
      <w:pPr>
        <w:spacing w:after="140"/>
        <w:rPr>
          <w:szCs w:val="28"/>
        </w:rPr>
      </w:pPr>
      <w:r w:rsidRPr="001725FC">
        <w:rPr>
          <w:szCs w:val="28"/>
        </w:rPr>
        <w:t>Linda Coy</w:t>
      </w:r>
    </w:p>
    <w:p w14:paraId="4ECEB181" w14:textId="77777777" w:rsidR="007D438F" w:rsidRPr="001725FC" w:rsidRDefault="007D438F" w:rsidP="00750361">
      <w:pPr>
        <w:spacing w:after="140"/>
        <w:rPr>
          <w:szCs w:val="28"/>
        </w:rPr>
      </w:pPr>
      <w:r w:rsidRPr="001725FC">
        <w:rPr>
          <w:szCs w:val="28"/>
        </w:rPr>
        <w:t>Mia Mantra</w:t>
      </w:r>
    </w:p>
    <w:p w14:paraId="6A7C89A3" w14:textId="0509CED4" w:rsidR="007D438F" w:rsidRPr="001725FC" w:rsidRDefault="007D438F" w:rsidP="00750361">
      <w:pPr>
        <w:spacing w:after="140"/>
        <w:rPr>
          <w:szCs w:val="28"/>
        </w:rPr>
      </w:pPr>
      <w:r w:rsidRPr="001725FC">
        <w:rPr>
          <w:szCs w:val="28"/>
        </w:rPr>
        <w:t>Simon Fidler</w:t>
      </w:r>
    </w:p>
    <w:p w14:paraId="475A80DD" w14:textId="645058FB" w:rsidR="007D438F" w:rsidRPr="001725FC" w:rsidRDefault="007D438F" w:rsidP="00750361">
      <w:pPr>
        <w:spacing w:after="140"/>
        <w:rPr>
          <w:szCs w:val="28"/>
        </w:rPr>
      </w:pPr>
      <w:r w:rsidRPr="001725FC">
        <w:rPr>
          <w:szCs w:val="28"/>
        </w:rPr>
        <w:t>Simon Smith</w:t>
      </w:r>
    </w:p>
    <w:p w14:paraId="5669035C" w14:textId="56D8C5BB" w:rsidR="001725FC" w:rsidRPr="001725FC" w:rsidRDefault="001725FC" w:rsidP="00750361">
      <w:pPr>
        <w:spacing w:after="140"/>
        <w:rPr>
          <w:szCs w:val="28"/>
        </w:rPr>
      </w:pPr>
      <w:proofErr w:type="spellStart"/>
      <w:r w:rsidRPr="001725FC">
        <w:rPr>
          <w:szCs w:val="28"/>
        </w:rPr>
        <w:t>Sarifa</w:t>
      </w:r>
      <w:proofErr w:type="spellEnd"/>
      <w:r w:rsidRPr="001725FC">
        <w:rPr>
          <w:szCs w:val="28"/>
        </w:rPr>
        <w:t xml:space="preserve"> Patel</w:t>
      </w:r>
    </w:p>
    <w:p w14:paraId="2D74542B" w14:textId="77777777" w:rsidR="00A6217A" w:rsidRDefault="00A6217A" w:rsidP="00E739BB"/>
    <w:p w14:paraId="5835B898" w14:textId="5E5F70DB" w:rsidR="00525250" w:rsidRPr="00E17A25" w:rsidRDefault="00525250" w:rsidP="00BB6A41">
      <w:pPr>
        <w:pStyle w:val="Heading2"/>
      </w:pPr>
      <w:bookmarkStart w:id="77" w:name="Appendix2"/>
      <w:bookmarkStart w:id="78" w:name="_Appendix_2:_Methodology"/>
      <w:bookmarkStart w:id="79" w:name="_Toc98504916"/>
      <w:bookmarkStart w:id="80" w:name="_Toc98506560"/>
      <w:bookmarkEnd w:id="77"/>
      <w:bookmarkEnd w:id="78"/>
      <w:r>
        <w:t>Appendix 2</w:t>
      </w:r>
      <w:bookmarkEnd w:id="79"/>
      <w:r w:rsidR="004E0813">
        <w:t>:</w:t>
      </w:r>
      <w:r w:rsidR="004E0813">
        <w:br/>
      </w:r>
      <w:r w:rsidRPr="00E17A25">
        <w:t>Methodology</w:t>
      </w:r>
      <w:bookmarkEnd w:id="80"/>
    </w:p>
    <w:p w14:paraId="1FF77CD8" w14:textId="7AC62C42" w:rsidR="00525250" w:rsidRPr="00525250" w:rsidRDefault="00525250" w:rsidP="00E739BB">
      <w:pPr>
        <w:spacing w:before="240"/>
        <w:rPr>
          <w:szCs w:val="28"/>
        </w:rPr>
      </w:pPr>
      <w:r w:rsidRPr="00525250">
        <w:rPr>
          <w:szCs w:val="28"/>
        </w:rPr>
        <w:t>This report was put together through a project led by the DDPO Inclusion London and supported by a Steering Group that includes the following national DDPO/DDP-led group networks and allies:</w:t>
      </w:r>
    </w:p>
    <w:p w14:paraId="747D2F8D" w14:textId="77777777" w:rsidR="00525250" w:rsidRDefault="00525250" w:rsidP="00D1512F">
      <w:pPr>
        <w:pStyle w:val="Bullets"/>
        <w:spacing w:after="140"/>
      </w:pPr>
      <w:r>
        <w:t>Disability Rights UK Our Voices</w:t>
      </w:r>
    </w:p>
    <w:p w14:paraId="01962033" w14:textId="77777777" w:rsidR="00525250" w:rsidRDefault="00525250" w:rsidP="00D1512F">
      <w:pPr>
        <w:pStyle w:val="Bullets"/>
        <w:spacing w:after="140"/>
      </w:pPr>
      <w:r>
        <w:t>DPO Forum</w:t>
      </w:r>
    </w:p>
    <w:p w14:paraId="775DEE42" w14:textId="77777777" w:rsidR="00525250" w:rsidRDefault="00525250" w:rsidP="00D1512F">
      <w:pPr>
        <w:pStyle w:val="Bullets"/>
        <w:spacing w:after="140"/>
      </w:pPr>
      <w:r>
        <w:t>National Disabled People Against Cuts</w:t>
      </w:r>
    </w:p>
    <w:p w14:paraId="698A60D9" w14:textId="77777777" w:rsidR="00525250" w:rsidRDefault="00525250" w:rsidP="00D1512F">
      <w:pPr>
        <w:pStyle w:val="Bullets"/>
        <w:spacing w:after="140"/>
      </w:pPr>
      <w:r>
        <w:t>Reclaiming Our Futures Alliance</w:t>
      </w:r>
    </w:p>
    <w:p w14:paraId="7CB24869" w14:textId="77777777" w:rsidR="00525250" w:rsidRDefault="00525250" w:rsidP="00D1512F">
      <w:pPr>
        <w:pStyle w:val="Bullets"/>
        <w:spacing w:after="140"/>
      </w:pPr>
      <w:r>
        <w:t>York Centre for Applied Human Rights</w:t>
      </w:r>
    </w:p>
    <w:p w14:paraId="5E90CD58" w14:textId="77777777" w:rsidR="00525250" w:rsidRDefault="00525250" w:rsidP="00D1512F">
      <w:pPr>
        <w:pStyle w:val="Bullets"/>
        <w:spacing w:after="140"/>
      </w:pPr>
      <w:r>
        <w:lastRenderedPageBreak/>
        <w:t>Dr Kate Summers, Fellow in Methodology, London Schools of Economics</w:t>
      </w:r>
    </w:p>
    <w:p w14:paraId="742283B4" w14:textId="7947F146" w:rsidR="00525250" w:rsidRDefault="00525250" w:rsidP="00D1512F">
      <w:pPr>
        <w:pStyle w:val="Bullets"/>
        <w:spacing w:after="140"/>
      </w:pPr>
      <w:r>
        <w:t>Ellen Clifford</w:t>
      </w:r>
      <w:r w:rsidR="00992503">
        <w:t>, consultant</w:t>
      </w:r>
    </w:p>
    <w:p w14:paraId="6B238F51" w14:textId="77777777" w:rsidR="00525250" w:rsidRDefault="00525250" w:rsidP="00E739BB">
      <w:pPr>
        <w:pStyle w:val="ListParagraph"/>
        <w:spacing w:before="240"/>
        <w:ind w:left="1800"/>
        <w:rPr>
          <w:szCs w:val="28"/>
        </w:rPr>
      </w:pPr>
    </w:p>
    <w:p w14:paraId="4E3E0B3D" w14:textId="77777777" w:rsidR="00525250" w:rsidRPr="00525250" w:rsidRDefault="00525250" w:rsidP="00E739BB">
      <w:pPr>
        <w:spacing w:before="240"/>
        <w:rPr>
          <w:szCs w:val="28"/>
        </w:rPr>
      </w:pPr>
      <w:r w:rsidRPr="00525250">
        <w:rPr>
          <w:szCs w:val="28"/>
        </w:rPr>
        <w:t>The project was underpinned by the following principles:</w:t>
      </w:r>
    </w:p>
    <w:p w14:paraId="3D4203E5" w14:textId="77777777" w:rsidR="00525250" w:rsidRPr="00F24540" w:rsidRDefault="00525250" w:rsidP="00D1512F">
      <w:pPr>
        <w:pStyle w:val="Bullets"/>
        <w:spacing w:after="140"/>
      </w:pPr>
      <w:r w:rsidRPr="00F24540">
        <w:t xml:space="preserve">Led by Deaf and Disabled People </w:t>
      </w:r>
      <w:r>
        <w:t>–</w:t>
      </w:r>
      <w:r w:rsidRPr="00F24540">
        <w:t xml:space="preserve"> </w:t>
      </w:r>
      <w:r>
        <w:t>but with input from allies welcomed.</w:t>
      </w:r>
    </w:p>
    <w:p w14:paraId="289C2EC7" w14:textId="77777777" w:rsidR="00525250" w:rsidRPr="00F24540" w:rsidRDefault="00525250" w:rsidP="00D1512F">
      <w:pPr>
        <w:pStyle w:val="Bullets"/>
        <w:spacing w:after="140"/>
      </w:pPr>
      <w:r w:rsidRPr="00F24540">
        <w:t>Robustly evidenced and methodologically sound</w:t>
      </w:r>
      <w:r>
        <w:t>.</w:t>
      </w:r>
      <w:r w:rsidRPr="00F24540">
        <w:t xml:space="preserve"> </w:t>
      </w:r>
    </w:p>
    <w:p w14:paraId="0ABB3FD2" w14:textId="77777777" w:rsidR="00525250" w:rsidRDefault="00525250" w:rsidP="00D1512F">
      <w:pPr>
        <w:pStyle w:val="Bullets"/>
        <w:spacing w:after="140"/>
      </w:pPr>
      <w:r w:rsidRPr="00F24540">
        <w:t xml:space="preserve">Value for money – identifying relevant existing resources to share and co-producing where new ones are required. </w:t>
      </w:r>
    </w:p>
    <w:p w14:paraId="4C8BFF41" w14:textId="77777777" w:rsidR="00525250" w:rsidRDefault="00525250" w:rsidP="00D1512F">
      <w:pPr>
        <w:pStyle w:val="Bullets"/>
        <w:spacing w:after="140"/>
      </w:pPr>
      <w:r w:rsidRPr="00F24540">
        <w:t xml:space="preserve">Streamlined – avoiding duplication and excess of information in order to most effectively meet the needs of the UN disability committee. </w:t>
      </w:r>
    </w:p>
    <w:p w14:paraId="31CC41A6" w14:textId="77777777" w:rsidR="00525250" w:rsidRPr="00F24540" w:rsidRDefault="00525250" w:rsidP="00D1512F">
      <w:pPr>
        <w:pStyle w:val="Bullets"/>
        <w:spacing w:after="140"/>
      </w:pPr>
      <w:r w:rsidRPr="00F24540">
        <w:t>Best practice accessibility.</w:t>
      </w:r>
    </w:p>
    <w:p w14:paraId="03FF3967" w14:textId="77777777" w:rsidR="00525250" w:rsidRPr="00F24540" w:rsidRDefault="00525250" w:rsidP="00D1512F">
      <w:pPr>
        <w:pStyle w:val="Bullets"/>
        <w:spacing w:after="140"/>
      </w:pPr>
      <w:r w:rsidRPr="00F24540">
        <w:t>Meaningful and transparent participation.</w:t>
      </w:r>
    </w:p>
    <w:p w14:paraId="7149CB74" w14:textId="77777777" w:rsidR="00525250" w:rsidRPr="00F24540" w:rsidRDefault="00525250" w:rsidP="00D1512F">
      <w:pPr>
        <w:pStyle w:val="Bullets"/>
        <w:spacing w:after="140"/>
      </w:pPr>
      <w:r w:rsidRPr="00F24540">
        <w:t xml:space="preserve">Respectful </w:t>
      </w:r>
      <w:r>
        <w:t xml:space="preserve">towards Deaf and Disabled people and </w:t>
      </w:r>
      <w:proofErr w:type="spellStart"/>
      <w:r>
        <w:t>organisations</w:t>
      </w:r>
      <w:proofErr w:type="spellEnd"/>
      <w:r>
        <w:t xml:space="preserve"> taking part, remunerating participation where possible and appreciating strains on time and capacity.</w:t>
      </w:r>
      <w:r w:rsidRPr="00F24540">
        <w:t xml:space="preserve"> </w:t>
      </w:r>
    </w:p>
    <w:p w14:paraId="370F1355" w14:textId="77777777" w:rsidR="00525250" w:rsidRDefault="00525250" w:rsidP="00D1512F">
      <w:pPr>
        <w:pStyle w:val="Bullets"/>
        <w:spacing w:after="140"/>
      </w:pPr>
      <w:r w:rsidRPr="00F24540">
        <w:t xml:space="preserve">Widely owned – ensuring inclusion of </w:t>
      </w:r>
      <w:r>
        <w:t xml:space="preserve">diverse </w:t>
      </w:r>
      <w:r w:rsidRPr="00F24540">
        <w:t>Deaf and Disabled people</w:t>
      </w:r>
      <w:r>
        <w:t>.</w:t>
      </w:r>
    </w:p>
    <w:p w14:paraId="7B6CC73A" w14:textId="79C300D6" w:rsidR="00592FCE" w:rsidRDefault="00592FCE" w:rsidP="00231B6B">
      <w:pPr>
        <w:spacing w:before="240"/>
        <w:rPr>
          <w:szCs w:val="28"/>
        </w:rPr>
      </w:pPr>
      <w:bookmarkStart w:id="81" w:name="_Hlk94186256"/>
      <w:r w:rsidRPr="00992503">
        <w:rPr>
          <w:szCs w:val="28"/>
        </w:rPr>
        <w:t>The work to put this report together was initiated by a tender for funding specifically for CRDP civil society shadow reporting to be undertaken from September 2021 with a final report submitted to the UN by 31</w:t>
      </w:r>
      <w:r w:rsidRPr="00992503">
        <w:rPr>
          <w:szCs w:val="28"/>
          <w:vertAlign w:val="superscript"/>
        </w:rPr>
        <w:t>st</w:t>
      </w:r>
      <w:r w:rsidRPr="00992503">
        <w:rPr>
          <w:szCs w:val="28"/>
        </w:rPr>
        <w:t xml:space="preserve"> March. Funding for civil society shadow reporting was very welcome. </w:t>
      </w:r>
      <w:r w:rsidR="00764670" w:rsidRPr="00992503">
        <w:rPr>
          <w:szCs w:val="28"/>
        </w:rPr>
        <w:t>However, t</w:t>
      </w:r>
      <w:r w:rsidRPr="00992503">
        <w:rPr>
          <w:szCs w:val="28"/>
        </w:rPr>
        <w:t>he tender was not co-produced with DDPOs</w:t>
      </w:r>
      <w:r w:rsidR="00857217" w:rsidRPr="00992503">
        <w:rPr>
          <w:szCs w:val="28"/>
        </w:rPr>
        <w:t xml:space="preserve">, </w:t>
      </w:r>
      <w:r w:rsidR="00992503">
        <w:rPr>
          <w:szCs w:val="28"/>
        </w:rPr>
        <w:t xml:space="preserve">was not ring-fenced to user led organisations, </w:t>
      </w:r>
      <w:r w:rsidRPr="00992503">
        <w:rPr>
          <w:szCs w:val="28"/>
        </w:rPr>
        <w:t xml:space="preserve">did not take adequate account of </w:t>
      </w:r>
      <w:r w:rsidR="00857217" w:rsidRPr="00992503">
        <w:rPr>
          <w:szCs w:val="28"/>
        </w:rPr>
        <w:t xml:space="preserve">good practice in relation to </w:t>
      </w:r>
      <w:r w:rsidRPr="00992503">
        <w:rPr>
          <w:szCs w:val="28"/>
        </w:rPr>
        <w:t>access and inclusion</w:t>
      </w:r>
      <w:r w:rsidR="00857217" w:rsidRPr="00992503">
        <w:rPr>
          <w:szCs w:val="28"/>
        </w:rPr>
        <w:t xml:space="preserve"> relevant to consultation and engagement with DDPOs, and was based on a failure to adequately understand </w:t>
      </w:r>
      <w:r w:rsidR="00857217" w:rsidRPr="00992503">
        <w:rPr>
          <w:szCs w:val="28"/>
        </w:rPr>
        <w:lastRenderedPageBreak/>
        <w:t xml:space="preserve">shadow reporting under the CRDP. </w:t>
      </w:r>
      <w:r w:rsidR="00992503">
        <w:rPr>
          <w:szCs w:val="28"/>
        </w:rPr>
        <w:t xml:space="preserve">The funding will not cover involvement of DDPOs within further stages of the examination process. </w:t>
      </w:r>
      <w:r w:rsidR="00857217" w:rsidRPr="00992503">
        <w:rPr>
          <w:szCs w:val="28"/>
        </w:rPr>
        <w:t>The resulting project relied heavily on DDPOs own resources.</w:t>
      </w:r>
      <w:r w:rsidR="00992503">
        <w:rPr>
          <w:szCs w:val="28"/>
        </w:rPr>
        <w:t xml:space="preserve"> We hope that lessons can be learned for future.</w:t>
      </w:r>
    </w:p>
    <w:p w14:paraId="79BE8C5F" w14:textId="09A332B5" w:rsidR="00EE647A" w:rsidRDefault="00525250" w:rsidP="00231B6B">
      <w:pPr>
        <w:spacing w:before="240"/>
        <w:rPr>
          <w:szCs w:val="28"/>
        </w:rPr>
      </w:pPr>
      <w:r w:rsidRPr="00525250">
        <w:rPr>
          <w:szCs w:val="28"/>
        </w:rPr>
        <w:t xml:space="preserve">A </w:t>
      </w:r>
      <w:hyperlink r:id="rId15" w:history="1">
        <w:r w:rsidRPr="00525250">
          <w:rPr>
            <w:rStyle w:val="Hyperlink"/>
            <w:szCs w:val="28"/>
          </w:rPr>
          <w:t>call for evidence</w:t>
        </w:r>
      </w:hyperlink>
      <w:r w:rsidRPr="00525250">
        <w:rPr>
          <w:szCs w:val="28"/>
        </w:rPr>
        <w:t xml:space="preserve"> to inform this report was launched on 20 October</w:t>
      </w:r>
      <w:r w:rsidR="00EE647A">
        <w:rPr>
          <w:szCs w:val="28"/>
        </w:rPr>
        <w:t xml:space="preserve"> </w:t>
      </w:r>
      <w:r w:rsidRPr="00525250">
        <w:rPr>
          <w:szCs w:val="28"/>
        </w:rPr>
        <w:t xml:space="preserve">2021, open for approximately one month until 15 November 2021 and available in BSL and easy read. </w:t>
      </w:r>
      <w:r w:rsidR="00EE647A">
        <w:rPr>
          <w:szCs w:val="28"/>
        </w:rPr>
        <w:t>It was disseminated through the contact networks of each of the DDPO networks represented on the Steering Group</w:t>
      </w:r>
      <w:r w:rsidR="00C826F5">
        <w:rPr>
          <w:szCs w:val="28"/>
        </w:rPr>
        <w:t xml:space="preserve"> (see </w:t>
      </w:r>
      <w:r w:rsidR="00D60090">
        <w:rPr>
          <w:szCs w:val="28"/>
        </w:rPr>
        <w:t>Annex D Appendix B</w:t>
      </w:r>
      <w:r w:rsidR="00C826F5">
        <w:rPr>
          <w:szCs w:val="28"/>
        </w:rPr>
        <w:t>)</w:t>
      </w:r>
      <w:r w:rsidR="00EE647A">
        <w:rPr>
          <w:szCs w:val="28"/>
        </w:rPr>
        <w:t>, through social media and through DDPO newsletters. An online, accessible event was held to launch the call for evidence with speakers including a member of the current CRDP Committee, a current member of the CRDP Secretariat and a campaigner who was involved in drafting the CRDP.</w:t>
      </w:r>
    </w:p>
    <w:p w14:paraId="2CDFEE57" w14:textId="50CECF9B" w:rsidR="00EE647A" w:rsidRDefault="00525250" w:rsidP="00231B6B">
      <w:pPr>
        <w:spacing w:before="240"/>
        <w:rPr>
          <w:szCs w:val="28"/>
        </w:rPr>
      </w:pPr>
      <w:r w:rsidRPr="00525250">
        <w:rPr>
          <w:szCs w:val="28"/>
        </w:rPr>
        <w:t xml:space="preserve">We received </w:t>
      </w:r>
      <w:r w:rsidR="00674886">
        <w:rPr>
          <w:szCs w:val="28"/>
        </w:rPr>
        <w:t>103</w:t>
      </w:r>
      <w:r w:rsidRPr="00525250">
        <w:rPr>
          <w:szCs w:val="28"/>
        </w:rPr>
        <w:t xml:space="preserve"> separate submissions from 2</w:t>
      </w:r>
      <w:r w:rsidR="00674886">
        <w:rPr>
          <w:szCs w:val="28"/>
        </w:rPr>
        <w:t>2</w:t>
      </w:r>
      <w:r w:rsidRPr="00525250">
        <w:rPr>
          <w:szCs w:val="28"/>
        </w:rPr>
        <w:t xml:space="preserve"> DDPOs, 13 non-user led organisations, including charities and trade unions, </w:t>
      </w:r>
      <w:r w:rsidR="00674886">
        <w:rPr>
          <w:szCs w:val="28"/>
        </w:rPr>
        <w:t>34</w:t>
      </w:r>
      <w:r w:rsidRPr="00525250">
        <w:rPr>
          <w:szCs w:val="28"/>
        </w:rPr>
        <w:t xml:space="preserve"> DDP and 3 individual allies (family members/friends of DDP). These were in the format of written documents, pictures, tweets and emails. Content ranged from lists of statistics, virtual comment boards, links to reports, copies of entire reports, survey findings and personal testimonies as well as submissions written specifically in response to the call for evidence. </w:t>
      </w:r>
    </w:p>
    <w:p w14:paraId="478C596A" w14:textId="764A1959" w:rsidR="00525250" w:rsidRPr="00525250" w:rsidRDefault="00525250" w:rsidP="00231B6B">
      <w:pPr>
        <w:spacing w:before="240"/>
        <w:rPr>
          <w:szCs w:val="28"/>
        </w:rPr>
      </w:pPr>
      <w:r w:rsidRPr="00525250">
        <w:rPr>
          <w:szCs w:val="28"/>
        </w:rPr>
        <w:t xml:space="preserve">The variety of submissions was welcomed in order to accommodate access needs as well as the multiple strains and barriers experienced by both organisations and individuals wanting to participate. A number of other DDPOs and non-user led organisations wanted to send evidence but were unable to meet the timeframe even with </w:t>
      </w:r>
      <w:r w:rsidR="00EE647A">
        <w:rPr>
          <w:szCs w:val="28"/>
        </w:rPr>
        <w:t xml:space="preserve">dispensation given for </w:t>
      </w:r>
      <w:r w:rsidRPr="00525250">
        <w:rPr>
          <w:szCs w:val="28"/>
        </w:rPr>
        <w:t xml:space="preserve">submissions </w:t>
      </w:r>
      <w:r w:rsidR="00EE647A">
        <w:rPr>
          <w:szCs w:val="28"/>
        </w:rPr>
        <w:t xml:space="preserve">up until the middle of February. </w:t>
      </w:r>
    </w:p>
    <w:p w14:paraId="699B9D8A" w14:textId="0E80CDD4" w:rsidR="00525250" w:rsidRPr="00525250" w:rsidRDefault="00525250" w:rsidP="00231B6B">
      <w:pPr>
        <w:spacing w:before="240"/>
        <w:rPr>
          <w:szCs w:val="28"/>
        </w:rPr>
      </w:pPr>
      <w:r w:rsidRPr="00525250">
        <w:rPr>
          <w:szCs w:val="28"/>
        </w:rPr>
        <w:t xml:space="preserve">Between 20 October and 31 December 2022, 17 events were held by 15 different DDPOs across England to raise awareness of the </w:t>
      </w:r>
      <w:r w:rsidR="00661369">
        <w:rPr>
          <w:szCs w:val="28"/>
        </w:rPr>
        <w:t>CRDP</w:t>
      </w:r>
      <w:r w:rsidRPr="00525250">
        <w:rPr>
          <w:szCs w:val="28"/>
        </w:rPr>
        <w:t xml:space="preserve"> and to </w:t>
      </w:r>
      <w:r w:rsidRPr="00525250">
        <w:rPr>
          <w:szCs w:val="28"/>
        </w:rPr>
        <w:lastRenderedPageBreak/>
        <w:t>gather views for this report</w:t>
      </w:r>
      <w:r w:rsidR="00E26F90">
        <w:rPr>
          <w:rStyle w:val="FootnoteReference"/>
          <w:szCs w:val="28"/>
        </w:rPr>
        <w:footnoteReference w:id="521"/>
      </w:r>
      <w:r w:rsidRPr="00525250">
        <w:rPr>
          <w:szCs w:val="28"/>
        </w:rPr>
        <w:t xml:space="preserve">. Most events included a number of workshops looking in more detail at specific </w:t>
      </w:r>
      <w:r w:rsidR="00760BE4">
        <w:rPr>
          <w:szCs w:val="28"/>
        </w:rPr>
        <w:t>a</w:t>
      </w:r>
      <w:r w:rsidRPr="00525250">
        <w:rPr>
          <w:szCs w:val="28"/>
        </w:rPr>
        <w:t xml:space="preserve">rticles or disability-related issues. These were attended by </w:t>
      </w:r>
      <w:r w:rsidR="00760BE4">
        <w:rPr>
          <w:szCs w:val="28"/>
        </w:rPr>
        <w:t xml:space="preserve">approximately </w:t>
      </w:r>
      <w:r w:rsidRPr="00525250">
        <w:rPr>
          <w:szCs w:val="28"/>
        </w:rPr>
        <w:t xml:space="preserve">270 DDP although event hosts reported that more had signed up to attend than turned up on the day. An additional 31 documents recording the discussions at these events were included as evidence. </w:t>
      </w:r>
    </w:p>
    <w:p w14:paraId="11F793F9" w14:textId="665AEB1C" w:rsidR="00525250" w:rsidRPr="00525250" w:rsidRDefault="00525250" w:rsidP="00231B6B">
      <w:pPr>
        <w:spacing w:before="240"/>
        <w:rPr>
          <w:szCs w:val="28"/>
        </w:rPr>
      </w:pPr>
      <w:r w:rsidRPr="00525250">
        <w:rPr>
          <w:szCs w:val="28"/>
        </w:rPr>
        <w:t>Targeted outreach was undertaken to include the voices of: DDP</w:t>
      </w:r>
      <w:r w:rsidR="00174CBF">
        <w:rPr>
          <w:szCs w:val="28"/>
        </w:rPr>
        <w:t xml:space="preserve"> who are</w:t>
      </w:r>
      <w:r w:rsidR="00A6242A">
        <w:rPr>
          <w:szCs w:val="28"/>
        </w:rPr>
        <w:t xml:space="preserve"> </w:t>
      </w:r>
      <w:r w:rsidR="00174CBF" w:rsidRPr="00174CBF">
        <w:rPr>
          <w:szCs w:val="28"/>
        </w:rPr>
        <w:t>Black people and from racialised minorities</w:t>
      </w:r>
      <w:r w:rsidRPr="00525250">
        <w:rPr>
          <w:szCs w:val="28"/>
        </w:rPr>
        <w:t xml:space="preserve">; DDP living in rural areas; </w:t>
      </w:r>
      <w:r w:rsidR="005A6AD3">
        <w:rPr>
          <w:szCs w:val="28"/>
        </w:rPr>
        <w:t xml:space="preserve">Disabled asylum seekers, refugees and people </w:t>
      </w:r>
      <w:r w:rsidR="005A6AD3" w:rsidRPr="00DA1725">
        <w:rPr>
          <w:szCs w:val="28"/>
        </w:rPr>
        <w:t>with</w:t>
      </w:r>
      <w:r w:rsidR="005A6AD3">
        <w:rPr>
          <w:szCs w:val="28"/>
        </w:rPr>
        <w:t xml:space="preserve"> No Recourse to Public Funds</w:t>
      </w:r>
      <w:r w:rsidR="000C20CF">
        <w:rPr>
          <w:rStyle w:val="FootnoteReference"/>
          <w:szCs w:val="28"/>
        </w:rPr>
        <w:footnoteReference w:id="522"/>
      </w:r>
      <w:r w:rsidR="000C20CF">
        <w:rPr>
          <w:rStyle w:val="CommentReference"/>
          <w:sz w:val="28"/>
          <w:szCs w:val="28"/>
        </w:rPr>
        <w:t>;</w:t>
      </w:r>
      <w:r w:rsidRPr="00525250">
        <w:rPr>
          <w:szCs w:val="28"/>
        </w:rPr>
        <w:t xml:space="preserve"> DDP who provide unpaid support for other DDP (often referred to as “carers”); </w:t>
      </w:r>
      <w:r w:rsidR="00EE647A">
        <w:rPr>
          <w:szCs w:val="28"/>
        </w:rPr>
        <w:t xml:space="preserve">DDP who use </w:t>
      </w:r>
      <w:r w:rsidR="00392033" w:rsidRPr="00392033">
        <w:rPr>
          <w:szCs w:val="28"/>
        </w:rPr>
        <w:t xml:space="preserve">Augmentative and </w:t>
      </w:r>
      <w:r w:rsidR="00392033">
        <w:rPr>
          <w:szCs w:val="28"/>
        </w:rPr>
        <w:t>A</w:t>
      </w:r>
      <w:r w:rsidR="00392033" w:rsidRPr="00392033">
        <w:rPr>
          <w:szCs w:val="28"/>
        </w:rPr>
        <w:t xml:space="preserve">lternative </w:t>
      </w:r>
      <w:r w:rsidR="00392033">
        <w:rPr>
          <w:szCs w:val="28"/>
        </w:rPr>
        <w:t>C</w:t>
      </w:r>
      <w:r w:rsidR="00392033" w:rsidRPr="00392033">
        <w:rPr>
          <w:szCs w:val="28"/>
        </w:rPr>
        <w:t>ommunication</w:t>
      </w:r>
      <w:r w:rsidR="00EE647A">
        <w:rPr>
          <w:szCs w:val="28"/>
        </w:rPr>
        <w:t xml:space="preserve"> (AAC); </w:t>
      </w:r>
      <w:r w:rsidRPr="00525250">
        <w:rPr>
          <w:szCs w:val="28"/>
        </w:rPr>
        <w:t>DDP who live in residential homes; also, DDP who are LGBTQ+, sex workers, low paid workers and in disability-related debt. This involved six focus groups attended by approximately 50 DDP and led to an additional 1</w:t>
      </w:r>
      <w:r w:rsidR="00EE647A">
        <w:rPr>
          <w:szCs w:val="28"/>
        </w:rPr>
        <w:t>2</w:t>
      </w:r>
      <w:r w:rsidRPr="00525250">
        <w:rPr>
          <w:szCs w:val="28"/>
        </w:rPr>
        <w:t xml:space="preserve"> submissions.</w:t>
      </w:r>
    </w:p>
    <w:p w14:paraId="595E805A" w14:textId="77777777" w:rsidR="00D1512F" w:rsidRDefault="00A6242A" w:rsidP="00231B6B">
      <w:pPr>
        <w:spacing w:before="240"/>
        <w:rPr>
          <w:szCs w:val="28"/>
        </w:rPr>
      </w:pPr>
      <w:bookmarkStart w:id="82" w:name="_Hlk95499672"/>
      <w:r>
        <w:rPr>
          <w:szCs w:val="28"/>
        </w:rPr>
        <w:t>More than 1000</w:t>
      </w:r>
      <w:r w:rsidR="00525250" w:rsidRPr="00525250">
        <w:rPr>
          <w:szCs w:val="28"/>
        </w:rPr>
        <w:t xml:space="preserve"> pages of evidence was received. </w:t>
      </w:r>
      <w:r>
        <w:rPr>
          <w:szCs w:val="28"/>
        </w:rPr>
        <w:t>A</w:t>
      </w:r>
      <w:r w:rsidR="00525250" w:rsidRPr="00525250">
        <w:rPr>
          <w:szCs w:val="28"/>
        </w:rPr>
        <w:t xml:space="preserve">nalysis of </w:t>
      </w:r>
      <w:r>
        <w:rPr>
          <w:szCs w:val="28"/>
        </w:rPr>
        <w:t xml:space="preserve">early submissions and event notes </w:t>
      </w:r>
      <w:r w:rsidR="00525250" w:rsidRPr="00525250">
        <w:rPr>
          <w:szCs w:val="28"/>
        </w:rPr>
        <w:t xml:space="preserve">informed </w:t>
      </w:r>
      <w:r>
        <w:rPr>
          <w:szCs w:val="28"/>
        </w:rPr>
        <w:t xml:space="preserve">the questions developed for </w:t>
      </w:r>
      <w:r w:rsidR="00525250" w:rsidRPr="00525250">
        <w:rPr>
          <w:szCs w:val="28"/>
        </w:rPr>
        <w:t xml:space="preserve">an online survey open to DDP and allies from 13 </w:t>
      </w:r>
      <w:r w:rsidR="0046390E">
        <w:rPr>
          <w:szCs w:val="28"/>
        </w:rPr>
        <w:t>-</w:t>
      </w:r>
      <w:r w:rsidR="00525250" w:rsidRPr="00525250">
        <w:rPr>
          <w:szCs w:val="28"/>
        </w:rPr>
        <w:t xml:space="preserve"> 24 December 2022. BSL was embedded into the online survey to increase accessibility. The survey </w:t>
      </w:r>
      <w:r w:rsidR="00525250" w:rsidRPr="00525250">
        <w:rPr>
          <w:szCs w:val="28"/>
        </w:rPr>
        <w:lastRenderedPageBreak/>
        <w:t xml:space="preserve">was also available in hard copy and easy read paper format and respondents had the option to give their answers over the telephone. </w:t>
      </w:r>
    </w:p>
    <w:p w14:paraId="3E35A499" w14:textId="3390E99A" w:rsidR="00DA40DB" w:rsidRDefault="00DA40DB" w:rsidP="00231B6B">
      <w:pPr>
        <w:spacing w:before="240"/>
        <w:rPr>
          <w:szCs w:val="28"/>
        </w:rPr>
      </w:pPr>
      <w:r>
        <w:rPr>
          <w:szCs w:val="28"/>
        </w:rPr>
        <w:t xml:space="preserve">The survey was disseminated by all England SG members through mail out to contact networks and social media, reaching </w:t>
      </w:r>
      <w:r w:rsidR="0074030E">
        <w:rPr>
          <w:szCs w:val="28"/>
        </w:rPr>
        <w:t xml:space="preserve">over </w:t>
      </w:r>
      <w:r w:rsidR="008B5A28">
        <w:rPr>
          <w:szCs w:val="28"/>
        </w:rPr>
        <w:t>100</w:t>
      </w:r>
      <w:r w:rsidR="0074030E">
        <w:rPr>
          <w:szCs w:val="28"/>
        </w:rPr>
        <w:t>,000</w:t>
      </w:r>
      <w:r>
        <w:rPr>
          <w:szCs w:val="28"/>
        </w:rPr>
        <w:t xml:space="preserve"> potential respondents</w:t>
      </w:r>
      <w:r w:rsidR="0074030E">
        <w:rPr>
          <w:szCs w:val="28"/>
        </w:rPr>
        <w:t xml:space="preserve"> including DDPOs, ally organisations and individuals</w:t>
      </w:r>
      <w:r w:rsidR="008B5A28">
        <w:rPr>
          <w:rStyle w:val="FootnoteReference"/>
          <w:szCs w:val="28"/>
        </w:rPr>
        <w:footnoteReference w:id="523"/>
      </w:r>
      <w:r w:rsidR="0074030E">
        <w:rPr>
          <w:szCs w:val="28"/>
        </w:rPr>
        <w:t>.</w:t>
      </w:r>
    </w:p>
    <w:p w14:paraId="61F46CF4" w14:textId="019C7B84" w:rsidR="00525250" w:rsidRPr="00525250" w:rsidRDefault="00525250" w:rsidP="00231B6B">
      <w:pPr>
        <w:spacing w:before="240"/>
        <w:rPr>
          <w:szCs w:val="28"/>
        </w:rPr>
      </w:pPr>
      <w:r w:rsidRPr="00525250">
        <w:rPr>
          <w:szCs w:val="28"/>
        </w:rPr>
        <w:t xml:space="preserve">A total of 351 responses </w:t>
      </w:r>
      <w:r w:rsidR="00DA40DB">
        <w:rPr>
          <w:szCs w:val="28"/>
        </w:rPr>
        <w:t xml:space="preserve">to the survey </w:t>
      </w:r>
      <w:r w:rsidRPr="00525250">
        <w:rPr>
          <w:szCs w:val="28"/>
        </w:rPr>
        <w:t>were received.</w:t>
      </w:r>
      <w:r w:rsidR="00ED3296">
        <w:rPr>
          <w:szCs w:val="28"/>
        </w:rPr>
        <w:t xml:space="preserve"> For </w:t>
      </w:r>
      <w:r w:rsidR="00A6242A">
        <w:rPr>
          <w:szCs w:val="28"/>
        </w:rPr>
        <w:t xml:space="preserve">our analysis of survey responses </w:t>
      </w:r>
      <w:r w:rsidR="00ED3296">
        <w:rPr>
          <w:szCs w:val="28"/>
        </w:rPr>
        <w:t xml:space="preserve">please see </w:t>
      </w:r>
      <w:r w:rsidR="00A6242A">
        <w:rPr>
          <w:szCs w:val="28"/>
        </w:rPr>
        <w:t>A</w:t>
      </w:r>
      <w:r w:rsidR="00ED3296">
        <w:rPr>
          <w:szCs w:val="28"/>
        </w:rPr>
        <w:t>nnex</w:t>
      </w:r>
      <w:r w:rsidR="00A6242A">
        <w:rPr>
          <w:szCs w:val="28"/>
        </w:rPr>
        <w:t xml:space="preserve"> </w:t>
      </w:r>
      <w:r w:rsidR="001B0E64">
        <w:rPr>
          <w:szCs w:val="28"/>
        </w:rPr>
        <w:t>D</w:t>
      </w:r>
      <w:r w:rsidR="001B0E64">
        <w:rPr>
          <w:rStyle w:val="FootnoteReference"/>
          <w:szCs w:val="28"/>
        </w:rPr>
        <w:footnoteReference w:id="524"/>
      </w:r>
      <w:r w:rsidR="00ED3296">
        <w:rPr>
          <w:szCs w:val="28"/>
        </w:rPr>
        <w:t>.</w:t>
      </w:r>
    </w:p>
    <w:bookmarkEnd w:id="81"/>
    <w:p w14:paraId="70B8B65D" w14:textId="5A6B4480" w:rsidR="001B0E64" w:rsidRDefault="00525250" w:rsidP="00231B6B">
      <w:pPr>
        <w:spacing w:before="240"/>
        <w:rPr>
          <w:szCs w:val="28"/>
        </w:rPr>
      </w:pPr>
      <w:r w:rsidRPr="00ED3296">
        <w:rPr>
          <w:szCs w:val="28"/>
        </w:rPr>
        <w:t xml:space="preserve">The survey asked respondents their views on the general situation facing DDP in the present time compared to 2017. It </w:t>
      </w:r>
      <w:r w:rsidR="00ED3296">
        <w:rPr>
          <w:szCs w:val="28"/>
        </w:rPr>
        <w:t xml:space="preserve">also: </w:t>
      </w:r>
      <w:r w:rsidRPr="00ED3296">
        <w:rPr>
          <w:szCs w:val="28"/>
        </w:rPr>
        <w:t>asked about areas where progress has taken place and good practice examples</w:t>
      </w:r>
      <w:r w:rsidR="00ED3296">
        <w:rPr>
          <w:szCs w:val="28"/>
        </w:rPr>
        <w:t>;</w:t>
      </w:r>
      <w:r w:rsidRPr="00ED3296">
        <w:rPr>
          <w:szCs w:val="28"/>
        </w:rPr>
        <w:t xml:space="preserve"> suggested themes drawn from consideration of the </w:t>
      </w:r>
      <w:r w:rsidR="00ED3296">
        <w:rPr>
          <w:szCs w:val="28"/>
        </w:rPr>
        <w:t xml:space="preserve">initial </w:t>
      </w:r>
      <w:r w:rsidRPr="00ED3296">
        <w:rPr>
          <w:szCs w:val="28"/>
        </w:rPr>
        <w:t xml:space="preserve">evidence </w:t>
      </w:r>
      <w:r w:rsidR="00ED3296">
        <w:rPr>
          <w:szCs w:val="28"/>
        </w:rPr>
        <w:t>we had received and feedback from the events;</w:t>
      </w:r>
      <w:r w:rsidRPr="00ED3296">
        <w:rPr>
          <w:szCs w:val="28"/>
        </w:rPr>
        <w:t xml:space="preserve"> and asked if there were areas that survey respond</w:t>
      </w:r>
      <w:r w:rsidR="00ED3296">
        <w:rPr>
          <w:szCs w:val="28"/>
        </w:rPr>
        <w:t>e</w:t>
      </w:r>
      <w:r w:rsidRPr="00ED3296">
        <w:rPr>
          <w:szCs w:val="28"/>
        </w:rPr>
        <w:t>nts thought were missing and what those were.</w:t>
      </w:r>
    </w:p>
    <w:p w14:paraId="61A249DF" w14:textId="0A53305A" w:rsidR="000636FD" w:rsidRPr="00895DEF" w:rsidRDefault="000636FD" w:rsidP="00231B6B">
      <w:pPr>
        <w:spacing w:after="0"/>
        <w:rPr>
          <w:szCs w:val="28"/>
        </w:rPr>
      </w:pPr>
      <w:r w:rsidRPr="00895DEF">
        <w:rPr>
          <w:szCs w:val="28"/>
        </w:rPr>
        <w:t>Percentage of survey respondents who agree there has been continued retrogression since 2017</w:t>
      </w:r>
      <w:r w:rsidR="0001702F">
        <w:rPr>
          <w:szCs w:val="28"/>
        </w:rPr>
        <w:br/>
      </w:r>
    </w:p>
    <w:p w14:paraId="29F8E580" w14:textId="79803363" w:rsidR="000636FD" w:rsidRPr="00895DEF" w:rsidRDefault="000636FD" w:rsidP="006907A7">
      <w:pPr>
        <w:pStyle w:val="Bullets"/>
        <w:spacing w:after="0"/>
        <w:ind w:left="1701" w:hanging="283"/>
      </w:pPr>
      <w:r w:rsidRPr="00895DEF">
        <w:t>91% agreed</w:t>
      </w:r>
    </w:p>
    <w:p w14:paraId="4C893225" w14:textId="2DECD040" w:rsidR="000636FD" w:rsidRPr="00895DEF" w:rsidRDefault="000636FD" w:rsidP="006907A7">
      <w:pPr>
        <w:pStyle w:val="Bullets"/>
        <w:spacing w:after="0"/>
        <w:ind w:left="1701" w:hanging="283"/>
      </w:pPr>
      <w:r w:rsidRPr="00895DEF">
        <w:t>1% disagreed</w:t>
      </w:r>
    </w:p>
    <w:p w14:paraId="46559CB1" w14:textId="5FAFBF02" w:rsidR="000636FD" w:rsidRPr="00895DEF" w:rsidRDefault="000636FD" w:rsidP="006907A7">
      <w:pPr>
        <w:pStyle w:val="Bullets"/>
        <w:spacing w:after="0"/>
        <w:ind w:left="1701" w:hanging="283"/>
      </w:pPr>
      <w:r w:rsidRPr="00895DEF">
        <w:t>8% did not answer</w:t>
      </w:r>
    </w:p>
    <w:p w14:paraId="5D6917AD" w14:textId="77777777" w:rsidR="000636FD" w:rsidRDefault="000636FD" w:rsidP="00231B6B">
      <w:pPr>
        <w:spacing w:after="0"/>
        <w:rPr>
          <w:szCs w:val="28"/>
        </w:rPr>
      </w:pPr>
    </w:p>
    <w:p w14:paraId="23BE3ED6" w14:textId="3472AFC2" w:rsidR="000636FD" w:rsidRPr="00895DEF" w:rsidRDefault="000636FD" w:rsidP="00231B6B">
      <w:pPr>
        <w:spacing w:after="0"/>
        <w:rPr>
          <w:szCs w:val="28"/>
        </w:rPr>
      </w:pPr>
      <w:r w:rsidRPr="00895DEF">
        <w:rPr>
          <w:szCs w:val="28"/>
        </w:rPr>
        <w:t>Percentage of survey respondents who think that government measures are stopping Deaf and Disabled people from speaking out</w:t>
      </w:r>
      <w:r w:rsidR="0001702F">
        <w:rPr>
          <w:szCs w:val="28"/>
        </w:rPr>
        <w:br/>
      </w:r>
    </w:p>
    <w:p w14:paraId="547D5C4D" w14:textId="70109CAD" w:rsidR="000636FD" w:rsidRPr="006907A7" w:rsidRDefault="000636FD" w:rsidP="006907A7">
      <w:pPr>
        <w:pStyle w:val="Bullets"/>
        <w:spacing w:after="0"/>
        <w:ind w:left="1701" w:hanging="283"/>
      </w:pPr>
      <w:r w:rsidRPr="006907A7">
        <w:t>90% agreed</w:t>
      </w:r>
    </w:p>
    <w:p w14:paraId="684AD787" w14:textId="64692FF4" w:rsidR="000636FD" w:rsidRPr="006907A7" w:rsidRDefault="000636FD" w:rsidP="006907A7">
      <w:pPr>
        <w:pStyle w:val="Bullets"/>
        <w:spacing w:after="0"/>
        <w:ind w:left="1701" w:hanging="283"/>
      </w:pPr>
      <w:r w:rsidRPr="006907A7">
        <w:t>1% disagreed</w:t>
      </w:r>
    </w:p>
    <w:p w14:paraId="1A3B42EB" w14:textId="61EF3FA7" w:rsidR="000636FD" w:rsidRPr="006907A7" w:rsidRDefault="000636FD" w:rsidP="006907A7">
      <w:pPr>
        <w:pStyle w:val="Bullets"/>
        <w:spacing w:after="0"/>
        <w:ind w:left="1701" w:hanging="283"/>
      </w:pPr>
      <w:r w:rsidRPr="006907A7">
        <w:lastRenderedPageBreak/>
        <w:t>9% did not answer</w:t>
      </w:r>
    </w:p>
    <w:p w14:paraId="6E82E1EC" w14:textId="77777777" w:rsidR="000636FD" w:rsidRDefault="000636FD" w:rsidP="00231B6B">
      <w:pPr>
        <w:spacing w:after="0"/>
        <w:rPr>
          <w:szCs w:val="28"/>
        </w:rPr>
      </w:pPr>
    </w:p>
    <w:p w14:paraId="2E220F8D" w14:textId="2ECD6EC2" w:rsidR="000636FD" w:rsidRPr="00895DEF" w:rsidRDefault="000636FD" w:rsidP="00231B6B">
      <w:pPr>
        <w:spacing w:after="0"/>
        <w:rPr>
          <w:szCs w:val="28"/>
        </w:rPr>
      </w:pPr>
      <w:r w:rsidRPr="00895DEF">
        <w:rPr>
          <w:szCs w:val="28"/>
        </w:rPr>
        <w:t>Percentage of survey respondents who agree that institutionalisation of Deaf and Disabled people has been a growing problem since 2017</w:t>
      </w:r>
      <w:r w:rsidR="0001702F">
        <w:rPr>
          <w:szCs w:val="28"/>
        </w:rPr>
        <w:br/>
      </w:r>
    </w:p>
    <w:p w14:paraId="6BBB4E97" w14:textId="1D16AA1D" w:rsidR="000636FD" w:rsidRPr="00895DEF" w:rsidRDefault="000636FD" w:rsidP="00DF2E11">
      <w:pPr>
        <w:pStyle w:val="Bullets"/>
        <w:spacing w:after="0"/>
        <w:ind w:left="1701" w:hanging="283"/>
      </w:pPr>
      <w:r w:rsidRPr="00895DEF">
        <w:t>84% agreed</w:t>
      </w:r>
    </w:p>
    <w:p w14:paraId="0BC2E3CE" w14:textId="6461CC13" w:rsidR="000636FD" w:rsidRPr="00895DEF" w:rsidRDefault="000636FD" w:rsidP="00DF2E11">
      <w:pPr>
        <w:pStyle w:val="Bullets"/>
        <w:spacing w:after="0"/>
        <w:ind w:left="1701" w:hanging="283"/>
      </w:pPr>
      <w:r w:rsidRPr="00895DEF">
        <w:t>5% disagreed</w:t>
      </w:r>
    </w:p>
    <w:p w14:paraId="4EAA0D82" w14:textId="7DE1B2DB" w:rsidR="000636FD" w:rsidRPr="00895DEF" w:rsidRDefault="000636FD" w:rsidP="00DF2E11">
      <w:pPr>
        <w:pStyle w:val="Bullets"/>
        <w:spacing w:after="0"/>
        <w:ind w:left="1701" w:hanging="283"/>
      </w:pPr>
      <w:r w:rsidRPr="00895DEF">
        <w:t>11% did not answer</w:t>
      </w:r>
    </w:p>
    <w:p w14:paraId="6CD50C7D" w14:textId="77777777" w:rsidR="000636FD" w:rsidRDefault="000636FD" w:rsidP="00231B6B">
      <w:pPr>
        <w:spacing w:after="0"/>
        <w:rPr>
          <w:szCs w:val="28"/>
        </w:rPr>
      </w:pPr>
    </w:p>
    <w:p w14:paraId="444D1690" w14:textId="1A1ED4AE" w:rsidR="000636FD" w:rsidRPr="00895DEF" w:rsidRDefault="000636FD" w:rsidP="00231B6B">
      <w:pPr>
        <w:spacing w:after="0"/>
        <w:rPr>
          <w:szCs w:val="28"/>
        </w:rPr>
      </w:pPr>
      <w:r w:rsidRPr="00895DEF">
        <w:rPr>
          <w:szCs w:val="28"/>
        </w:rPr>
        <w:t>Percentage who agree that Deaf and Disabled people's lives are valued less than non-disabled people's</w:t>
      </w:r>
      <w:r w:rsidR="0001702F">
        <w:rPr>
          <w:szCs w:val="28"/>
        </w:rPr>
        <w:br/>
      </w:r>
    </w:p>
    <w:p w14:paraId="5C677597" w14:textId="098B3B03" w:rsidR="000636FD" w:rsidRPr="00895DEF" w:rsidRDefault="000636FD" w:rsidP="00DF2E11">
      <w:pPr>
        <w:pStyle w:val="Bullets"/>
        <w:spacing w:after="0"/>
        <w:ind w:left="1701" w:hanging="283"/>
      </w:pPr>
      <w:r w:rsidRPr="00895DEF">
        <w:t>89% agreed</w:t>
      </w:r>
    </w:p>
    <w:p w14:paraId="0817158C" w14:textId="2F56D9E5" w:rsidR="000636FD" w:rsidRPr="00895DEF" w:rsidRDefault="000636FD" w:rsidP="00DF2E11">
      <w:pPr>
        <w:pStyle w:val="Bullets"/>
        <w:spacing w:after="0"/>
        <w:ind w:left="1701" w:hanging="283"/>
      </w:pPr>
      <w:r w:rsidRPr="00895DEF">
        <w:t>1% disagreed</w:t>
      </w:r>
    </w:p>
    <w:p w14:paraId="78A260B7" w14:textId="28910BC4" w:rsidR="000636FD" w:rsidRDefault="000636FD" w:rsidP="00DF2E11">
      <w:pPr>
        <w:pStyle w:val="Bullets"/>
        <w:spacing w:after="0"/>
        <w:ind w:left="1701" w:hanging="283"/>
      </w:pPr>
      <w:r w:rsidRPr="00895DEF">
        <w:t>9% did not answer</w:t>
      </w:r>
    </w:p>
    <w:p w14:paraId="086549EA" w14:textId="77777777" w:rsidR="000636FD" w:rsidRDefault="000636FD" w:rsidP="00231B6B">
      <w:pPr>
        <w:spacing w:after="0"/>
        <w:rPr>
          <w:szCs w:val="28"/>
        </w:rPr>
      </w:pPr>
    </w:p>
    <w:p w14:paraId="30D14C2F" w14:textId="2BD1E6A3" w:rsidR="000636FD" w:rsidRDefault="000636FD" w:rsidP="00231B6B">
      <w:pPr>
        <w:spacing w:after="0"/>
        <w:rPr>
          <w:szCs w:val="28"/>
        </w:rPr>
      </w:pPr>
      <w:r>
        <w:rPr>
          <w:szCs w:val="28"/>
        </w:rPr>
        <w:t>Percentage who agree that t</w:t>
      </w:r>
      <w:r w:rsidRPr="00D42162">
        <w:rPr>
          <w:szCs w:val="28"/>
        </w:rPr>
        <w:t xml:space="preserve">he impacts of wider issues on Deaf and </w:t>
      </w:r>
      <w:r w:rsidR="00A6242A">
        <w:rPr>
          <w:szCs w:val="28"/>
        </w:rPr>
        <w:t>D</w:t>
      </w:r>
      <w:r w:rsidRPr="00D42162">
        <w:rPr>
          <w:szCs w:val="28"/>
        </w:rPr>
        <w:t>isabled people get overlooked. For example</w:t>
      </w:r>
      <w:r>
        <w:rPr>
          <w:szCs w:val="28"/>
        </w:rPr>
        <w:t>,</w:t>
      </w:r>
      <w:r w:rsidRPr="00D42162">
        <w:rPr>
          <w:szCs w:val="28"/>
        </w:rPr>
        <w:t xml:space="preserve"> climate change and the treatment of refugees.</w:t>
      </w:r>
      <w:r w:rsidR="0001702F">
        <w:rPr>
          <w:szCs w:val="28"/>
        </w:rPr>
        <w:br/>
      </w:r>
    </w:p>
    <w:p w14:paraId="68646710" w14:textId="2ED2ABC3" w:rsidR="000636FD" w:rsidRDefault="000636FD" w:rsidP="00DF2E11">
      <w:pPr>
        <w:pStyle w:val="Bullets"/>
        <w:spacing w:after="0"/>
        <w:ind w:left="1701" w:hanging="283"/>
      </w:pPr>
      <w:r>
        <w:t>87% agreed</w:t>
      </w:r>
    </w:p>
    <w:p w14:paraId="6ED2AF4B" w14:textId="1E7E1489" w:rsidR="000636FD" w:rsidRDefault="000636FD" w:rsidP="00DF2E11">
      <w:pPr>
        <w:pStyle w:val="Bullets"/>
        <w:spacing w:after="0"/>
        <w:ind w:left="1701" w:hanging="283"/>
      </w:pPr>
      <w:r>
        <w:t>3% disagreed</w:t>
      </w:r>
    </w:p>
    <w:p w14:paraId="239BD253" w14:textId="24C285C0" w:rsidR="000636FD" w:rsidRDefault="000636FD" w:rsidP="00DF2E11">
      <w:pPr>
        <w:pStyle w:val="Bullets"/>
        <w:spacing w:after="0"/>
        <w:ind w:left="1701" w:hanging="283"/>
      </w:pPr>
      <w:r>
        <w:t>10% skipped</w:t>
      </w:r>
    </w:p>
    <w:p w14:paraId="466D2093" w14:textId="6091841E" w:rsidR="00525250" w:rsidRDefault="00525250" w:rsidP="00231B6B">
      <w:pPr>
        <w:spacing w:before="240"/>
        <w:rPr>
          <w:szCs w:val="28"/>
        </w:rPr>
      </w:pPr>
      <w:r w:rsidRPr="00ED3296">
        <w:rPr>
          <w:szCs w:val="28"/>
        </w:rPr>
        <w:t xml:space="preserve">The </w:t>
      </w:r>
      <w:r w:rsidR="00764670">
        <w:rPr>
          <w:szCs w:val="28"/>
        </w:rPr>
        <w:t xml:space="preserve">narrative </w:t>
      </w:r>
      <w:r w:rsidRPr="00ED3296">
        <w:rPr>
          <w:szCs w:val="28"/>
        </w:rPr>
        <w:t xml:space="preserve">survey answers and evidence submissions were then analysed using the same set of coding headings. There is considerable overlap between the issues that are covered in both. The findings were written up and cross-referenced with statistical data, research findings and reports collated through a desk top exercise. </w:t>
      </w:r>
      <w:r w:rsidR="00ED3296">
        <w:rPr>
          <w:szCs w:val="28"/>
        </w:rPr>
        <w:t>Relevant quotes and extracts from personal testimonies</w:t>
      </w:r>
      <w:r w:rsidR="008F4462">
        <w:rPr>
          <w:szCs w:val="28"/>
        </w:rPr>
        <w:t xml:space="preserve"> were then pulled together into Annex </w:t>
      </w:r>
      <w:r w:rsidR="009A7054">
        <w:rPr>
          <w:szCs w:val="28"/>
        </w:rPr>
        <w:t>A</w:t>
      </w:r>
      <w:r w:rsidR="008F4462">
        <w:rPr>
          <w:szCs w:val="28"/>
        </w:rPr>
        <w:t xml:space="preserve"> in recognition of the importance of lived experience within the shadow reporting process and the barriers to education and production of </w:t>
      </w:r>
      <w:r w:rsidR="008F4462">
        <w:rPr>
          <w:szCs w:val="28"/>
        </w:rPr>
        <w:lastRenderedPageBreak/>
        <w:t xml:space="preserve">“robustly evidenced” reports that the vast majority of Deaf and Disabled people face. </w:t>
      </w:r>
    </w:p>
    <w:p w14:paraId="43DB368F" w14:textId="77777777" w:rsidR="00A6242A" w:rsidRPr="00FF5F60" w:rsidRDefault="00A6242A" w:rsidP="00231B6B">
      <w:pPr>
        <w:spacing w:before="240"/>
        <w:rPr>
          <w:szCs w:val="28"/>
        </w:rPr>
      </w:pPr>
      <w:r w:rsidRPr="00FF5F60">
        <w:rPr>
          <w:szCs w:val="28"/>
        </w:rPr>
        <w:t>All evidence is publicly available via the Inclusion London website. Each evidence submission and survey response has an individual reference number. These are used in the footnotes to link points made in the text with the specific submissions and responses where they are raised. See abbreviations above for a guide to the reference numbers.</w:t>
      </w:r>
      <w:r>
        <w:rPr>
          <w:rStyle w:val="FootnoteReference"/>
          <w:szCs w:val="28"/>
        </w:rPr>
        <w:footnoteReference w:id="525"/>
      </w:r>
    </w:p>
    <w:p w14:paraId="741445B1" w14:textId="2E3652E5" w:rsidR="00510870" w:rsidRDefault="00510870" w:rsidP="00231B6B">
      <w:pPr>
        <w:spacing w:before="240"/>
        <w:rPr>
          <w:szCs w:val="28"/>
        </w:rPr>
      </w:pPr>
      <w:r w:rsidRPr="00510870">
        <w:rPr>
          <w:szCs w:val="28"/>
        </w:rPr>
        <w:t>It is important that intersectional issues are taken into account in all policy planning and delivery and that equalities impact assessment consider the full diversity of DDP. There is a dearth of research and disaggregated data in these areas. The lived experience of DDP should nevertheless be listened to. We have therefore extracted examples of intersectional issues from the evidence we received and incorporated within the main body of the report.</w:t>
      </w:r>
    </w:p>
    <w:p w14:paraId="4EC7EDC5" w14:textId="103EF689" w:rsidR="001C1B9D" w:rsidRDefault="001C1B9D" w:rsidP="00231B6B">
      <w:pPr>
        <w:spacing w:before="240"/>
        <w:rPr>
          <w:szCs w:val="28"/>
        </w:rPr>
      </w:pPr>
      <w:r>
        <w:rPr>
          <w:szCs w:val="28"/>
        </w:rPr>
        <w:t xml:space="preserve">A list of suggested questions for the CRDP Committee to send to the UK Government is included within a UK-wide civil society shadow report put together and agreed by the England Steering Group in partnership with the respective Steering Groups for the Scottish and Welsh civil society shadow reports and Disability Action Northern Ireland. </w:t>
      </w:r>
      <w:r w:rsidR="001E49EB" w:rsidRPr="001E49EB">
        <w:rPr>
          <w:szCs w:val="28"/>
        </w:rPr>
        <w:t>This is available on the Inclusion London website.</w:t>
      </w:r>
    </w:p>
    <w:p w14:paraId="35DC8AB8" w14:textId="6D0CC410" w:rsidR="001C1B9D" w:rsidRPr="00ED3296" w:rsidRDefault="001C1B9D" w:rsidP="00231B6B">
      <w:pPr>
        <w:spacing w:before="240"/>
        <w:rPr>
          <w:szCs w:val="28"/>
        </w:rPr>
      </w:pPr>
      <w:r>
        <w:rPr>
          <w:szCs w:val="28"/>
        </w:rPr>
        <w:t>These questions were informed by our analysis of the evidence we received and considered. They reflect what we think it would be most useful for respective UK governments to provide information on in order for the CRDP Committee to get the best understanding of where implementation of the CRDP is at across the UK.</w:t>
      </w:r>
    </w:p>
    <w:p w14:paraId="04BC26DA" w14:textId="08D1DEE3" w:rsidR="00525250" w:rsidRPr="00FF5F60" w:rsidRDefault="00525250" w:rsidP="00231B6B">
      <w:pPr>
        <w:spacing w:before="240"/>
        <w:rPr>
          <w:szCs w:val="28"/>
        </w:rPr>
      </w:pPr>
      <w:r w:rsidRPr="00FF5F60">
        <w:rPr>
          <w:szCs w:val="28"/>
        </w:rPr>
        <w:t xml:space="preserve">The UK is not due before the CRDP Committee until March/April 2023 at the earliest on account of a backlog created by the pandemic. Submission </w:t>
      </w:r>
      <w:r w:rsidRPr="00FF5F60">
        <w:rPr>
          <w:szCs w:val="28"/>
        </w:rPr>
        <w:lastRenderedPageBreak/>
        <w:t>of evidence now will reduce the prospect of being pushed back further. Policy developments are fast moving. We therefore plan to send an update further to this report to the Committee once there is a scheduled date for them to consider the UK and adop</w:t>
      </w:r>
      <w:r w:rsidR="008F4462" w:rsidRPr="00FF5F60">
        <w:rPr>
          <w:szCs w:val="28"/>
        </w:rPr>
        <w:t>t</w:t>
      </w:r>
      <w:r w:rsidRPr="00FF5F60">
        <w:rPr>
          <w:szCs w:val="28"/>
        </w:rPr>
        <w:t xml:space="preserve"> a “List of Issues” (LOI). </w:t>
      </w:r>
    </w:p>
    <w:bookmarkEnd w:id="82"/>
    <w:p w14:paraId="412B1C30" w14:textId="77777777" w:rsidR="00525250" w:rsidRPr="004F2E4C" w:rsidRDefault="00525250" w:rsidP="00E739BB">
      <w:pPr>
        <w:pStyle w:val="ListParagraph"/>
        <w:spacing w:before="240"/>
        <w:ind w:left="426"/>
        <w:rPr>
          <w:szCs w:val="28"/>
        </w:rPr>
      </w:pPr>
    </w:p>
    <w:p w14:paraId="0E6351F5" w14:textId="77777777" w:rsidR="00F8744B" w:rsidRDefault="00D659ED" w:rsidP="00F8744B">
      <w:pPr>
        <w:rPr>
          <w:b/>
          <w:bCs/>
          <w:szCs w:val="28"/>
        </w:rPr>
      </w:pPr>
      <w:r>
        <w:rPr>
          <w:b/>
          <w:bCs/>
          <w:szCs w:val="28"/>
        </w:rPr>
        <w:br w:type="page"/>
      </w:r>
      <w:bookmarkStart w:id="83" w:name="_Toc98504917"/>
    </w:p>
    <w:p w14:paraId="323129F8" w14:textId="2E89C35F" w:rsidR="00E17A25" w:rsidRPr="0001702F" w:rsidRDefault="00C442AC" w:rsidP="0001702F">
      <w:pPr>
        <w:pStyle w:val="Heading2"/>
        <w:rPr>
          <w:b/>
          <w:bCs/>
          <w:szCs w:val="28"/>
        </w:rPr>
      </w:pPr>
      <w:bookmarkStart w:id="84" w:name="_Appendix_3:_List"/>
      <w:bookmarkStart w:id="85" w:name="Appendix3"/>
      <w:bookmarkStart w:id="86" w:name="_Toc98506561"/>
      <w:bookmarkEnd w:id="84"/>
      <w:bookmarkEnd w:id="85"/>
      <w:r>
        <w:rPr>
          <w:shd w:val="clear" w:color="auto" w:fill="FFFFFF"/>
        </w:rPr>
        <w:lastRenderedPageBreak/>
        <w:t>Appendix 3</w:t>
      </w:r>
      <w:bookmarkEnd w:id="83"/>
      <w:r w:rsidR="00186B50">
        <w:rPr>
          <w:shd w:val="clear" w:color="auto" w:fill="FFFFFF"/>
        </w:rPr>
        <w:t>:</w:t>
      </w:r>
      <w:r w:rsidR="00186B50">
        <w:rPr>
          <w:shd w:val="clear" w:color="auto" w:fill="FFFFFF"/>
        </w:rPr>
        <w:br/>
      </w:r>
      <w:r w:rsidRPr="00C442AC">
        <w:rPr>
          <w:lang w:eastAsia="en-GB"/>
        </w:rPr>
        <w:t>List of Disability-Related Judicial Reviews since 2017</w:t>
      </w:r>
      <w:bookmarkEnd w:id="86"/>
    </w:p>
    <w:p w14:paraId="7F6DBA74" w14:textId="737387E4" w:rsidR="00C442AC" w:rsidRPr="00C442AC" w:rsidRDefault="00C442AC" w:rsidP="00DF2E11">
      <w:pPr>
        <w:pStyle w:val="Heading3"/>
        <w:rPr>
          <w:rFonts w:eastAsia="Times New Roman"/>
          <w:lang w:eastAsia="en-GB"/>
        </w:rPr>
      </w:pPr>
      <w:bookmarkStart w:id="87" w:name="_Toc98504918"/>
      <w:r w:rsidRPr="00C442AC">
        <w:rPr>
          <w:rFonts w:eastAsia="Times New Roman"/>
          <w:lang w:eastAsia="en-GB"/>
        </w:rPr>
        <w:t>September 2017</w:t>
      </w:r>
      <w:bookmarkEnd w:id="87"/>
    </w:p>
    <w:p w14:paraId="2F96EC7A" w14:textId="77777777" w:rsidR="00C442AC" w:rsidRPr="00C442AC" w:rsidRDefault="004F0A16" w:rsidP="00E739BB">
      <w:pPr>
        <w:spacing w:after="0"/>
        <w:rPr>
          <w:rFonts w:eastAsia="Times New Roman" w:cstheme="minorHAnsi"/>
          <w:szCs w:val="28"/>
          <w:lang w:eastAsia="en-GB"/>
        </w:rPr>
      </w:pPr>
      <w:hyperlink r:id="rId16" w:history="1">
        <w:r w:rsidR="00C442AC" w:rsidRPr="00C442AC">
          <w:rPr>
            <w:rFonts w:eastAsia="Times New Roman" w:cstheme="minorHAnsi"/>
            <w:i/>
            <w:iCs/>
            <w:color w:val="0563C1" w:themeColor="hyperlink"/>
            <w:szCs w:val="28"/>
            <w:u w:val="single"/>
            <w:lang w:eastAsia="en-GB"/>
          </w:rPr>
          <w:t xml:space="preserve">Davey, R (on the application of) v Oxfordshire County Council &amp; </w:t>
        </w:r>
        <w:proofErr w:type="spellStart"/>
        <w:r w:rsidR="00C442AC" w:rsidRPr="00C442AC">
          <w:rPr>
            <w:rFonts w:eastAsia="Times New Roman" w:cstheme="minorHAnsi"/>
            <w:i/>
            <w:iCs/>
            <w:color w:val="0563C1" w:themeColor="hyperlink"/>
            <w:szCs w:val="28"/>
            <w:u w:val="single"/>
            <w:lang w:eastAsia="en-GB"/>
          </w:rPr>
          <w:t>Ors</w:t>
        </w:r>
        <w:proofErr w:type="spellEnd"/>
        <w:r w:rsidR="00C442AC" w:rsidRPr="00C442AC">
          <w:rPr>
            <w:rFonts w:eastAsia="Times New Roman" w:cstheme="minorHAnsi"/>
            <w:color w:val="0563C1" w:themeColor="hyperlink"/>
            <w:szCs w:val="28"/>
            <w:u w:val="single"/>
            <w:lang w:eastAsia="en-GB"/>
          </w:rPr>
          <w:t xml:space="preserve"> [2017] EWCA </w:t>
        </w:r>
        <w:proofErr w:type="spellStart"/>
        <w:r w:rsidR="00C442AC" w:rsidRPr="00C442AC">
          <w:rPr>
            <w:rFonts w:eastAsia="Times New Roman" w:cstheme="minorHAnsi"/>
            <w:color w:val="0563C1" w:themeColor="hyperlink"/>
            <w:szCs w:val="28"/>
            <w:u w:val="single"/>
            <w:lang w:eastAsia="en-GB"/>
          </w:rPr>
          <w:t>Civ</w:t>
        </w:r>
        <w:proofErr w:type="spellEnd"/>
        <w:r w:rsidR="00C442AC" w:rsidRPr="00C442AC">
          <w:rPr>
            <w:rFonts w:eastAsia="Times New Roman" w:cstheme="minorHAnsi"/>
            <w:color w:val="0563C1" w:themeColor="hyperlink"/>
            <w:szCs w:val="28"/>
            <w:u w:val="single"/>
            <w:lang w:eastAsia="en-GB"/>
          </w:rPr>
          <w:t xml:space="preserve"> 1308 (01 September 2017) (bailii.org)</w:t>
        </w:r>
      </w:hyperlink>
    </w:p>
    <w:p w14:paraId="708BAF30" w14:textId="02603F39" w:rsidR="00C442AC" w:rsidRPr="00C442AC" w:rsidRDefault="00C442AC" w:rsidP="00E739BB">
      <w:pPr>
        <w:spacing w:after="0"/>
        <w:rPr>
          <w:rFonts w:eastAsia="Times New Roman" w:cstheme="minorHAnsi"/>
          <w:szCs w:val="28"/>
          <w:lang w:eastAsia="en-GB"/>
        </w:rPr>
      </w:pPr>
      <w:r w:rsidRPr="00C442AC">
        <w:rPr>
          <w:rFonts w:eastAsia="Times New Roman" w:cstheme="minorHAnsi"/>
          <w:szCs w:val="28"/>
          <w:lang w:eastAsia="en-GB"/>
        </w:rPr>
        <w:t>Court of Appeal clarified that the wellbeing principle in the Care Act is complied with if Local authority can demonstrate that it had considered individual’s wellbeing.  The decision confirmed a significant cut to Luke Davey’s care package.</w:t>
      </w:r>
    </w:p>
    <w:p w14:paraId="39CCAFCF" w14:textId="77777777" w:rsidR="00C442AC" w:rsidRPr="00C442AC" w:rsidRDefault="00C442AC" w:rsidP="00DF2E11">
      <w:pPr>
        <w:pStyle w:val="Heading3"/>
        <w:rPr>
          <w:rFonts w:eastAsia="Times New Roman"/>
          <w:lang w:eastAsia="en-GB"/>
        </w:rPr>
      </w:pPr>
      <w:bookmarkStart w:id="88" w:name="_Toc98504919"/>
      <w:r w:rsidRPr="00C442AC">
        <w:rPr>
          <w:rFonts w:eastAsia="Times New Roman"/>
          <w:lang w:eastAsia="en-GB"/>
        </w:rPr>
        <w:t>December 2017</w:t>
      </w:r>
      <w:bookmarkEnd w:id="88"/>
      <w:r w:rsidRPr="00C442AC">
        <w:rPr>
          <w:rFonts w:eastAsia="Times New Roman"/>
          <w:lang w:eastAsia="en-GB"/>
        </w:rPr>
        <w:t xml:space="preserve"> </w:t>
      </w:r>
    </w:p>
    <w:p w14:paraId="7C817D46" w14:textId="77777777" w:rsidR="00C442AC" w:rsidRPr="00C442AC" w:rsidRDefault="004F0A16" w:rsidP="00E739BB">
      <w:pPr>
        <w:spacing w:after="0"/>
        <w:rPr>
          <w:rFonts w:eastAsia="Times New Roman" w:cstheme="minorHAnsi"/>
          <w:szCs w:val="28"/>
          <w:lang w:eastAsia="en-GB"/>
        </w:rPr>
      </w:pPr>
      <w:hyperlink r:id="rId17" w:history="1">
        <w:r w:rsidR="00C442AC" w:rsidRPr="00C442AC">
          <w:rPr>
            <w:rFonts w:eastAsia="Times New Roman" w:cstheme="minorHAnsi"/>
            <w:i/>
            <w:iCs/>
            <w:color w:val="0563C1" w:themeColor="hyperlink"/>
            <w:szCs w:val="28"/>
            <w:u w:val="single"/>
            <w:lang w:eastAsia="en-GB"/>
          </w:rPr>
          <w:t>RF v Secretary of State for Work And Pensions</w:t>
        </w:r>
        <w:r w:rsidR="00C442AC" w:rsidRPr="00C442AC">
          <w:rPr>
            <w:rFonts w:eastAsia="Times New Roman" w:cstheme="minorHAnsi"/>
            <w:color w:val="0563C1" w:themeColor="hyperlink"/>
            <w:szCs w:val="28"/>
            <w:u w:val="single"/>
            <w:lang w:eastAsia="en-GB"/>
          </w:rPr>
          <w:t xml:space="preserve"> [2017] EWHC 3375 (Admin) (21 December 2017) (bailii.org)</w:t>
        </w:r>
      </w:hyperlink>
    </w:p>
    <w:p w14:paraId="0D608454" w14:textId="41662B13" w:rsidR="00C442AC" w:rsidRPr="00C442AC" w:rsidRDefault="00C442AC" w:rsidP="00E739BB">
      <w:pPr>
        <w:spacing w:after="0"/>
        <w:rPr>
          <w:rFonts w:eastAsia="Times New Roman" w:cstheme="minorHAnsi"/>
          <w:szCs w:val="28"/>
          <w:lang w:eastAsia="en-GB"/>
        </w:rPr>
      </w:pPr>
      <w:r w:rsidRPr="00C442AC">
        <w:rPr>
          <w:rFonts w:eastAsia="Times New Roman" w:cstheme="minorHAnsi"/>
          <w:szCs w:val="28"/>
          <w:lang w:eastAsia="en-GB"/>
        </w:rPr>
        <w:t>High Court finds 2017 Personal Independence Payment (PIP) Regulations restricting eligibility for the mobility component for people who experience psychological distress unlawful.</w:t>
      </w:r>
    </w:p>
    <w:p w14:paraId="4AC14436" w14:textId="77777777" w:rsidR="00C442AC" w:rsidRPr="00C442AC" w:rsidRDefault="00C442AC" w:rsidP="00DF2E11">
      <w:pPr>
        <w:pStyle w:val="Heading3"/>
        <w:rPr>
          <w:rFonts w:eastAsia="Times New Roman"/>
          <w:lang w:eastAsia="en-GB"/>
        </w:rPr>
      </w:pPr>
      <w:bookmarkStart w:id="89" w:name="_Toc98504920"/>
      <w:r w:rsidRPr="00C442AC">
        <w:rPr>
          <w:rFonts w:eastAsia="Times New Roman"/>
          <w:lang w:eastAsia="en-GB"/>
        </w:rPr>
        <w:t>May 2019</w:t>
      </w:r>
      <w:bookmarkEnd w:id="89"/>
      <w:r w:rsidRPr="00C442AC">
        <w:rPr>
          <w:rFonts w:eastAsia="Times New Roman"/>
          <w:lang w:eastAsia="en-GB"/>
        </w:rPr>
        <w:t xml:space="preserve"> </w:t>
      </w:r>
    </w:p>
    <w:p w14:paraId="29A9143B" w14:textId="078F48AE" w:rsidR="00C442AC" w:rsidRPr="00C442AC" w:rsidRDefault="00C442AC" w:rsidP="00E739BB">
      <w:pPr>
        <w:spacing w:after="0"/>
        <w:rPr>
          <w:rFonts w:eastAsia="Times New Roman" w:cstheme="minorHAnsi"/>
          <w:szCs w:val="28"/>
          <w:lang w:eastAsia="en-GB"/>
        </w:rPr>
      </w:pPr>
      <w:r w:rsidRPr="00C442AC">
        <w:rPr>
          <w:rFonts w:eastAsia="Times New Roman" w:cstheme="minorHAnsi"/>
          <w:szCs w:val="28"/>
          <w:lang w:eastAsia="en-GB"/>
        </w:rPr>
        <w:t xml:space="preserve">Successful legal challenge to government’s voting provisions (for blind and partially sighted voters). No judgement available but see: </w:t>
      </w:r>
      <w:r w:rsidRPr="00C442AC">
        <w:rPr>
          <w:rFonts w:eastAsia="Times New Roman" w:cstheme="minorHAnsi"/>
          <w:szCs w:val="28"/>
          <w:lang w:eastAsia="en-GB"/>
        </w:rPr>
        <w:br/>
      </w:r>
      <w:hyperlink r:id="rId18" w:history="1">
        <w:r w:rsidRPr="00C442AC">
          <w:rPr>
            <w:rFonts w:eastAsia="Times New Roman" w:cstheme="minorHAnsi"/>
            <w:color w:val="0563C1" w:themeColor="hyperlink"/>
            <w:szCs w:val="28"/>
            <w:u w:val="single"/>
            <w:lang w:eastAsia="en-GB"/>
          </w:rPr>
          <w:t>https://www.leighday.co.uk/latest-updates/news/2019-news/successful-legal-challenge-to-governments-voting-provisions/</w:t>
        </w:r>
      </w:hyperlink>
    </w:p>
    <w:p w14:paraId="5679E264" w14:textId="77777777" w:rsidR="00C442AC" w:rsidRPr="00C442AC" w:rsidRDefault="00C442AC" w:rsidP="00DF2E11">
      <w:pPr>
        <w:pStyle w:val="Heading3"/>
        <w:rPr>
          <w:rFonts w:eastAsia="Times New Roman"/>
          <w:lang w:eastAsia="en-GB"/>
        </w:rPr>
      </w:pPr>
      <w:bookmarkStart w:id="90" w:name="_Toc98504921"/>
      <w:r w:rsidRPr="00C442AC">
        <w:rPr>
          <w:rFonts w:eastAsia="Times New Roman"/>
          <w:lang w:eastAsia="en-GB"/>
        </w:rPr>
        <w:t>November 2019</w:t>
      </w:r>
      <w:bookmarkEnd w:id="90"/>
    </w:p>
    <w:p w14:paraId="1CEEF0B2" w14:textId="77777777" w:rsidR="00C442AC" w:rsidRPr="00C442AC" w:rsidRDefault="00C442AC" w:rsidP="00E739BB">
      <w:pPr>
        <w:spacing w:after="0"/>
        <w:rPr>
          <w:rFonts w:eastAsia="Times New Roman" w:cstheme="minorHAnsi"/>
          <w:color w:val="0563C1" w:themeColor="hyperlink"/>
          <w:szCs w:val="28"/>
          <w:u w:val="single"/>
          <w:lang w:eastAsia="en-GB"/>
        </w:rPr>
      </w:pPr>
      <w:r w:rsidRPr="00C442AC">
        <w:rPr>
          <w:rFonts w:eastAsia="Times New Roman" w:cstheme="minorHAnsi"/>
          <w:i/>
          <w:iCs/>
          <w:szCs w:val="28"/>
          <w:lang w:eastAsia="en-GB"/>
        </w:rPr>
        <w:fldChar w:fldCharType="begin"/>
      </w:r>
      <w:r w:rsidRPr="00C442AC">
        <w:rPr>
          <w:rFonts w:eastAsia="Times New Roman" w:cstheme="minorHAnsi"/>
          <w:i/>
          <w:iCs/>
          <w:szCs w:val="28"/>
          <w:lang w:eastAsia="en-GB"/>
        </w:rPr>
        <w:instrText xml:space="preserve"> HYPERLINK "https://www.supremecourt.uk/cases/docs/uksc-2018-0224-judgment.pdf" </w:instrText>
      </w:r>
      <w:r w:rsidRPr="00C442AC">
        <w:rPr>
          <w:rFonts w:eastAsia="Times New Roman" w:cstheme="minorHAnsi"/>
          <w:i/>
          <w:iCs/>
          <w:szCs w:val="28"/>
          <w:lang w:eastAsia="en-GB"/>
        </w:rPr>
        <w:fldChar w:fldCharType="separate"/>
      </w:r>
      <w:r w:rsidRPr="00C442AC">
        <w:rPr>
          <w:rFonts w:eastAsia="Times New Roman" w:cstheme="minorHAnsi"/>
          <w:i/>
          <w:iCs/>
          <w:color w:val="0563C1" w:themeColor="hyperlink"/>
          <w:szCs w:val="28"/>
          <w:u w:val="single"/>
          <w:lang w:eastAsia="en-GB"/>
        </w:rPr>
        <w:t xml:space="preserve">RR (Appellant) v Secretary of State for Work and Pensions </w:t>
      </w:r>
      <w:r w:rsidRPr="00C442AC">
        <w:rPr>
          <w:rFonts w:eastAsia="Times New Roman" w:cstheme="minorHAnsi"/>
          <w:color w:val="0563C1" w:themeColor="hyperlink"/>
          <w:szCs w:val="28"/>
          <w:u w:val="single"/>
          <w:lang w:eastAsia="en-GB"/>
        </w:rPr>
        <w:t>[2019] UKSC 52</w:t>
      </w:r>
    </w:p>
    <w:p w14:paraId="7FC0C2DE" w14:textId="1EE3FE59" w:rsidR="00C442AC" w:rsidRPr="00C442AC" w:rsidRDefault="00C442AC" w:rsidP="00E739BB">
      <w:pPr>
        <w:spacing w:after="0"/>
        <w:rPr>
          <w:rFonts w:eastAsia="Times New Roman" w:cstheme="minorHAnsi"/>
          <w:szCs w:val="28"/>
          <w:lang w:eastAsia="en-GB"/>
        </w:rPr>
      </w:pPr>
      <w:r w:rsidRPr="00C442AC">
        <w:rPr>
          <w:rFonts w:eastAsia="Times New Roman" w:cstheme="minorHAnsi"/>
          <w:i/>
          <w:iCs/>
          <w:szCs w:val="28"/>
          <w:lang w:eastAsia="en-GB"/>
        </w:rPr>
        <w:lastRenderedPageBreak/>
        <w:fldChar w:fldCharType="end"/>
      </w:r>
      <w:r w:rsidRPr="00C442AC">
        <w:rPr>
          <w:rFonts w:eastAsia="Times New Roman" w:cstheme="minorHAnsi"/>
          <w:color w:val="121212"/>
          <w:szCs w:val="28"/>
          <w:shd w:val="clear" w:color="auto" w:fill="FFFFFF"/>
          <w:lang w:eastAsia="en-GB"/>
        </w:rPr>
        <w:t>The supreme court has ruled against the UK government’s attempts to force the bedroom tax on 155 partners of people with severe disabilities, in a decision that will hamper ministerial attempts to water down human rights legislation.</w:t>
      </w:r>
    </w:p>
    <w:p w14:paraId="2100B5DD" w14:textId="77777777" w:rsidR="00C442AC" w:rsidRPr="00C442AC" w:rsidRDefault="00C442AC" w:rsidP="00DF2E11">
      <w:pPr>
        <w:pStyle w:val="Heading3"/>
        <w:rPr>
          <w:rFonts w:eastAsia="Times New Roman"/>
          <w:lang w:eastAsia="en-GB"/>
        </w:rPr>
      </w:pPr>
      <w:bookmarkStart w:id="91" w:name="_Toc98504922"/>
      <w:r w:rsidRPr="00C442AC">
        <w:rPr>
          <w:rFonts w:eastAsia="Times New Roman"/>
          <w:lang w:eastAsia="en-GB"/>
        </w:rPr>
        <w:t>June 2020</w:t>
      </w:r>
      <w:bookmarkEnd w:id="91"/>
    </w:p>
    <w:p w14:paraId="334D9276" w14:textId="77777777" w:rsidR="00C442AC" w:rsidRPr="00C442AC" w:rsidRDefault="004F0A16" w:rsidP="00E739BB">
      <w:pPr>
        <w:spacing w:after="0"/>
        <w:rPr>
          <w:rFonts w:eastAsia="Times New Roman" w:cstheme="minorHAnsi"/>
          <w:szCs w:val="28"/>
          <w:lang w:eastAsia="en-GB"/>
        </w:rPr>
      </w:pPr>
      <w:hyperlink r:id="rId19" w:history="1">
        <w:r w:rsidR="00C442AC" w:rsidRPr="00C442AC">
          <w:rPr>
            <w:rFonts w:eastAsia="Times New Roman" w:cstheme="minorHAnsi"/>
            <w:i/>
            <w:iCs/>
            <w:color w:val="0563C1" w:themeColor="hyperlink"/>
            <w:szCs w:val="28"/>
            <w:u w:val="single"/>
            <w:lang w:eastAsia="en-GB"/>
          </w:rPr>
          <w:t>R (Johnson, Woods, Barrett &amp; Stewart) v SSWP </w:t>
        </w:r>
        <w:r w:rsidR="00C442AC" w:rsidRPr="00C442AC">
          <w:rPr>
            <w:rFonts w:eastAsia="Times New Roman" w:cstheme="minorHAnsi"/>
            <w:color w:val="0563C1" w:themeColor="hyperlink"/>
            <w:szCs w:val="28"/>
            <w:u w:val="single"/>
            <w:lang w:eastAsia="en-GB"/>
          </w:rPr>
          <w:t>[2019] EWHC23 (Admin); </w:t>
        </w:r>
        <w:r w:rsidR="00C442AC" w:rsidRPr="00C442AC">
          <w:rPr>
            <w:rFonts w:eastAsia="Times New Roman" w:cstheme="minorHAnsi"/>
            <w:i/>
            <w:iCs/>
            <w:color w:val="0563C1" w:themeColor="hyperlink"/>
            <w:szCs w:val="28"/>
            <w:u w:val="single"/>
            <w:lang w:eastAsia="en-GB"/>
          </w:rPr>
          <w:t>SSWP v Johnson, Woods, Barrett &amp; Stewart</w:t>
        </w:r>
        <w:r w:rsidR="00C442AC" w:rsidRPr="00C442AC">
          <w:rPr>
            <w:rFonts w:eastAsia="Times New Roman" w:cstheme="minorHAnsi"/>
            <w:color w:val="0563C1" w:themeColor="hyperlink"/>
            <w:szCs w:val="28"/>
            <w:u w:val="single"/>
            <w:lang w:eastAsia="en-GB"/>
          </w:rPr>
          <w:t> [2020] EWCA Civ788</w:t>
        </w:r>
      </w:hyperlink>
    </w:p>
    <w:p w14:paraId="787A176A" w14:textId="55486C8E" w:rsidR="00C442AC" w:rsidRPr="00C442AC" w:rsidRDefault="00C442AC" w:rsidP="00E739BB">
      <w:pPr>
        <w:spacing w:after="0"/>
        <w:rPr>
          <w:rFonts w:eastAsia="Times New Roman" w:cstheme="minorHAnsi"/>
          <w:szCs w:val="28"/>
          <w:lang w:eastAsia="en-GB"/>
        </w:rPr>
      </w:pPr>
      <w:r w:rsidRPr="00C442AC">
        <w:rPr>
          <w:rFonts w:eastAsia="Times New Roman" w:cstheme="minorHAnsi"/>
          <w:color w:val="201C3E"/>
          <w:szCs w:val="28"/>
          <w:shd w:val="clear" w:color="auto" w:fill="FFFFFF"/>
          <w:lang w:eastAsia="en-GB"/>
        </w:rPr>
        <w:t>A successful challenge to the rigidity of the monthly assessment period regime under universal credit (UC) and the way that earned income is calculated for certain claimants. Implementing regulations came into force on 16 November 2020</w:t>
      </w:r>
      <w:r w:rsidR="00F566AB">
        <w:rPr>
          <w:rFonts w:eastAsia="Times New Roman" w:cstheme="minorHAnsi"/>
          <w:color w:val="201C3E"/>
          <w:szCs w:val="28"/>
          <w:shd w:val="clear" w:color="auto" w:fill="FFFFFF"/>
          <w:lang w:eastAsia="en-GB"/>
        </w:rPr>
        <w:t xml:space="preserve">. </w:t>
      </w:r>
      <w:hyperlink r:id="rId20" w:history="1">
        <w:r w:rsidRPr="00F566AB">
          <w:rPr>
            <w:rStyle w:val="Hyperlink"/>
            <w:b/>
            <w:bCs/>
          </w:rPr>
          <w:t>View the regulations</w:t>
        </w:r>
        <w:r w:rsidRPr="00F566AB">
          <w:rPr>
            <w:rStyle w:val="Hyperlink"/>
          </w:rPr>
          <w:t>.</w:t>
        </w:r>
      </w:hyperlink>
      <w:r w:rsidRPr="00C442AC">
        <w:rPr>
          <w:rFonts w:eastAsia="Times New Roman" w:cstheme="minorHAnsi"/>
          <w:color w:val="201C3E"/>
          <w:szCs w:val="28"/>
          <w:shd w:val="clear" w:color="auto" w:fill="FFFFFF"/>
          <w:lang w:eastAsia="en-GB"/>
        </w:rPr>
        <w:t> The adjustment or ‘fix’ provided for by these regulations initially operated manually but, as of August 2021, it now operates automatically.</w:t>
      </w:r>
    </w:p>
    <w:p w14:paraId="334BC974" w14:textId="77777777" w:rsidR="00C442AC" w:rsidRPr="00C442AC" w:rsidRDefault="00C442AC" w:rsidP="00DF2E11">
      <w:pPr>
        <w:pStyle w:val="Heading3"/>
        <w:rPr>
          <w:rFonts w:eastAsia="Times New Roman"/>
          <w:lang w:eastAsia="en-GB"/>
        </w:rPr>
      </w:pPr>
      <w:bookmarkStart w:id="92" w:name="_Toc98504925"/>
      <w:r w:rsidRPr="00C442AC">
        <w:rPr>
          <w:rFonts w:eastAsia="Times New Roman"/>
          <w:lang w:eastAsia="en-GB"/>
        </w:rPr>
        <w:t>January 2020</w:t>
      </w:r>
      <w:bookmarkEnd w:id="92"/>
    </w:p>
    <w:p w14:paraId="7D7C2D6C" w14:textId="77777777" w:rsidR="00C442AC" w:rsidRPr="00C442AC" w:rsidRDefault="004F0A16" w:rsidP="00E739BB">
      <w:pPr>
        <w:spacing w:after="0"/>
        <w:rPr>
          <w:rFonts w:eastAsia="Times New Roman" w:cstheme="minorHAnsi"/>
          <w:color w:val="000000" w:themeColor="text1"/>
          <w:szCs w:val="28"/>
          <w:lang w:eastAsia="en-GB"/>
        </w:rPr>
      </w:pPr>
      <w:hyperlink r:id="rId21" w:history="1">
        <w:r w:rsidR="00C442AC" w:rsidRPr="00C442AC">
          <w:rPr>
            <w:rFonts w:eastAsia="Times New Roman" w:cstheme="minorHAnsi"/>
            <w:i/>
            <w:iCs/>
            <w:color w:val="0563C1" w:themeColor="hyperlink"/>
            <w:szCs w:val="28"/>
            <w:u w:val="single"/>
            <w:lang w:eastAsia="en-GB"/>
          </w:rPr>
          <w:t>(TP, AR &amp; SXC) v Secretary of State for Work and Pensions</w:t>
        </w:r>
        <w:r w:rsidR="00C442AC" w:rsidRPr="00C442AC">
          <w:rPr>
            <w:rFonts w:eastAsia="Times New Roman" w:cstheme="minorHAnsi"/>
            <w:color w:val="0563C1" w:themeColor="hyperlink"/>
            <w:szCs w:val="28"/>
            <w:u w:val="single"/>
            <w:lang w:eastAsia="en-GB"/>
          </w:rPr>
          <w:t xml:space="preserve"> [2020] EWCA </w:t>
        </w:r>
        <w:proofErr w:type="spellStart"/>
        <w:r w:rsidR="00C442AC" w:rsidRPr="00C442AC">
          <w:rPr>
            <w:rFonts w:eastAsia="Times New Roman" w:cstheme="minorHAnsi"/>
            <w:color w:val="0563C1" w:themeColor="hyperlink"/>
            <w:szCs w:val="28"/>
            <w:u w:val="single"/>
            <w:lang w:eastAsia="en-GB"/>
          </w:rPr>
          <w:t>Civ</w:t>
        </w:r>
        <w:proofErr w:type="spellEnd"/>
        <w:r w:rsidR="00C442AC" w:rsidRPr="00C442AC">
          <w:rPr>
            <w:rFonts w:eastAsia="Times New Roman" w:cstheme="minorHAnsi"/>
            <w:color w:val="0563C1" w:themeColor="hyperlink"/>
            <w:szCs w:val="28"/>
            <w:u w:val="single"/>
            <w:lang w:eastAsia="en-GB"/>
          </w:rPr>
          <w:t xml:space="preserve"> 37</w:t>
        </w:r>
      </w:hyperlink>
    </w:p>
    <w:p w14:paraId="0CD7EB90" w14:textId="60C8AD42" w:rsidR="00C442AC" w:rsidRPr="00C442AC" w:rsidRDefault="00C442AC" w:rsidP="00E739BB">
      <w:pPr>
        <w:spacing w:after="0"/>
        <w:rPr>
          <w:rFonts w:eastAsia="Times New Roman" w:cstheme="minorHAnsi"/>
          <w:color w:val="000000" w:themeColor="text1"/>
          <w:szCs w:val="28"/>
          <w:lang w:eastAsia="en-GB"/>
        </w:rPr>
      </w:pPr>
      <w:r w:rsidRPr="00C442AC">
        <w:rPr>
          <w:rFonts w:eastAsia="Times New Roman" w:cstheme="minorHAnsi"/>
          <w:color w:val="000000" w:themeColor="text1"/>
          <w:szCs w:val="28"/>
          <w:shd w:val="clear" w:color="auto" w:fill="FFFFFF"/>
          <w:lang w:eastAsia="en-GB"/>
        </w:rPr>
        <w:t>The Court of Appeal upholding the findings of both High Court judges to the effect that the Universal Credit transitional provisions constitute discrimination under ECHR, art 14 (read with A1P1) in respect of “severely disabled persons” i.e. people who had previously been entitled to receive the Severe Disability Premium in Legacy Benefits.</w:t>
      </w:r>
    </w:p>
    <w:p w14:paraId="5274B373" w14:textId="77777777" w:rsidR="00C442AC" w:rsidRPr="00C442AC" w:rsidRDefault="00C442AC" w:rsidP="00DF2E11">
      <w:pPr>
        <w:pStyle w:val="Heading3"/>
        <w:rPr>
          <w:rFonts w:eastAsia="Times New Roman"/>
          <w:lang w:eastAsia="en-GB"/>
        </w:rPr>
      </w:pPr>
      <w:bookmarkStart w:id="93" w:name="_Toc98504926"/>
      <w:r w:rsidRPr="00C442AC">
        <w:rPr>
          <w:rFonts w:eastAsia="Times New Roman"/>
          <w:lang w:eastAsia="en-GB"/>
        </w:rPr>
        <w:t>March 2020</w:t>
      </w:r>
      <w:bookmarkEnd w:id="93"/>
    </w:p>
    <w:p w14:paraId="61C08AFF" w14:textId="0DABA19C" w:rsidR="00C442AC" w:rsidRPr="00C442AC" w:rsidRDefault="004F0A16" w:rsidP="00E739BB">
      <w:pPr>
        <w:spacing w:after="0"/>
        <w:rPr>
          <w:rFonts w:eastAsia="Times New Roman" w:cstheme="minorHAnsi"/>
          <w:szCs w:val="28"/>
          <w:lang w:eastAsia="en-GB"/>
        </w:rPr>
      </w:pPr>
      <w:hyperlink r:id="rId22" w:history="1">
        <w:r w:rsidR="00C442AC" w:rsidRPr="00C442AC">
          <w:rPr>
            <w:rFonts w:eastAsia="Times New Roman" w:cstheme="minorHAnsi"/>
            <w:color w:val="0563C1" w:themeColor="hyperlink"/>
            <w:szCs w:val="28"/>
            <w:u w:val="single"/>
            <w:lang w:eastAsia="en-GB"/>
          </w:rPr>
          <w:t>Nice Guidance on Access to Critical Care is amended after threat of JR</w:t>
        </w:r>
      </w:hyperlink>
    </w:p>
    <w:p w14:paraId="32A13FD0" w14:textId="77777777" w:rsidR="00C442AC" w:rsidRPr="00C442AC" w:rsidRDefault="00C442AC" w:rsidP="00DF2E11">
      <w:pPr>
        <w:pStyle w:val="Heading3"/>
        <w:rPr>
          <w:rFonts w:eastAsia="Times New Roman"/>
          <w:lang w:eastAsia="en-GB"/>
        </w:rPr>
      </w:pPr>
      <w:bookmarkStart w:id="94" w:name="_Toc98504927"/>
      <w:r w:rsidRPr="00C442AC">
        <w:rPr>
          <w:rFonts w:eastAsia="Times New Roman"/>
          <w:lang w:eastAsia="en-GB"/>
        </w:rPr>
        <w:lastRenderedPageBreak/>
        <w:t>March 2020</w:t>
      </w:r>
      <w:bookmarkEnd w:id="94"/>
    </w:p>
    <w:p w14:paraId="6F19ECF8" w14:textId="77777777" w:rsidR="00C442AC" w:rsidRPr="00C442AC" w:rsidRDefault="00C442AC" w:rsidP="00E739BB">
      <w:pPr>
        <w:spacing w:after="390"/>
        <w:rPr>
          <w:rFonts w:eastAsia="Times New Roman" w:cstheme="minorHAnsi"/>
          <w:color w:val="222222"/>
          <w:szCs w:val="28"/>
          <w:lang w:eastAsia="en-GB"/>
        </w:rPr>
      </w:pPr>
      <w:r w:rsidRPr="00C442AC">
        <w:rPr>
          <w:rFonts w:eastAsia="Times New Roman" w:cstheme="minorHAnsi"/>
          <w:color w:val="222222"/>
          <w:szCs w:val="28"/>
          <w:lang w:eastAsia="en-GB"/>
        </w:rPr>
        <w:t xml:space="preserve">NHS England has agreed to change its policy on hospital visitors so that it no longer discriminates against disabled people, </w:t>
      </w:r>
      <w:hyperlink r:id="rId23" w:history="1">
        <w:r w:rsidRPr="00C442AC">
          <w:rPr>
            <w:rFonts w:eastAsia="Times New Roman" w:cstheme="minorHAnsi"/>
            <w:color w:val="0563C1" w:themeColor="hyperlink"/>
            <w:szCs w:val="28"/>
            <w:u w:val="single"/>
            <w:lang w:eastAsia="en-GB"/>
          </w:rPr>
          <w:t>in the face of at least two legal challenges</w:t>
        </w:r>
      </w:hyperlink>
      <w:r w:rsidRPr="00C442AC">
        <w:rPr>
          <w:rFonts w:eastAsia="Times New Roman" w:cstheme="minorHAnsi"/>
          <w:color w:val="222222"/>
          <w:szCs w:val="28"/>
          <w:lang w:eastAsia="en-GB"/>
        </w:rPr>
        <w:t xml:space="preserve">.  </w:t>
      </w:r>
    </w:p>
    <w:p w14:paraId="50A4E133" w14:textId="77777777" w:rsidR="00C442AC" w:rsidRPr="00C442AC" w:rsidRDefault="00C442AC" w:rsidP="00DF2E11">
      <w:pPr>
        <w:pStyle w:val="Heading3"/>
        <w:rPr>
          <w:rFonts w:eastAsia="Times New Roman"/>
          <w:lang w:eastAsia="en-GB"/>
        </w:rPr>
      </w:pPr>
      <w:bookmarkStart w:id="95" w:name="_Toc98504928"/>
      <w:r w:rsidRPr="00C442AC">
        <w:rPr>
          <w:rFonts w:eastAsia="Times New Roman"/>
          <w:lang w:eastAsia="en-GB"/>
        </w:rPr>
        <w:t>January 2020</w:t>
      </w:r>
      <w:bookmarkEnd w:id="95"/>
    </w:p>
    <w:p w14:paraId="60604C26" w14:textId="77777777" w:rsidR="00C442AC" w:rsidRPr="00C442AC" w:rsidRDefault="004F0A16" w:rsidP="00E739BB">
      <w:pPr>
        <w:spacing w:after="0"/>
        <w:rPr>
          <w:rFonts w:eastAsia="Times New Roman" w:cstheme="minorHAnsi"/>
          <w:szCs w:val="28"/>
          <w:lang w:eastAsia="en-GB"/>
        </w:rPr>
      </w:pPr>
      <w:hyperlink r:id="rId24" w:history="1">
        <w:r w:rsidR="00C442AC" w:rsidRPr="00C442AC">
          <w:rPr>
            <w:rFonts w:eastAsia="Times New Roman" w:cstheme="minorHAnsi"/>
            <w:i/>
            <w:iCs/>
            <w:color w:val="0563C1" w:themeColor="hyperlink"/>
            <w:szCs w:val="28"/>
            <w:u w:val="single"/>
            <w:lang w:eastAsia="en-GB"/>
          </w:rPr>
          <w:t xml:space="preserve">R (TD &amp; </w:t>
        </w:r>
        <w:proofErr w:type="spellStart"/>
        <w:r w:rsidR="00C442AC" w:rsidRPr="00C442AC">
          <w:rPr>
            <w:rFonts w:eastAsia="Times New Roman" w:cstheme="minorHAnsi"/>
            <w:i/>
            <w:iCs/>
            <w:color w:val="0563C1" w:themeColor="hyperlink"/>
            <w:szCs w:val="28"/>
            <w:u w:val="single"/>
            <w:lang w:eastAsia="en-GB"/>
          </w:rPr>
          <w:t>Ors</w:t>
        </w:r>
        <w:proofErr w:type="spellEnd"/>
        <w:r w:rsidR="00C442AC" w:rsidRPr="00C442AC">
          <w:rPr>
            <w:rFonts w:eastAsia="Times New Roman" w:cstheme="minorHAnsi"/>
            <w:i/>
            <w:iCs/>
            <w:color w:val="0563C1" w:themeColor="hyperlink"/>
            <w:szCs w:val="28"/>
            <w:u w:val="single"/>
            <w:lang w:eastAsia="en-GB"/>
          </w:rPr>
          <w:t>) v Secretary of State for Work and Pensions </w:t>
        </w:r>
        <w:r w:rsidR="00C442AC" w:rsidRPr="00C442AC">
          <w:rPr>
            <w:rFonts w:eastAsia="Times New Roman" w:cstheme="minorHAnsi"/>
            <w:color w:val="0563C1" w:themeColor="hyperlink"/>
            <w:szCs w:val="28"/>
            <w:u w:val="single"/>
            <w:lang w:eastAsia="en-GB"/>
          </w:rPr>
          <w:t xml:space="preserve">[2020] EWCA </w:t>
        </w:r>
        <w:proofErr w:type="spellStart"/>
        <w:r w:rsidR="00C442AC" w:rsidRPr="00C442AC">
          <w:rPr>
            <w:rFonts w:eastAsia="Times New Roman" w:cstheme="minorHAnsi"/>
            <w:color w:val="0563C1" w:themeColor="hyperlink"/>
            <w:szCs w:val="28"/>
            <w:u w:val="single"/>
            <w:lang w:eastAsia="en-GB"/>
          </w:rPr>
          <w:t>Civ</w:t>
        </w:r>
        <w:proofErr w:type="spellEnd"/>
        <w:r w:rsidR="00C442AC" w:rsidRPr="00C442AC">
          <w:rPr>
            <w:rFonts w:eastAsia="Times New Roman" w:cstheme="minorHAnsi"/>
            <w:color w:val="0563C1" w:themeColor="hyperlink"/>
            <w:szCs w:val="28"/>
            <w:u w:val="single"/>
            <w:lang w:eastAsia="en-GB"/>
          </w:rPr>
          <w:t xml:space="preserve"> 618;</w:t>
        </w:r>
        <w:r w:rsidR="00C442AC" w:rsidRPr="00C442AC">
          <w:rPr>
            <w:rFonts w:eastAsia="Times New Roman" w:cstheme="minorHAnsi"/>
            <w:b/>
            <w:bCs/>
            <w:color w:val="0563C1" w:themeColor="hyperlink"/>
            <w:szCs w:val="28"/>
            <w:u w:val="single"/>
            <w:lang w:eastAsia="en-GB"/>
          </w:rPr>
          <w:t> </w:t>
        </w:r>
        <w:r w:rsidR="00C442AC" w:rsidRPr="00C442AC">
          <w:rPr>
            <w:rFonts w:eastAsia="Times New Roman" w:cstheme="minorHAnsi"/>
            <w:i/>
            <w:iCs/>
            <w:color w:val="0563C1" w:themeColor="hyperlink"/>
            <w:szCs w:val="28"/>
            <w:u w:val="single"/>
            <w:lang w:eastAsia="en-GB"/>
          </w:rPr>
          <w:t xml:space="preserve">R (TD &amp; </w:t>
        </w:r>
        <w:proofErr w:type="spellStart"/>
        <w:r w:rsidR="00C442AC" w:rsidRPr="00C442AC">
          <w:rPr>
            <w:rFonts w:eastAsia="Times New Roman" w:cstheme="minorHAnsi"/>
            <w:i/>
            <w:iCs/>
            <w:color w:val="0563C1" w:themeColor="hyperlink"/>
            <w:szCs w:val="28"/>
            <w:u w:val="single"/>
            <w:lang w:eastAsia="en-GB"/>
          </w:rPr>
          <w:t>Ors</w:t>
        </w:r>
        <w:proofErr w:type="spellEnd"/>
        <w:r w:rsidR="00C442AC" w:rsidRPr="00C442AC">
          <w:rPr>
            <w:rFonts w:eastAsia="Times New Roman" w:cstheme="minorHAnsi"/>
            <w:i/>
            <w:iCs/>
            <w:color w:val="0563C1" w:themeColor="hyperlink"/>
            <w:szCs w:val="28"/>
            <w:u w:val="single"/>
            <w:lang w:eastAsia="en-GB"/>
          </w:rPr>
          <w:t>) v Secretary of State for Work and Pensions [2019] EWHC 462 (Admin)</w:t>
        </w:r>
      </w:hyperlink>
    </w:p>
    <w:p w14:paraId="2BF63730" w14:textId="0C638EFA" w:rsidR="00C442AC" w:rsidRPr="00FB0911" w:rsidRDefault="00C442AC" w:rsidP="00E739BB">
      <w:pPr>
        <w:spacing w:after="0"/>
        <w:rPr>
          <w:rFonts w:eastAsia="Times New Roman" w:cstheme="minorHAnsi"/>
          <w:color w:val="201C3E"/>
          <w:szCs w:val="28"/>
          <w:shd w:val="clear" w:color="auto" w:fill="FFFFFF"/>
          <w:lang w:eastAsia="en-GB"/>
        </w:rPr>
      </w:pPr>
      <w:r w:rsidRPr="00C442AC">
        <w:rPr>
          <w:rFonts w:eastAsia="Times New Roman" w:cstheme="minorHAnsi"/>
          <w:color w:val="201C3E"/>
          <w:szCs w:val="28"/>
          <w:shd w:val="clear" w:color="auto" w:fill="FFFFFF"/>
          <w:lang w:eastAsia="en-GB"/>
        </w:rPr>
        <w:t>The Court of Appeal found that legacy benefits claimants who had to claim UC after wrong decisions that they are fit to work were discriminated against.  Those claimants lost transitional protection and income even after decisions wrongly finding them fit for work were overturned.</w:t>
      </w:r>
    </w:p>
    <w:p w14:paraId="1FB001DC" w14:textId="77777777" w:rsidR="00C442AC" w:rsidRPr="00C442AC" w:rsidRDefault="00C442AC" w:rsidP="00DF2E11">
      <w:pPr>
        <w:pStyle w:val="Heading3"/>
        <w:rPr>
          <w:rFonts w:eastAsia="Times New Roman"/>
          <w:lang w:eastAsia="en-GB"/>
        </w:rPr>
      </w:pPr>
      <w:bookmarkStart w:id="96" w:name="_Toc98504929"/>
      <w:r w:rsidRPr="00C442AC">
        <w:rPr>
          <w:rFonts w:eastAsia="Times New Roman"/>
          <w:lang w:eastAsia="en-GB"/>
        </w:rPr>
        <w:t>July 2020</w:t>
      </w:r>
      <w:bookmarkEnd w:id="96"/>
    </w:p>
    <w:p w14:paraId="3E440B18" w14:textId="77777777" w:rsidR="00C442AC" w:rsidRPr="00C442AC" w:rsidRDefault="004F0A16" w:rsidP="00E739BB">
      <w:pPr>
        <w:spacing w:after="0"/>
        <w:rPr>
          <w:rFonts w:eastAsia="Times New Roman" w:cstheme="minorHAnsi"/>
          <w:szCs w:val="28"/>
          <w:lang w:eastAsia="en-GB"/>
        </w:rPr>
      </w:pPr>
      <w:hyperlink r:id="rId25" w:history="1">
        <w:r w:rsidR="00C442AC" w:rsidRPr="00C442AC">
          <w:rPr>
            <w:rFonts w:eastAsia="Times New Roman" w:cstheme="minorHAnsi"/>
            <w:i/>
            <w:iCs/>
            <w:color w:val="0563C1" w:themeColor="hyperlink"/>
            <w:szCs w:val="28"/>
            <w:u w:val="single"/>
            <w:lang w:eastAsia="en-GB"/>
          </w:rPr>
          <w:t>Connor, R (On the Application Of) v The Secretary of State for Work And Pensions</w:t>
        </w:r>
        <w:r w:rsidR="00C442AC" w:rsidRPr="00C442AC">
          <w:rPr>
            <w:rFonts w:eastAsia="Times New Roman" w:cstheme="minorHAnsi"/>
            <w:color w:val="0563C1" w:themeColor="hyperlink"/>
            <w:szCs w:val="28"/>
            <w:u w:val="single"/>
            <w:lang w:eastAsia="en-GB"/>
          </w:rPr>
          <w:t xml:space="preserve"> [2020] EWHC 1999 (Admin) (24 July 2020) </w:t>
        </w:r>
      </w:hyperlink>
    </w:p>
    <w:p w14:paraId="37735706" w14:textId="6270D43A" w:rsidR="00C442AC" w:rsidRPr="00C442AC" w:rsidRDefault="00C442AC" w:rsidP="00E739BB">
      <w:pPr>
        <w:spacing w:after="0"/>
        <w:rPr>
          <w:rFonts w:eastAsia="Times New Roman" w:cstheme="minorHAnsi"/>
          <w:szCs w:val="28"/>
          <w:lang w:eastAsia="en-GB"/>
        </w:rPr>
      </w:pPr>
      <w:r w:rsidRPr="00C442AC">
        <w:rPr>
          <w:rFonts w:eastAsia="Times New Roman" w:cstheme="minorHAnsi"/>
          <w:szCs w:val="28"/>
          <w:lang w:eastAsia="en-GB"/>
        </w:rPr>
        <w:t>High Court rules mandatory reconsideration requirement for ESA appeals unlawful.</w:t>
      </w:r>
    </w:p>
    <w:p w14:paraId="5EDE5CE4" w14:textId="77777777" w:rsidR="00C442AC" w:rsidRPr="00C442AC" w:rsidRDefault="00C442AC" w:rsidP="00DF2E11">
      <w:pPr>
        <w:pStyle w:val="Heading3"/>
        <w:rPr>
          <w:rFonts w:eastAsia="Times New Roman"/>
          <w:lang w:eastAsia="en-GB"/>
        </w:rPr>
      </w:pPr>
      <w:bookmarkStart w:id="97" w:name="_Toc98504930"/>
      <w:r w:rsidRPr="00C442AC">
        <w:rPr>
          <w:rFonts w:eastAsia="Times New Roman"/>
          <w:lang w:eastAsia="en-GB"/>
        </w:rPr>
        <w:t>July 2020</w:t>
      </w:r>
      <w:bookmarkEnd w:id="97"/>
    </w:p>
    <w:p w14:paraId="139E7D42" w14:textId="77777777" w:rsidR="00C442AC" w:rsidRPr="00C442AC" w:rsidRDefault="004F0A16" w:rsidP="00E739BB">
      <w:pPr>
        <w:spacing w:after="0"/>
        <w:rPr>
          <w:rFonts w:eastAsia="Times New Roman" w:cstheme="minorHAnsi"/>
          <w:szCs w:val="28"/>
          <w:lang w:eastAsia="en-GB"/>
        </w:rPr>
      </w:pPr>
      <w:hyperlink r:id="rId26" w:history="1">
        <w:r w:rsidR="00C442AC" w:rsidRPr="00C442AC">
          <w:rPr>
            <w:rFonts w:eastAsia="Times New Roman" w:cstheme="minorHAnsi"/>
            <w:color w:val="0563C1" w:themeColor="hyperlink"/>
            <w:szCs w:val="28"/>
            <w:u w:val="single"/>
            <w:lang w:eastAsia="en-GB"/>
          </w:rPr>
          <w:t>No: [2020] NIQB 53</w:t>
        </w:r>
      </w:hyperlink>
      <w:r w:rsidR="00C442AC" w:rsidRPr="00C442AC">
        <w:rPr>
          <w:rFonts w:eastAsia="Times New Roman" w:cstheme="minorHAnsi"/>
          <w:szCs w:val="28"/>
          <w:lang w:eastAsia="en-GB"/>
        </w:rPr>
        <w:t xml:space="preserve"> </w:t>
      </w:r>
    </w:p>
    <w:p w14:paraId="42380C11" w14:textId="77777777" w:rsidR="00C442AC" w:rsidRPr="00C442AC" w:rsidRDefault="00C442AC" w:rsidP="00E739BB">
      <w:pPr>
        <w:spacing w:after="0"/>
        <w:rPr>
          <w:rFonts w:eastAsia="Times New Roman" w:cstheme="minorHAnsi"/>
          <w:color w:val="000000" w:themeColor="text1"/>
          <w:szCs w:val="28"/>
          <w:lang w:eastAsia="en-GB"/>
        </w:rPr>
      </w:pPr>
      <w:r w:rsidRPr="00C442AC">
        <w:rPr>
          <w:rFonts w:eastAsia="Times New Roman" w:cstheme="minorHAnsi"/>
          <w:color w:val="000000" w:themeColor="text1"/>
          <w:szCs w:val="28"/>
          <w:lang w:eastAsia="en-GB"/>
        </w:rPr>
        <w:t>High Court holds that special rules for terminal illness, in case where claimant cannot demonstrate their death can be reasonably expected within six months, are ‘discriminatory' and 'manifestly without reasonable foundation'</w:t>
      </w:r>
    </w:p>
    <w:p w14:paraId="0B50A902" w14:textId="1D8A92E2" w:rsidR="00C442AC" w:rsidRPr="00C442AC" w:rsidRDefault="00C442AC" w:rsidP="00E739BB">
      <w:pPr>
        <w:spacing w:after="0"/>
        <w:rPr>
          <w:rFonts w:eastAsia="Times New Roman" w:cstheme="minorHAnsi"/>
          <w:szCs w:val="28"/>
          <w:lang w:eastAsia="en-GB"/>
        </w:rPr>
      </w:pPr>
      <w:r w:rsidRPr="00C442AC">
        <w:rPr>
          <w:rFonts w:eastAsia="Times New Roman" w:cstheme="minorHAnsi"/>
          <w:color w:val="000000" w:themeColor="text1"/>
          <w:szCs w:val="28"/>
          <w:lang w:eastAsia="en-GB"/>
        </w:rPr>
        <w:t xml:space="preserve">This decision was overturned by the Norther Ireland Court of Appeal, but led to </w:t>
      </w:r>
      <w:hyperlink r:id="rId27" w:history="1">
        <w:r w:rsidRPr="00C442AC">
          <w:rPr>
            <w:rFonts w:eastAsia="Times New Roman" w:cstheme="minorHAnsi"/>
            <w:color w:val="0563C1" w:themeColor="hyperlink"/>
            <w:szCs w:val="28"/>
            <w:u w:val="single"/>
            <w:lang w:eastAsia="en-GB"/>
          </w:rPr>
          <w:t>Westminster Government’s commitment to change terminal illness rules</w:t>
        </w:r>
      </w:hyperlink>
      <w:r w:rsidRPr="00C442AC">
        <w:rPr>
          <w:rFonts w:eastAsia="Times New Roman" w:cstheme="minorHAnsi"/>
          <w:color w:val="000000" w:themeColor="text1"/>
          <w:szCs w:val="28"/>
          <w:lang w:eastAsia="en-GB"/>
        </w:rPr>
        <w:t>.</w:t>
      </w:r>
    </w:p>
    <w:p w14:paraId="30706D4C" w14:textId="77777777" w:rsidR="00C442AC" w:rsidRPr="00C442AC" w:rsidRDefault="00C442AC" w:rsidP="00DF2E11">
      <w:pPr>
        <w:pStyle w:val="Heading3"/>
        <w:rPr>
          <w:rFonts w:eastAsia="Times New Roman"/>
          <w:lang w:eastAsia="en-GB"/>
        </w:rPr>
      </w:pPr>
      <w:bookmarkStart w:id="98" w:name="_Toc98504931"/>
      <w:r w:rsidRPr="00C442AC">
        <w:rPr>
          <w:rFonts w:eastAsia="Times New Roman"/>
          <w:lang w:eastAsia="en-GB"/>
        </w:rPr>
        <w:lastRenderedPageBreak/>
        <w:t>July 2021</w:t>
      </w:r>
      <w:bookmarkEnd w:id="98"/>
    </w:p>
    <w:p w14:paraId="641DBF98" w14:textId="77777777" w:rsidR="00C442AC" w:rsidRPr="00C442AC" w:rsidRDefault="004F0A16" w:rsidP="00E739BB">
      <w:pPr>
        <w:spacing w:after="0"/>
        <w:rPr>
          <w:rFonts w:eastAsia="Times New Roman" w:cstheme="minorHAnsi"/>
          <w:szCs w:val="28"/>
          <w:lang w:eastAsia="en-GB"/>
        </w:rPr>
      </w:pPr>
      <w:hyperlink r:id="rId28" w:history="1">
        <w:r w:rsidR="00C442AC" w:rsidRPr="00C442AC">
          <w:rPr>
            <w:rFonts w:eastAsia="Times New Roman" w:cstheme="minorHAnsi"/>
            <w:i/>
            <w:iCs/>
            <w:color w:val="0563C1" w:themeColor="hyperlink"/>
            <w:szCs w:val="28"/>
            <w:u w:val="single"/>
            <w:lang w:eastAsia="en-GB"/>
          </w:rPr>
          <w:t>R (on the application of Katherine Rowley) -v- Minister for the Cabinet Office</w:t>
        </w:r>
        <w:r w:rsidR="00C442AC" w:rsidRPr="00C442AC">
          <w:rPr>
            <w:rFonts w:eastAsia="Times New Roman" w:cstheme="minorHAnsi"/>
            <w:color w:val="0563C1" w:themeColor="hyperlink"/>
            <w:szCs w:val="28"/>
            <w:u w:val="single"/>
            <w:lang w:eastAsia="en-GB"/>
          </w:rPr>
          <w:t xml:space="preserve"> [2021] EWHC 2108 (Admin) </w:t>
        </w:r>
      </w:hyperlink>
    </w:p>
    <w:p w14:paraId="557DAB83" w14:textId="6831AB76" w:rsidR="00C442AC" w:rsidRPr="00C442AC" w:rsidRDefault="00C442AC" w:rsidP="00E739BB">
      <w:pPr>
        <w:spacing w:after="0"/>
        <w:rPr>
          <w:rFonts w:eastAsia="Times New Roman" w:cstheme="minorHAnsi"/>
          <w:szCs w:val="28"/>
          <w:lang w:eastAsia="en-GB"/>
        </w:rPr>
      </w:pPr>
      <w:r w:rsidRPr="00C442AC">
        <w:rPr>
          <w:rFonts w:eastAsia="Times New Roman" w:cstheme="minorHAnsi"/>
          <w:szCs w:val="28"/>
          <w:lang w:eastAsia="en-GB"/>
        </w:rPr>
        <w:t>Failure to provide BSL Interpreters for Data Briefings was Unlawful Discrimination</w:t>
      </w:r>
    </w:p>
    <w:p w14:paraId="5129B600" w14:textId="77777777" w:rsidR="00C442AC" w:rsidRPr="00C442AC" w:rsidRDefault="00C442AC" w:rsidP="00DF2E11">
      <w:pPr>
        <w:pStyle w:val="Heading3"/>
        <w:rPr>
          <w:rFonts w:eastAsia="Times New Roman"/>
          <w:lang w:eastAsia="en-GB"/>
        </w:rPr>
      </w:pPr>
      <w:bookmarkStart w:id="99" w:name="_Toc98504932"/>
      <w:r w:rsidRPr="00C442AC">
        <w:rPr>
          <w:rFonts w:eastAsia="Times New Roman"/>
          <w:lang w:eastAsia="en-GB"/>
        </w:rPr>
        <w:t>November 2020</w:t>
      </w:r>
      <w:bookmarkEnd w:id="99"/>
    </w:p>
    <w:p w14:paraId="4838100A" w14:textId="77777777" w:rsidR="00C442AC" w:rsidRPr="00C442AC" w:rsidRDefault="004F0A16" w:rsidP="00E739BB">
      <w:pPr>
        <w:spacing w:after="0"/>
        <w:rPr>
          <w:rFonts w:eastAsia="Times New Roman" w:cstheme="minorHAnsi"/>
          <w:color w:val="4472C4" w:themeColor="accent1"/>
          <w:szCs w:val="28"/>
          <w:lang w:eastAsia="en-GB"/>
        </w:rPr>
      </w:pPr>
      <w:hyperlink r:id="rId29" w:tgtFrame="_blank" w:history="1">
        <w:r w:rsidR="00C442AC" w:rsidRPr="00C442AC">
          <w:rPr>
            <w:rFonts w:eastAsia="Times New Roman" w:cstheme="minorHAnsi"/>
            <w:i/>
            <w:iCs/>
            <w:color w:val="4472C4" w:themeColor="accent1"/>
            <w:szCs w:val="28"/>
            <w:u w:val="single"/>
            <w:lang w:eastAsia="en-GB"/>
          </w:rPr>
          <w:t>R (</w:t>
        </w:r>
        <w:proofErr w:type="spellStart"/>
        <w:r w:rsidR="00C442AC" w:rsidRPr="00C442AC">
          <w:rPr>
            <w:rFonts w:eastAsia="Times New Roman" w:cstheme="minorHAnsi"/>
            <w:i/>
            <w:iCs/>
            <w:color w:val="4472C4" w:themeColor="accent1"/>
            <w:szCs w:val="28"/>
            <w:u w:val="single"/>
            <w:lang w:eastAsia="en-GB"/>
          </w:rPr>
          <w:t>Kauser</w:t>
        </w:r>
        <w:proofErr w:type="spellEnd"/>
        <w:r w:rsidR="00C442AC" w:rsidRPr="00C442AC">
          <w:rPr>
            <w:rFonts w:eastAsia="Times New Roman" w:cstheme="minorHAnsi"/>
            <w:i/>
            <w:iCs/>
            <w:color w:val="4472C4" w:themeColor="accent1"/>
            <w:szCs w:val="28"/>
            <w:u w:val="single"/>
            <w:lang w:eastAsia="en-GB"/>
          </w:rPr>
          <w:t xml:space="preserve"> and JL) v Secretary of State for Work and Pensions</w:t>
        </w:r>
        <w:r w:rsidR="00C442AC" w:rsidRPr="00C442AC">
          <w:rPr>
            <w:rFonts w:eastAsia="Times New Roman" w:cstheme="minorHAnsi"/>
            <w:color w:val="4472C4" w:themeColor="accent1"/>
            <w:szCs w:val="28"/>
            <w:u w:val="single"/>
            <w:lang w:eastAsia="en-GB"/>
          </w:rPr>
          <w:t> CO/987/2020</w:t>
        </w:r>
      </w:hyperlink>
    </w:p>
    <w:p w14:paraId="29CC3B02" w14:textId="77777777" w:rsidR="00C442AC" w:rsidRPr="00C442AC" w:rsidRDefault="00C442AC" w:rsidP="00E739BB">
      <w:pPr>
        <w:spacing w:after="0"/>
        <w:rPr>
          <w:rFonts w:eastAsia="Times New Roman" w:cstheme="minorHAnsi"/>
          <w:b/>
          <w:bCs/>
          <w:szCs w:val="28"/>
          <w:lang w:eastAsia="en-GB"/>
        </w:rPr>
      </w:pPr>
    </w:p>
    <w:p w14:paraId="7C633C4A" w14:textId="548BB305" w:rsidR="00C442AC" w:rsidRPr="00C442AC" w:rsidRDefault="00C442AC" w:rsidP="00E739BB">
      <w:pPr>
        <w:spacing w:after="0"/>
        <w:rPr>
          <w:rFonts w:eastAsia="Times New Roman" w:cstheme="minorHAnsi"/>
          <w:szCs w:val="28"/>
          <w:lang w:eastAsia="en-GB"/>
        </w:rPr>
      </w:pPr>
      <w:r w:rsidRPr="00C442AC">
        <w:rPr>
          <w:rFonts w:eastAsia="Times New Roman" w:cstheme="minorHAnsi"/>
          <w:szCs w:val="28"/>
          <w:lang w:eastAsia="en-GB"/>
        </w:rPr>
        <w:t xml:space="preserve">High Court finds DWP unlawfully refused UC to disabled students for 7 years, </w:t>
      </w:r>
      <w:hyperlink r:id="rId30" w:history="1">
        <w:r w:rsidRPr="00C442AC">
          <w:rPr>
            <w:rFonts w:eastAsia="Times New Roman" w:cstheme="minorHAnsi"/>
            <w:color w:val="0563C1" w:themeColor="hyperlink"/>
            <w:szCs w:val="28"/>
            <w:u w:val="single"/>
            <w:lang w:eastAsia="en-GB"/>
          </w:rPr>
          <w:t>only for Secretary of State to change the law to bar them again</w:t>
        </w:r>
      </w:hyperlink>
    </w:p>
    <w:p w14:paraId="199B325A" w14:textId="77777777" w:rsidR="003A078D" w:rsidRPr="00C442AC" w:rsidRDefault="003A078D" w:rsidP="003A078D">
      <w:pPr>
        <w:pStyle w:val="Heading3"/>
        <w:rPr>
          <w:rFonts w:eastAsia="Times New Roman"/>
          <w:lang w:eastAsia="en-GB"/>
        </w:rPr>
      </w:pPr>
      <w:bookmarkStart w:id="100" w:name="_Toc98504923"/>
      <w:bookmarkStart w:id="101" w:name="_Toc98504933"/>
      <w:r w:rsidRPr="00C442AC">
        <w:rPr>
          <w:rFonts w:eastAsia="Times New Roman"/>
          <w:lang w:eastAsia="en-GB"/>
        </w:rPr>
        <w:t>December 2020</w:t>
      </w:r>
      <w:bookmarkEnd w:id="100"/>
    </w:p>
    <w:p w14:paraId="71E7773B" w14:textId="77777777" w:rsidR="003A078D" w:rsidRPr="00DF2E11" w:rsidRDefault="004F0A16" w:rsidP="003A078D">
      <w:pPr>
        <w:rPr>
          <w:i/>
          <w:iCs/>
          <w:color w:val="4472C4" w:themeColor="accent1"/>
          <w:u w:val="single"/>
          <w:lang w:eastAsia="en-GB"/>
        </w:rPr>
      </w:pPr>
      <w:hyperlink r:id="rId31" w:tgtFrame="_blank" w:history="1">
        <w:r w:rsidR="003A078D" w:rsidRPr="00DF2E11">
          <w:rPr>
            <w:i/>
            <w:iCs/>
            <w:color w:val="4472C4" w:themeColor="accent1"/>
            <w:u w:val="single"/>
            <w:lang w:eastAsia="en-GB"/>
          </w:rPr>
          <w:t>SH, R (On the Application Of) v Norfolk County Council &amp; Anor</w:t>
        </w:r>
      </w:hyperlink>
      <w:r w:rsidR="003A078D" w:rsidRPr="00DF2E11">
        <w:rPr>
          <w:i/>
          <w:iCs/>
          <w:color w:val="4472C4" w:themeColor="accent1"/>
          <w:u w:val="single"/>
          <w:lang w:eastAsia="en-GB"/>
        </w:rPr>
        <w:t xml:space="preserve"> </w:t>
      </w:r>
      <w:r w:rsidR="003A078D" w:rsidRPr="00DF2E11">
        <w:rPr>
          <w:color w:val="4472C4" w:themeColor="accent1"/>
          <w:u w:val="single"/>
          <w:lang w:eastAsia="en-GB"/>
        </w:rPr>
        <w:t>[2020] EWHC 3436 (Admin)</w:t>
      </w:r>
    </w:p>
    <w:p w14:paraId="57D60D81" w14:textId="77777777" w:rsidR="003A078D" w:rsidRPr="00C442AC" w:rsidRDefault="003A078D" w:rsidP="003A078D">
      <w:pPr>
        <w:spacing w:after="0"/>
        <w:rPr>
          <w:rFonts w:eastAsia="Times New Roman" w:cstheme="minorHAnsi"/>
          <w:szCs w:val="28"/>
          <w:lang w:eastAsia="en-GB"/>
        </w:rPr>
      </w:pPr>
      <w:r w:rsidRPr="00C442AC">
        <w:rPr>
          <w:rFonts w:eastAsia="Times New Roman" w:cstheme="minorHAnsi"/>
          <w:szCs w:val="28"/>
          <w:lang w:eastAsia="en-GB"/>
        </w:rPr>
        <w:t>The High Court found changes to local authority charging for care policies to be discriminatory against Disabled people with high support needs.</w:t>
      </w:r>
    </w:p>
    <w:p w14:paraId="49D0E1DC" w14:textId="77777777" w:rsidR="003A078D" w:rsidRPr="00C442AC" w:rsidRDefault="003A078D" w:rsidP="003A078D">
      <w:pPr>
        <w:pStyle w:val="Heading3"/>
        <w:rPr>
          <w:rFonts w:eastAsia="Times New Roman"/>
          <w:lang w:eastAsia="en-GB"/>
        </w:rPr>
      </w:pPr>
      <w:bookmarkStart w:id="102" w:name="_Toc98504924"/>
      <w:r w:rsidRPr="00C442AC">
        <w:rPr>
          <w:rFonts w:eastAsia="Times New Roman"/>
          <w:lang w:eastAsia="en-GB"/>
        </w:rPr>
        <w:t>December 2020</w:t>
      </w:r>
      <w:bookmarkEnd w:id="102"/>
    </w:p>
    <w:p w14:paraId="6D758026" w14:textId="77777777" w:rsidR="003A078D" w:rsidRPr="00C442AC" w:rsidRDefault="004F0A16" w:rsidP="003A078D">
      <w:pPr>
        <w:spacing w:after="0"/>
        <w:rPr>
          <w:rFonts w:eastAsia="Times New Roman" w:cstheme="minorHAnsi"/>
          <w:szCs w:val="28"/>
          <w:lang w:eastAsia="en-GB"/>
        </w:rPr>
      </w:pPr>
      <w:hyperlink r:id="rId32" w:history="1">
        <w:r w:rsidR="003A078D" w:rsidRPr="00C442AC">
          <w:rPr>
            <w:rFonts w:eastAsia="Times New Roman" w:cstheme="minorHAnsi"/>
            <w:i/>
            <w:iCs/>
            <w:color w:val="0563C1" w:themeColor="hyperlink"/>
            <w:szCs w:val="28"/>
            <w:u w:val="single"/>
            <w:lang w:eastAsia="en-GB"/>
          </w:rPr>
          <w:t>R, (on the application of) v The Secretary of State for the Home Department</w:t>
        </w:r>
        <w:r w:rsidR="003A078D" w:rsidRPr="00C442AC">
          <w:rPr>
            <w:rFonts w:eastAsia="Times New Roman" w:cstheme="minorHAnsi"/>
            <w:color w:val="0563C1" w:themeColor="hyperlink"/>
            <w:szCs w:val="28"/>
            <w:u w:val="single"/>
            <w:lang w:eastAsia="en-GB"/>
          </w:rPr>
          <w:t xml:space="preserve"> (Rev 1) [2020] EWHC 3416 (Admin) (14 December 2020) </w:t>
        </w:r>
      </w:hyperlink>
    </w:p>
    <w:p w14:paraId="4FC219BB" w14:textId="77777777" w:rsidR="003A078D" w:rsidRPr="00C442AC" w:rsidRDefault="003A078D" w:rsidP="003A078D">
      <w:pPr>
        <w:spacing w:after="0"/>
        <w:rPr>
          <w:rFonts w:eastAsia="Times New Roman" w:cstheme="minorHAnsi"/>
          <w:szCs w:val="28"/>
          <w:lang w:eastAsia="en-GB"/>
        </w:rPr>
      </w:pPr>
    </w:p>
    <w:p w14:paraId="0A05BFC9" w14:textId="1C9C25BE" w:rsidR="003A078D" w:rsidRPr="003A078D" w:rsidRDefault="003A078D" w:rsidP="003A078D">
      <w:pPr>
        <w:spacing w:after="0"/>
        <w:rPr>
          <w:rFonts w:eastAsia="Times New Roman" w:cstheme="minorHAnsi"/>
          <w:szCs w:val="28"/>
          <w:lang w:eastAsia="en-GB"/>
        </w:rPr>
      </w:pPr>
      <w:r w:rsidRPr="00C442AC">
        <w:rPr>
          <w:rFonts w:eastAsia="Times New Roman" w:cstheme="minorHAnsi"/>
          <w:szCs w:val="28"/>
          <w:lang w:eastAsia="en-GB"/>
        </w:rPr>
        <w:t>The high court rules systemic disability discrimination in Home Office Asylum support system.</w:t>
      </w:r>
    </w:p>
    <w:p w14:paraId="060CE26A" w14:textId="02802B32" w:rsidR="00C442AC" w:rsidRPr="00C442AC" w:rsidRDefault="00C442AC" w:rsidP="00DF2E11">
      <w:pPr>
        <w:pStyle w:val="Heading3"/>
        <w:rPr>
          <w:rFonts w:eastAsia="Times New Roman"/>
          <w:lang w:eastAsia="en-GB"/>
        </w:rPr>
      </w:pPr>
      <w:r w:rsidRPr="00C442AC">
        <w:rPr>
          <w:rFonts w:eastAsia="Times New Roman"/>
          <w:lang w:eastAsia="en-GB"/>
        </w:rPr>
        <w:t>March 2021</w:t>
      </w:r>
      <w:bookmarkEnd w:id="101"/>
    </w:p>
    <w:p w14:paraId="14901DE0" w14:textId="0E5FA8E7" w:rsidR="00C442AC" w:rsidRPr="00C442AC" w:rsidRDefault="004F0A16" w:rsidP="00E739BB">
      <w:pPr>
        <w:spacing w:after="0"/>
        <w:rPr>
          <w:rFonts w:eastAsia="Times New Roman" w:cstheme="minorHAnsi"/>
          <w:szCs w:val="28"/>
          <w:lang w:eastAsia="en-GB"/>
        </w:rPr>
      </w:pPr>
      <w:hyperlink r:id="rId33" w:history="1">
        <w:r w:rsidR="00C442AC" w:rsidRPr="00C442AC">
          <w:rPr>
            <w:rFonts w:eastAsia="Times New Roman" w:cstheme="minorHAnsi"/>
            <w:color w:val="0563C1" w:themeColor="hyperlink"/>
            <w:szCs w:val="28"/>
            <w:u w:val="single"/>
            <w:lang w:eastAsia="en-GB"/>
          </w:rPr>
          <w:t>Visually impaired woman secures promises from government to change pandemic communications (on the morning of the JR)</w:t>
        </w:r>
      </w:hyperlink>
    </w:p>
    <w:p w14:paraId="77D6DCFC" w14:textId="77777777" w:rsidR="00C442AC" w:rsidRPr="00C442AC" w:rsidRDefault="00C442AC" w:rsidP="00DF2E11">
      <w:pPr>
        <w:pStyle w:val="Heading3"/>
        <w:rPr>
          <w:rFonts w:eastAsia="Times New Roman"/>
          <w:lang w:eastAsia="en-GB"/>
        </w:rPr>
      </w:pPr>
      <w:bookmarkStart w:id="103" w:name="_Toc98504934"/>
      <w:r w:rsidRPr="00C442AC">
        <w:rPr>
          <w:rFonts w:eastAsia="Times New Roman"/>
          <w:lang w:eastAsia="en-GB"/>
        </w:rPr>
        <w:lastRenderedPageBreak/>
        <w:t>March 2021</w:t>
      </w:r>
      <w:bookmarkEnd w:id="103"/>
      <w:r w:rsidRPr="00C442AC">
        <w:rPr>
          <w:rFonts w:eastAsia="Times New Roman"/>
          <w:lang w:eastAsia="en-GB"/>
        </w:rPr>
        <w:t xml:space="preserve"> </w:t>
      </w:r>
    </w:p>
    <w:p w14:paraId="5EABACF3" w14:textId="06DF507B" w:rsidR="00C442AC" w:rsidRPr="00C442AC" w:rsidRDefault="00C442AC" w:rsidP="00E739BB">
      <w:pPr>
        <w:spacing w:after="0"/>
        <w:rPr>
          <w:rFonts w:eastAsia="Times New Roman" w:cstheme="minorHAnsi"/>
          <w:szCs w:val="28"/>
          <w:lang w:eastAsia="en-GB"/>
        </w:rPr>
      </w:pPr>
      <w:r w:rsidRPr="00C442AC">
        <w:rPr>
          <w:rFonts w:eastAsia="Times New Roman" w:cstheme="minorHAnsi"/>
          <w:szCs w:val="28"/>
          <w:lang w:eastAsia="en-GB"/>
        </w:rPr>
        <w:t xml:space="preserve">Errol Graham: Family of man who starved to death after benefits cut off lose High Court challenge against the DWP. No judgment available but see: </w:t>
      </w:r>
      <w:hyperlink r:id="rId34" w:history="1">
        <w:r w:rsidRPr="00C442AC">
          <w:rPr>
            <w:rFonts w:eastAsia="Times New Roman" w:cstheme="minorHAnsi"/>
            <w:color w:val="0563C1" w:themeColor="hyperlink"/>
            <w:szCs w:val="28"/>
            <w:u w:val="single"/>
            <w:lang w:eastAsia="en-GB"/>
          </w:rPr>
          <w:t>https://www.disabilityrightsuk.org/news/2021/march/errol-graham-family-man-who-starved-death-after-benefits-cut-lose-high-court</w:t>
        </w:r>
      </w:hyperlink>
      <w:r w:rsidRPr="00C442AC">
        <w:rPr>
          <w:rFonts w:eastAsia="Times New Roman" w:cstheme="minorHAnsi"/>
          <w:szCs w:val="28"/>
          <w:lang w:eastAsia="en-GB"/>
        </w:rPr>
        <w:t xml:space="preserve">  </w:t>
      </w:r>
    </w:p>
    <w:p w14:paraId="7B16D9D0" w14:textId="77777777" w:rsidR="00C442AC" w:rsidRPr="00C442AC" w:rsidRDefault="00C442AC" w:rsidP="00DF2E11">
      <w:pPr>
        <w:pStyle w:val="Heading3"/>
        <w:rPr>
          <w:rFonts w:eastAsia="Times New Roman"/>
          <w:lang w:eastAsia="en-GB"/>
        </w:rPr>
      </w:pPr>
      <w:bookmarkStart w:id="104" w:name="_Toc98504935"/>
      <w:r w:rsidRPr="00C442AC">
        <w:rPr>
          <w:rFonts w:eastAsia="Times New Roman"/>
          <w:lang w:eastAsia="en-GB"/>
        </w:rPr>
        <w:t>July 2021</w:t>
      </w:r>
      <w:bookmarkEnd w:id="104"/>
      <w:r w:rsidRPr="00C442AC">
        <w:rPr>
          <w:rFonts w:eastAsia="Times New Roman"/>
          <w:lang w:eastAsia="en-GB"/>
        </w:rPr>
        <w:t xml:space="preserve"> </w:t>
      </w:r>
    </w:p>
    <w:p w14:paraId="73416B00" w14:textId="2D60ADD6" w:rsidR="00C442AC" w:rsidRPr="003A078D" w:rsidRDefault="00C442AC" w:rsidP="00E739BB">
      <w:pPr>
        <w:spacing w:after="0"/>
        <w:rPr>
          <w:rFonts w:eastAsia="Times New Roman" w:cstheme="minorHAnsi"/>
          <w:iCs/>
          <w:szCs w:val="28"/>
          <w:lang w:eastAsia="en-GB"/>
        </w:rPr>
      </w:pPr>
      <w:r w:rsidRPr="00C442AC">
        <w:rPr>
          <w:rFonts w:eastAsia="Times New Roman" w:cstheme="minorHAnsi"/>
          <w:szCs w:val="28"/>
          <w:lang w:eastAsia="en-GB"/>
        </w:rPr>
        <w:t xml:space="preserve">DWP to stop ‘cold-calling’ disabled people to make low benefit ‘offers’. </w:t>
      </w:r>
      <w:hyperlink r:id="rId35" w:history="1">
        <w:r w:rsidRPr="00C442AC">
          <w:rPr>
            <w:rFonts w:eastAsia="Times New Roman" w:cstheme="minorHAnsi"/>
            <w:iCs/>
            <w:color w:val="0563C1" w:themeColor="hyperlink"/>
            <w:szCs w:val="28"/>
            <w:u w:val="single"/>
            <w:lang w:eastAsia="en-GB"/>
          </w:rPr>
          <w:t>DWP amended its policies and guidance before the JR was heard.</w:t>
        </w:r>
      </w:hyperlink>
    </w:p>
    <w:p w14:paraId="2FB2C19B" w14:textId="77777777" w:rsidR="00C442AC" w:rsidRPr="00C442AC" w:rsidRDefault="00C442AC" w:rsidP="00DF2E11">
      <w:pPr>
        <w:pStyle w:val="Heading3"/>
        <w:rPr>
          <w:rFonts w:eastAsia="Times New Roman"/>
          <w:lang w:eastAsia="en-GB"/>
        </w:rPr>
      </w:pPr>
      <w:bookmarkStart w:id="105" w:name="_Toc98504936"/>
      <w:r w:rsidRPr="00C442AC">
        <w:rPr>
          <w:rFonts w:eastAsia="Times New Roman"/>
          <w:lang w:eastAsia="en-GB"/>
        </w:rPr>
        <w:t>July 2021</w:t>
      </w:r>
      <w:bookmarkEnd w:id="105"/>
      <w:r w:rsidRPr="00C442AC">
        <w:rPr>
          <w:rFonts w:eastAsia="Times New Roman"/>
          <w:lang w:eastAsia="en-GB"/>
        </w:rPr>
        <w:t xml:space="preserve"> </w:t>
      </w:r>
    </w:p>
    <w:p w14:paraId="77BA32A5" w14:textId="77777777" w:rsidR="00C442AC" w:rsidRPr="00C442AC" w:rsidRDefault="00C442AC" w:rsidP="00E739BB">
      <w:pPr>
        <w:spacing w:after="0"/>
        <w:rPr>
          <w:rFonts w:eastAsia="Times New Roman" w:cstheme="minorHAnsi"/>
          <w:szCs w:val="28"/>
          <w:lang w:eastAsia="en-GB"/>
        </w:rPr>
      </w:pPr>
      <w:r w:rsidRPr="00C442AC">
        <w:rPr>
          <w:rFonts w:eastAsia="Times New Roman" w:cstheme="minorHAnsi"/>
          <w:szCs w:val="28"/>
          <w:lang w:eastAsia="en-GB"/>
        </w:rPr>
        <w:t xml:space="preserve">DWP concede new ‘transitional protection’ for disabled people left financially worse off on transfer to UC. No judgment available but see:  </w:t>
      </w:r>
    </w:p>
    <w:p w14:paraId="542877AC" w14:textId="401F38C1" w:rsidR="00C442AC" w:rsidRPr="00C442AC" w:rsidRDefault="004F0A16" w:rsidP="00E739BB">
      <w:pPr>
        <w:spacing w:after="0"/>
        <w:rPr>
          <w:rFonts w:eastAsia="Times New Roman" w:cstheme="minorHAnsi"/>
          <w:szCs w:val="28"/>
          <w:lang w:eastAsia="en-GB"/>
        </w:rPr>
      </w:pPr>
      <w:hyperlink r:id="rId36" w:history="1">
        <w:r w:rsidR="00C442AC" w:rsidRPr="00C442AC">
          <w:rPr>
            <w:rFonts w:eastAsia="Times New Roman" w:cstheme="minorHAnsi"/>
            <w:color w:val="0563C1" w:themeColor="hyperlink"/>
            <w:szCs w:val="28"/>
            <w:u w:val="single"/>
            <w:lang w:eastAsia="en-GB"/>
          </w:rPr>
          <w:t>https://www.gcnchambers.co.uk/dwp-concede-new-transitional-protection-judicial-review-deadman-and-ryan-v-secretary-of-state-for-work-and-pensions-co-1146-2021-22-july-2021/</w:t>
        </w:r>
      </w:hyperlink>
      <w:r w:rsidR="00C442AC" w:rsidRPr="00C442AC">
        <w:rPr>
          <w:rFonts w:eastAsia="Times New Roman" w:cstheme="minorHAnsi"/>
          <w:szCs w:val="28"/>
          <w:lang w:eastAsia="en-GB"/>
        </w:rPr>
        <w:t xml:space="preserve"> </w:t>
      </w:r>
    </w:p>
    <w:p w14:paraId="2F83E524" w14:textId="77777777" w:rsidR="00C442AC" w:rsidRPr="00C442AC" w:rsidRDefault="00C442AC" w:rsidP="00DF2E11">
      <w:pPr>
        <w:pStyle w:val="Heading3"/>
        <w:rPr>
          <w:rFonts w:eastAsia="Times New Roman"/>
          <w:lang w:eastAsia="en-GB"/>
        </w:rPr>
      </w:pPr>
      <w:bookmarkStart w:id="106" w:name="_Toc98504937"/>
      <w:r w:rsidRPr="00C442AC">
        <w:rPr>
          <w:rFonts w:eastAsia="Times New Roman"/>
          <w:lang w:eastAsia="en-GB"/>
        </w:rPr>
        <w:t>July 2021</w:t>
      </w:r>
      <w:bookmarkEnd w:id="106"/>
      <w:r w:rsidRPr="00C442AC">
        <w:rPr>
          <w:rFonts w:eastAsia="Times New Roman"/>
          <w:lang w:eastAsia="en-GB"/>
        </w:rPr>
        <w:t xml:space="preserve"> </w:t>
      </w:r>
    </w:p>
    <w:p w14:paraId="71FA5FE1" w14:textId="77777777" w:rsidR="00C442AC" w:rsidRPr="00C442AC" w:rsidRDefault="00C442AC" w:rsidP="00E739BB">
      <w:pPr>
        <w:spacing w:after="0"/>
        <w:rPr>
          <w:rFonts w:eastAsia="Times New Roman" w:cstheme="minorHAnsi"/>
          <w:szCs w:val="28"/>
          <w:lang w:eastAsia="en-GB"/>
        </w:rPr>
      </w:pPr>
      <w:r w:rsidRPr="00C442AC">
        <w:rPr>
          <w:rFonts w:eastAsia="Times New Roman" w:cstheme="minorHAnsi"/>
          <w:szCs w:val="28"/>
          <w:lang w:eastAsia="en-GB"/>
        </w:rPr>
        <w:t xml:space="preserve">Severely disabled man challenged stop to his PIP after 28 days in hospital. No outcome yet.  </w:t>
      </w:r>
    </w:p>
    <w:p w14:paraId="208F66C9" w14:textId="08D11530" w:rsidR="00C442AC" w:rsidRPr="00C442AC" w:rsidRDefault="004F0A16" w:rsidP="00E739BB">
      <w:pPr>
        <w:spacing w:after="0"/>
        <w:rPr>
          <w:rFonts w:eastAsia="Times New Roman" w:cstheme="minorHAnsi"/>
          <w:szCs w:val="28"/>
          <w:lang w:eastAsia="en-GB"/>
        </w:rPr>
      </w:pPr>
      <w:hyperlink r:id="rId37" w:history="1">
        <w:r w:rsidR="00C442AC" w:rsidRPr="00C442AC">
          <w:rPr>
            <w:rFonts w:eastAsia="Times New Roman" w:cstheme="minorHAnsi"/>
            <w:color w:val="0563C1" w:themeColor="hyperlink"/>
            <w:szCs w:val="28"/>
            <w:u w:val="single"/>
            <w:lang w:eastAsia="en-GB"/>
          </w:rPr>
          <w:t>https://www.leighday.co.uk/latest-updates/news/2021-news/severely-disabled-man-challenges-halt-to-personal-independence-benefit-payments-after-28-days-in-hospital/</w:t>
        </w:r>
      </w:hyperlink>
    </w:p>
    <w:p w14:paraId="3866F7CC" w14:textId="77777777" w:rsidR="00C442AC" w:rsidRPr="00C442AC" w:rsidRDefault="00C442AC" w:rsidP="00DF2E11">
      <w:pPr>
        <w:pStyle w:val="Heading3"/>
        <w:rPr>
          <w:rFonts w:eastAsia="Times New Roman"/>
          <w:lang w:eastAsia="en-GB"/>
        </w:rPr>
      </w:pPr>
      <w:bookmarkStart w:id="107" w:name="_Toc98504938"/>
      <w:r w:rsidRPr="00C442AC">
        <w:rPr>
          <w:rFonts w:eastAsia="Times New Roman"/>
          <w:lang w:eastAsia="en-GB"/>
        </w:rPr>
        <w:t>August 2021</w:t>
      </w:r>
      <w:bookmarkEnd w:id="107"/>
      <w:r w:rsidRPr="00C442AC">
        <w:rPr>
          <w:rFonts w:eastAsia="Times New Roman"/>
          <w:lang w:eastAsia="en-GB"/>
        </w:rPr>
        <w:t xml:space="preserve"> </w:t>
      </w:r>
    </w:p>
    <w:p w14:paraId="613D3196" w14:textId="77777777" w:rsidR="00C442AC" w:rsidRPr="00C442AC" w:rsidRDefault="00C442AC" w:rsidP="00E739BB">
      <w:pPr>
        <w:spacing w:after="0"/>
        <w:rPr>
          <w:rFonts w:eastAsia="Times New Roman" w:cstheme="minorHAnsi"/>
          <w:szCs w:val="28"/>
          <w:lang w:eastAsia="en-GB"/>
        </w:rPr>
      </w:pPr>
      <w:r w:rsidRPr="00C442AC">
        <w:rPr>
          <w:rFonts w:eastAsia="Times New Roman" w:cstheme="minorHAnsi"/>
          <w:szCs w:val="28"/>
          <w:lang w:eastAsia="en-GB"/>
        </w:rPr>
        <w:t>A disabled swimmer has been granted permission for a JR of the new charging regime for Hampstead Ponds which she claims is discriminatory. No outcome yet.</w:t>
      </w:r>
    </w:p>
    <w:p w14:paraId="4DF54524" w14:textId="58269A71" w:rsidR="00C442AC" w:rsidRPr="00C442AC" w:rsidRDefault="004F0A16" w:rsidP="00E739BB">
      <w:pPr>
        <w:spacing w:after="0"/>
        <w:rPr>
          <w:rFonts w:eastAsia="Times New Roman" w:cstheme="minorHAnsi"/>
          <w:szCs w:val="28"/>
          <w:lang w:eastAsia="en-GB"/>
        </w:rPr>
      </w:pPr>
      <w:hyperlink r:id="rId38" w:history="1">
        <w:r w:rsidR="00C442AC" w:rsidRPr="00C442AC">
          <w:rPr>
            <w:rFonts w:eastAsia="Times New Roman" w:cstheme="minorHAnsi"/>
            <w:color w:val="0563C1" w:themeColor="hyperlink"/>
            <w:szCs w:val="28"/>
            <w:u w:val="single"/>
            <w:lang w:eastAsia="en-GB"/>
          </w:rPr>
          <w:t>https://www.leighday.co.uk/latest-updates/news/2021-news/disabled-swimmer-wins-permission-for-judicial-review-of-discriminatory-charges-at-hampstead-ponds/</w:t>
        </w:r>
      </w:hyperlink>
    </w:p>
    <w:p w14:paraId="556A5323" w14:textId="77777777" w:rsidR="00C442AC" w:rsidRPr="00C442AC" w:rsidRDefault="00C442AC" w:rsidP="00DF2E11">
      <w:pPr>
        <w:pStyle w:val="Heading3"/>
        <w:rPr>
          <w:rFonts w:eastAsia="Times New Roman"/>
          <w:lang w:eastAsia="en-GB"/>
        </w:rPr>
      </w:pPr>
      <w:bookmarkStart w:id="108" w:name="_Toc98504939"/>
      <w:r w:rsidRPr="00C442AC">
        <w:rPr>
          <w:rFonts w:eastAsia="Times New Roman"/>
          <w:lang w:eastAsia="en-GB"/>
        </w:rPr>
        <w:t>January 2022</w:t>
      </w:r>
      <w:bookmarkEnd w:id="108"/>
    </w:p>
    <w:p w14:paraId="6B04567B" w14:textId="77777777" w:rsidR="00C442AC" w:rsidRPr="00C442AC" w:rsidRDefault="004F0A16" w:rsidP="00E739BB">
      <w:pPr>
        <w:spacing w:after="0"/>
        <w:rPr>
          <w:rFonts w:eastAsia="Times New Roman" w:cstheme="minorHAnsi"/>
          <w:szCs w:val="28"/>
          <w:lang w:eastAsia="en-GB"/>
        </w:rPr>
      </w:pPr>
      <w:hyperlink r:id="rId39" w:tgtFrame="_blank" w:history="1">
        <w:r w:rsidR="00C442AC" w:rsidRPr="00C442AC">
          <w:rPr>
            <w:rFonts w:eastAsia="Times New Roman" w:cstheme="minorHAnsi"/>
            <w:i/>
            <w:iCs/>
            <w:color w:val="4E2A79"/>
            <w:szCs w:val="28"/>
            <w:u w:val="single"/>
            <w:lang w:eastAsia="en-GB"/>
          </w:rPr>
          <w:t xml:space="preserve">R(Binder &amp; Others) v Secretary of State for Work and </w:t>
        </w:r>
        <w:proofErr w:type="spellStart"/>
        <w:r w:rsidR="00C442AC" w:rsidRPr="00C442AC">
          <w:rPr>
            <w:rFonts w:eastAsia="Times New Roman" w:cstheme="minorHAnsi"/>
            <w:i/>
            <w:iCs/>
            <w:color w:val="4E2A79"/>
            <w:szCs w:val="28"/>
            <w:u w:val="single"/>
            <w:lang w:eastAsia="en-GB"/>
          </w:rPr>
          <w:t>Pensions</w:t>
        </w:r>
      </w:hyperlink>
      <w:r w:rsidR="00C442AC" w:rsidRPr="00C442AC">
        <w:rPr>
          <w:rFonts w:eastAsia="Times New Roman" w:cstheme="minorHAnsi"/>
          <w:i/>
          <w:iCs/>
          <w:color w:val="4E2A79"/>
          <w:szCs w:val="28"/>
          <w:u w:val="single"/>
          <w:lang w:eastAsia="en-GB"/>
        </w:rPr>
        <w:t>r</w:t>
      </w:r>
      <w:proofErr w:type="spellEnd"/>
      <w:r w:rsidR="00C442AC" w:rsidRPr="00C442AC">
        <w:rPr>
          <w:rFonts w:eastAsia="Times New Roman" w:cstheme="minorHAnsi"/>
          <w:i/>
          <w:iCs/>
          <w:color w:val="4E2A79"/>
          <w:szCs w:val="28"/>
          <w:u w:val="single"/>
          <w:lang w:eastAsia="en-GB"/>
        </w:rPr>
        <w:t xml:space="preserve"> </w:t>
      </w:r>
      <w:r w:rsidR="00C442AC" w:rsidRPr="00C442AC">
        <w:rPr>
          <w:rFonts w:eastAsia="Times New Roman" w:cstheme="minorHAnsi"/>
          <w:color w:val="4E2A79"/>
          <w:szCs w:val="28"/>
          <w:u w:val="single"/>
          <w:lang w:eastAsia="en-GB"/>
        </w:rPr>
        <w:t>[2022] EWHC 105 (Admin)</w:t>
      </w:r>
      <w:r w:rsidR="00C442AC" w:rsidRPr="00C442AC">
        <w:rPr>
          <w:rFonts w:eastAsia="Times New Roman" w:cstheme="minorHAnsi"/>
          <w:i/>
          <w:iCs/>
          <w:color w:val="3C3C3B"/>
          <w:szCs w:val="28"/>
          <w:lang w:eastAsia="en-GB"/>
        </w:rPr>
        <w:t> </w:t>
      </w:r>
    </w:p>
    <w:p w14:paraId="0032DBEA" w14:textId="5BFFD03E" w:rsidR="00C442AC" w:rsidRPr="00C442AC" w:rsidRDefault="00C442AC" w:rsidP="00E739BB">
      <w:pPr>
        <w:spacing w:after="0"/>
        <w:rPr>
          <w:rFonts w:eastAsia="Times New Roman" w:cstheme="minorHAnsi"/>
          <w:szCs w:val="28"/>
          <w:lang w:eastAsia="en-GB"/>
        </w:rPr>
      </w:pPr>
      <w:r w:rsidRPr="00C442AC">
        <w:rPr>
          <w:rFonts w:eastAsia="Times New Roman" w:cstheme="minorHAnsi"/>
          <w:szCs w:val="28"/>
          <w:lang w:eastAsia="en-GB"/>
        </w:rPr>
        <w:t xml:space="preserve">High Court judgment </w:t>
      </w:r>
      <w:r w:rsidRPr="00C442AC">
        <w:rPr>
          <w:rFonts w:eastAsia="Times New Roman" w:cstheme="minorHAnsi"/>
          <w:color w:val="3C3C3B"/>
          <w:szCs w:val="28"/>
          <w:shd w:val="clear" w:color="auto" w:fill="FFFFFF"/>
          <w:lang w:eastAsia="en-GB"/>
        </w:rPr>
        <w:t xml:space="preserve">declaring that the National Disability Strategy is unlawful following a failure to lawfully consult disabled people and others. </w:t>
      </w:r>
    </w:p>
    <w:p w14:paraId="3A2B476C" w14:textId="77777777" w:rsidR="00C442AC" w:rsidRPr="00C442AC" w:rsidRDefault="00C442AC" w:rsidP="00DF2E11">
      <w:pPr>
        <w:pStyle w:val="Heading3"/>
        <w:rPr>
          <w:rFonts w:eastAsia="Times New Roman"/>
          <w:lang w:eastAsia="en-GB"/>
        </w:rPr>
      </w:pPr>
      <w:bookmarkStart w:id="109" w:name="_Toc98504940"/>
      <w:r w:rsidRPr="00C442AC">
        <w:rPr>
          <w:rFonts w:eastAsia="Times New Roman"/>
          <w:lang w:eastAsia="en-GB"/>
        </w:rPr>
        <w:t>February 2022</w:t>
      </w:r>
      <w:bookmarkEnd w:id="109"/>
    </w:p>
    <w:p w14:paraId="295FC28B" w14:textId="77777777" w:rsidR="00C442AC" w:rsidRPr="00C442AC" w:rsidRDefault="004F0A16" w:rsidP="00E739BB">
      <w:pPr>
        <w:spacing w:after="0"/>
        <w:rPr>
          <w:rFonts w:eastAsia="Times New Roman" w:cstheme="minorHAnsi"/>
          <w:color w:val="000000" w:themeColor="text1"/>
          <w:szCs w:val="28"/>
          <w:lang w:eastAsia="en-GB"/>
        </w:rPr>
      </w:pPr>
      <w:hyperlink r:id="rId40" w:history="1">
        <w:r w:rsidR="00C442AC" w:rsidRPr="00C442AC">
          <w:rPr>
            <w:rFonts w:eastAsia="Times New Roman" w:cstheme="minorHAnsi"/>
            <w:i/>
            <w:iCs/>
            <w:color w:val="0563C1" w:themeColor="hyperlink"/>
            <w:szCs w:val="28"/>
            <w:u w:val="single"/>
            <w:shd w:val="clear" w:color="auto" w:fill="FCFCFC"/>
            <w:lang w:eastAsia="en-GB"/>
          </w:rPr>
          <w:t xml:space="preserve">T &amp; </w:t>
        </w:r>
        <w:proofErr w:type="spellStart"/>
        <w:r w:rsidR="00C442AC" w:rsidRPr="00C442AC">
          <w:rPr>
            <w:rFonts w:eastAsia="Times New Roman" w:cstheme="minorHAnsi"/>
            <w:i/>
            <w:iCs/>
            <w:color w:val="0563C1" w:themeColor="hyperlink"/>
            <w:szCs w:val="28"/>
            <w:u w:val="single"/>
            <w:shd w:val="clear" w:color="auto" w:fill="FCFCFC"/>
            <w:lang w:eastAsia="en-GB"/>
          </w:rPr>
          <w:t>Ors</w:t>
        </w:r>
        <w:proofErr w:type="spellEnd"/>
        <w:r w:rsidR="00C442AC" w:rsidRPr="00C442AC">
          <w:rPr>
            <w:rFonts w:eastAsia="Times New Roman" w:cstheme="minorHAnsi"/>
            <w:i/>
            <w:iCs/>
            <w:color w:val="0563C1" w:themeColor="hyperlink"/>
            <w:szCs w:val="28"/>
            <w:u w:val="single"/>
            <w:shd w:val="clear" w:color="auto" w:fill="FCFCFC"/>
            <w:lang w:eastAsia="en-GB"/>
          </w:rPr>
          <w:t>, R (On the Application Of) v Secretary of State for Work And Pensions</w:t>
        </w:r>
      </w:hyperlink>
      <w:r w:rsidR="00C442AC" w:rsidRPr="00C442AC">
        <w:rPr>
          <w:rFonts w:eastAsia="Times New Roman" w:cstheme="minorHAnsi"/>
          <w:i/>
          <w:iCs/>
          <w:color w:val="000000" w:themeColor="text1"/>
          <w:szCs w:val="28"/>
          <w:shd w:val="clear" w:color="auto" w:fill="FCFCFC"/>
          <w:lang w:eastAsia="en-GB"/>
        </w:rPr>
        <w:t>,</w:t>
      </w:r>
      <w:r w:rsidR="00C442AC" w:rsidRPr="00C442AC">
        <w:rPr>
          <w:rFonts w:eastAsia="Times New Roman" w:cstheme="minorHAnsi"/>
          <w:color w:val="000000" w:themeColor="text1"/>
          <w:szCs w:val="28"/>
          <w:shd w:val="clear" w:color="auto" w:fill="FCFCFC"/>
          <w:lang w:eastAsia="en-GB"/>
        </w:rPr>
        <w:t xml:space="preserve"> </w:t>
      </w:r>
      <w:r w:rsidR="00C442AC" w:rsidRPr="00C442AC">
        <w:rPr>
          <w:rFonts w:eastAsia="Times New Roman" w:cstheme="minorHAnsi"/>
          <w:color w:val="000000" w:themeColor="text1"/>
          <w:szCs w:val="28"/>
          <w:lang w:eastAsia="en-GB"/>
        </w:rPr>
        <w:t>[2022] EWHC 351 (Admin)</w:t>
      </w:r>
    </w:p>
    <w:p w14:paraId="59B71B39" w14:textId="391CAA99" w:rsidR="00C442AC" w:rsidRPr="00C442AC" w:rsidRDefault="00C442AC" w:rsidP="00E739BB">
      <w:pPr>
        <w:spacing w:after="0"/>
        <w:rPr>
          <w:rFonts w:eastAsia="Times New Roman" w:cstheme="minorHAnsi"/>
          <w:szCs w:val="28"/>
          <w:lang w:eastAsia="en-GB"/>
        </w:rPr>
      </w:pPr>
      <w:r w:rsidRPr="00C442AC">
        <w:rPr>
          <w:rFonts w:eastAsia="Times New Roman" w:cstheme="minorHAnsi"/>
          <w:szCs w:val="28"/>
          <w:lang w:eastAsia="en-GB"/>
        </w:rPr>
        <w:t xml:space="preserve">High Court dismissed the claim of legacy benefits claimants that Failure to extend £20 per week </w:t>
      </w:r>
      <w:r w:rsidR="00C006F0">
        <w:rPr>
          <w:rFonts w:eastAsia="Times New Roman" w:cstheme="minorHAnsi"/>
          <w:szCs w:val="28"/>
          <w:lang w:eastAsia="en-GB"/>
        </w:rPr>
        <w:t>COVID</w:t>
      </w:r>
      <w:r w:rsidRPr="00C442AC">
        <w:rPr>
          <w:rFonts w:eastAsia="Times New Roman" w:cstheme="minorHAnsi"/>
          <w:szCs w:val="28"/>
          <w:lang w:eastAsia="en-GB"/>
        </w:rPr>
        <w:t xml:space="preserve"> uplift to claimants of legacy benefits in line with UC constituted discrimination. The court found that difference in treatment was justified.</w:t>
      </w:r>
    </w:p>
    <w:p w14:paraId="55DD69DE" w14:textId="77777777" w:rsidR="00DF2E11" w:rsidRDefault="00DF2E11">
      <w:pPr>
        <w:spacing w:after="160" w:line="259" w:lineRule="auto"/>
        <w:rPr>
          <w:rFonts w:cstheme="minorHAnsi"/>
          <w:b/>
          <w:color w:val="0B0C0C"/>
          <w:szCs w:val="28"/>
          <w:shd w:val="clear" w:color="auto" w:fill="FFFFFF"/>
        </w:rPr>
      </w:pPr>
      <w:r>
        <w:rPr>
          <w:rFonts w:cstheme="minorHAnsi"/>
          <w:b/>
          <w:color w:val="0B0C0C"/>
          <w:szCs w:val="28"/>
          <w:shd w:val="clear" w:color="auto" w:fill="FFFFFF"/>
        </w:rPr>
        <w:br w:type="page"/>
      </w:r>
    </w:p>
    <w:p w14:paraId="463A14E5" w14:textId="059807A0" w:rsidR="00826F6F" w:rsidRPr="00BF3588" w:rsidRDefault="00826F6F" w:rsidP="00BB6A41">
      <w:pPr>
        <w:pStyle w:val="Heading2"/>
      </w:pPr>
      <w:bookmarkStart w:id="110" w:name="_Appendix_4:_Local"/>
      <w:bookmarkStart w:id="111" w:name="Appendix4"/>
      <w:bookmarkStart w:id="112" w:name="_Toc98504941"/>
      <w:bookmarkStart w:id="113" w:name="_Toc98506562"/>
      <w:bookmarkEnd w:id="110"/>
      <w:bookmarkEnd w:id="111"/>
      <w:r w:rsidRPr="00BF3588">
        <w:lastRenderedPageBreak/>
        <w:t>Appendix 4</w:t>
      </w:r>
      <w:bookmarkEnd w:id="112"/>
      <w:r w:rsidR="004409C5" w:rsidRPr="00BF3588">
        <w:t>:</w:t>
      </w:r>
      <w:r w:rsidR="004409C5" w:rsidRPr="00BF3588">
        <w:br/>
      </w:r>
      <w:r w:rsidRPr="00BF3588">
        <w:t>Local Government and Social Care Ombudsman’s latest annual review of complaints.</w:t>
      </w:r>
      <w:bookmarkEnd w:id="113"/>
    </w:p>
    <w:p w14:paraId="3D40660A" w14:textId="53B4EC60" w:rsidR="00826F6F" w:rsidRPr="00826F6F" w:rsidRDefault="00826F6F" w:rsidP="00DF2E11">
      <w:pPr>
        <w:rPr>
          <w:shd w:val="clear" w:color="auto" w:fill="FFFFFF"/>
        </w:rPr>
      </w:pPr>
      <w:r w:rsidRPr="00826F6F">
        <w:rPr>
          <w:shd w:val="clear" w:color="auto" w:fill="FFFFFF"/>
        </w:rPr>
        <w:t xml:space="preserve">In September 2021, the Ombudsman’s annual review of social care complaints was published, covering both councils and independent care providers across England. It found fault in 72% of the complaints it investigated last year, This percentage of upheld cases is greater than the previous year (69%) and shows a relentless rise over the last decade in the proportion of cases in which care users and their families have been let down by local services. </w:t>
      </w:r>
    </w:p>
    <w:p w14:paraId="6A976718" w14:textId="77777777" w:rsidR="00826F6F" w:rsidRPr="00826F6F" w:rsidRDefault="00826F6F" w:rsidP="00DF2E11">
      <w:r w:rsidRPr="00826F6F">
        <w:rPr>
          <w:shd w:val="clear" w:color="auto" w:fill="FFFFFF"/>
        </w:rPr>
        <w:t>The faults the Ombudsman finds in its investigations are increasingly caused by the measures employed by councils and care providers to mitigate the squeeze on their resources. I</w:t>
      </w:r>
      <w:r w:rsidRPr="00826F6F">
        <w:t>n 2020-21 the Ombudsman received 2,033 complaints and enquiries about adult social care. This included 270 about independent care providers, where the person arranged and paid for their own care. As in all areas of its casework, last year the Ombudsman received and decided fewer complaints about adult social care than the previous year because of the disruption caused by COVID-19.</w:t>
      </w:r>
    </w:p>
    <w:p w14:paraId="4D5AFF46" w14:textId="77777777" w:rsidR="00826F6F" w:rsidRPr="00826F6F" w:rsidRDefault="00826F6F" w:rsidP="00DF2E11">
      <w:r w:rsidRPr="00826F6F">
        <w:t xml:space="preserve">The Ombudsman made 1,642 individual recommendations to put things right in adult social care investigations last year, of which around a third (546) were aimed at improving services for everyone. </w:t>
      </w:r>
    </w:p>
    <w:p w14:paraId="37000E6D" w14:textId="77777777" w:rsidR="00826F6F" w:rsidRPr="00826F6F" w:rsidRDefault="00826F6F" w:rsidP="00DF2E11">
      <w:pPr>
        <w:rPr>
          <w:shd w:val="clear" w:color="auto" w:fill="FFFFFF"/>
        </w:rPr>
      </w:pPr>
      <w:r w:rsidRPr="00826F6F">
        <w:rPr>
          <w:shd w:val="clear" w:color="auto" w:fill="FFFFFF"/>
        </w:rPr>
        <w:t xml:space="preserve">% of complaints upheld each year: </w:t>
      </w:r>
    </w:p>
    <w:p w14:paraId="183637F4" w14:textId="77777777" w:rsidR="00826F6F" w:rsidRPr="00826F6F" w:rsidRDefault="00826F6F" w:rsidP="00D55B0D">
      <w:pPr>
        <w:spacing w:after="120" w:line="240" w:lineRule="auto"/>
        <w:rPr>
          <w:shd w:val="clear" w:color="auto" w:fill="FFFFFF"/>
        </w:rPr>
      </w:pPr>
      <w:r w:rsidRPr="00826F6F">
        <w:rPr>
          <w:shd w:val="clear" w:color="auto" w:fill="FFFFFF"/>
        </w:rPr>
        <w:t>2015/16</w:t>
      </w:r>
      <w:r w:rsidRPr="00826F6F">
        <w:rPr>
          <w:shd w:val="clear" w:color="auto" w:fill="FFFFFF"/>
        </w:rPr>
        <w:tab/>
        <w:t xml:space="preserve">65% </w:t>
      </w:r>
    </w:p>
    <w:p w14:paraId="730D42A3" w14:textId="77777777" w:rsidR="00826F6F" w:rsidRPr="00826F6F" w:rsidRDefault="00826F6F" w:rsidP="00D55B0D">
      <w:pPr>
        <w:spacing w:after="120" w:line="240" w:lineRule="auto"/>
        <w:rPr>
          <w:shd w:val="clear" w:color="auto" w:fill="FFFFFF"/>
        </w:rPr>
      </w:pPr>
      <w:r w:rsidRPr="00826F6F">
        <w:rPr>
          <w:shd w:val="clear" w:color="auto" w:fill="FFFFFF"/>
        </w:rPr>
        <w:t xml:space="preserve">2016/17 </w:t>
      </w:r>
      <w:r w:rsidRPr="00826F6F">
        <w:rPr>
          <w:shd w:val="clear" w:color="auto" w:fill="FFFFFF"/>
        </w:rPr>
        <w:tab/>
        <w:t>54%</w:t>
      </w:r>
    </w:p>
    <w:p w14:paraId="5EC24D7E" w14:textId="77777777" w:rsidR="00826F6F" w:rsidRPr="00826F6F" w:rsidRDefault="00826F6F" w:rsidP="00D55B0D">
      <w:pPr>
        <w:spacing w:after="120" w:line="240" w:lineRule="auto"/>
        <w:rPr>
          <w:shd w:val="clear" w:color="auto" w:fill="FFFFFF"/>
        </w:rPr>
      </w:pPr>
      <w:r w:rsidRPr="00826F6F">
        <w:rPr>
          <w:shd w:val="clear" w:color="auto" w:fill="FFFFFF"/>
        </w:rPr>
        <w:lastRenderedPageBreak/>
        <w:t>2017/18 </w:t>
      </w:r>
      <w:r w:rsidRPr="00826F6F">
        <w:rPr>
          <w:shd w:val="clear" w:color="auto" w:fill="FFFFFF"/>
        </w:rPr>
        <w:tab/>
        <w:t>57% </w:t>
      </w:r>
    </w:p>
    <w:p w14:paraId="5F23B25D" w14:textId="77777777" w:rsidR="00826F6F" w:rsidRPr="00826F6F" w:rsidRDefault="00826F6F" w:rsidP="00D55B0D">
      <w:pPr>
        <w:spacing w:after="120" w:line="240" w:lineRule="auto"/>
        <w:rPr>
          <w:shd w:val="clear" w:color="auto" w:fill="FFFFFF"/>
        </w:rPr>
      </w:pPr>
      <w:r w:rsidRPr="00826F6F">
        <w:rPr>
          <w:shd w:val="clear" w:color="auto" w:fill="FFFFFF"/>
        </w:rPr>
        <w:t xml:space="preserve">2018/19 </w:t>
      </w:r>
      <w:r w:rsidRPr="00826F6F">
        <w:rPr>
          <w:shd w:val="clear" w:color="auto" w:fill="FFFFFF"/>
        </w:rPr>
        <w:tab/>
        <w:t>58%</w:t>
      </w:r>
    </w:p>
    <w:p w14:paraId="777E8095" w14:textId="77777777" w:rsidR="00826F6F" w:rsidRPr="00826F6F" w:rsidRDefault="00826F6F" w:rsidP="00D55B0D">
      <w:pPr>
        <w:spacing w:after="120" w:line="240" w:lineRule="auto"/>
        <w:rPr>
          <w:shd w:val="clear" w:color="auto" w:fill="FFFFFF"/>
        </w:rPr>
      </w:pPr>
      <w:r w:rsidRPr="00826F6F">
        <w:rPr>
          <w:shd w:val="clear" w:color="auto" w:fill="FFFFFF"/>
        </w:rPr>
        <w:t>2019/20</w:t>
      </w:r>
      <w:r w:rsidRPr="00826F6F">
        <w:rPr>
          <w:shd w:val="clear" w:color="auto" w:fill="FFFFFF"/>
        </w:rPr>
        <w:tab/>
        <w:t>69%</w:t>
      </w:r>
    </w:p>
    <w:p w14:paraId="4B17DC6C" w14:textId="77777777" w:rsidR="00826F6F" w:rsidRPr="00826F6F" w:rsidRDefault="00826F6F" w:rsidP="00E739BB">
      <w:pPr>
        <w:pStyle w:val="NormalWeb"/>
        <w:shd w:val="clear" w:color="auto" w:fill="FFFFFF"/>
        <w:spacing w:before="0" w:beforeAutospacing="0" w:after="0" w:afterAutospacing="0" w:line="300" w:lineRule="auto"/>
        <w:rPr>
          <w:rFonts w:asciiTheme="minorHAnsi" w:hAnsiTheme="minorHAnsi" w:cstheme="minorHAnsi"/>
          <w:color w:val="0B0C0C"/>
          <w:sz w:val="28"/>
          <w:szCs w:val="28"/>
          <w:shd w:val="clear" w:color="auto" w:fill="FFFFFF"/>
        </w:rPr>
      </w:pPr>
    </w:p>
    <w:p w14:paraId="6D7004A8" w14:textId="77777777" w:rsidR="00826F6F" w:rsidRPr="00826F6F" w:rsidRDefault="00826F6F" w:rsidP="00DF2E11">
      <w:pPr>
        <w:pStyle w:val="Heading3"/>
        <w:rPr>
          <w:shd w:val="clear" w:color="auto" w:fill="FFFFFF"/>
        </w:rPr>
      </w:pPr>
      <w:bookmarkStart w:id="114" w:name="_Toc98504942"/>
      <w:r w:rsidRPr="00826F6F">
        <w:rPr>
          <w:shd w:val="clear" w:color="auto" w:fill="FFFFFF"/>
        </w:rPr>
        <w:t>Recent cases:</w:t>
      </w:r>
      <w:bookmarkEnd w:id="114"/>
      <w:r w:rsidRPr="00826F6F">
        <w:rPr>
          <w:shd w:val="clear" w:color="auto" w:fill="FFFFFF"/>
        </w:rPr>
        <w:t xml:space="preserve"> </w:t>
      </w:r>
    </w:p>
    <w:p w14:paraId="7D6F90AC" w14:textId="77777777" w:rsidR="00826F6F" w:rsidRPr="00826F6F" w:rsidRDefault="00826F6F" w:rsidP="00DF2E11">
      <w:pPr>
        <w:rPr>
          <w:shd w:val="clear" w:color="auto" w:fill="FFFFFF"/>
        </w:rPr>
      </w:pPr>
      <w:r w:rsidRPr="00826F6F">
        <w:rPr>
          <w:shd w:val="clear" w:color="auto" w:fill="FFFFFF"/>
        </w:rPr>
        <w:t>What follows is a selection of the most recent complaints investigated and upheld by the Ombudsman. Some complaints were not upheld, while others were upheld but the Council had agreed to take action to a suitable remedy so there was nothing further that the ombudsman could achieve by investigating these complaints and they are not mentioned in this document.</w:t>
      </w:r>
    </w:p>
    <w:p w14:paraId="0183C6F8" w14:textId="56296B4C" w:rsidR="00826F6F" w:rsidRDefault="00826F6F" w:rsidP="00DF2E11">
      <w:pPr>
        <w:pStyle w:val="Heading3"/>
        <w:rPr>
          <w:shd w:val="clear" w:color="auto" w:fill="FFFFFF"/>
        </w:rPr>
      </w:pPr>
      <w:bookmarkStart w:id="115" w:name="_Toc98504943"/>
      <w:r>
        <w:rPr>
          <w:shd w:val="clear" w:color="auto" w:fill="FFFFFF"/>
        </w:rPr>
        <w:t xml:space="preserve">Social Care </w:t>
      </w:r>
      <w:r w:rsidRPr="00826F6F">
        <w:rPr>
          <w:shd w:val="clear" w:color="auto" w:fill="FFFFFF"/>
        </w:rPr>
        <w:t>Charging</w:t>
      </w:r>
      <w:bookmarkEnd w:id="115"/>
    </w:p>
    <w:p w14:paraId="3774B89D" w14:textId="77777777" w:rsidR="00826F6F" w:rsidRPr="00826F6F" w:rsidRDefault="00826F6F" w:rsidP="00DF2E11">
      <w:pPr>
        <w:rPr>
          <w:b/>
          <w:shd w:val="clear" w:color="auto" w:fill="FFFFFF"/>
        </w:rPr>
      </w:pPr>
      <w:r w:rsidRPr="00DF2E11">
        <w:rPr>
          <w:b/>
          <w:bCs/>
          <w:shd w:val="clear" w:color="auto" w:fill="FFFFFF"/>
        </w:rPr>
        <w:t xml:space="preserve">22-Dec-2021 </w:t>
      </w:r>
      <w:hyperlink r:id="rId41" w:history="1">
        <w:r w:rsidRPr="00826F6F">
          <w:rPr>
            <w:rStyle w:val="Hyperlink"/>
            <w:rFonts w:asciiTheme="minorHAnsi" w:hAnsiTheme="minorHAnsi" w:cstheme="minorHAnsi"/>
            <w:szCs w:val="28"/>
            <w:shd w:val="clear" w:color="auto" w:fill="FFFFFF"/>
          </w:rPr>
          <w:t>Cheshire West &amp; Chester Council </w:t>
        </w:r>
      </w:hyperlink>
      <w:r w:rsidRPr="00826F6F">
        <w:rPr>
          <w:shd w:val="clear" w:color="auto" w:fill="FFFFFF"/>
        </w:rPr>
        <w:t xml:space="preserve"> Miss X complained the Council incorrectly charged her for care that she understood would be free. The Council was at fault for failing to provide financial information to Miss X about her package of care when she left hospital.</w:t>
      </w:r>
    </w:p>
    <w:p w14:paraId="13DB326F" w14:textId="77777777" w:rsidR="00826F6F" w:rsidRPr="00826F6F" w:rsidRDefault="00826F6F" w:rsidP="00DF2E11">
      <w:pPr>
        <w:rPr>
          <w:shd w:val="clear" w:color="auto" w:fill="FFFFFF"/>
        </w:rPr>
      </w:pPr>
      <w:r w:rsidRPr="00DF2E11">
        <w:rPr>
          <w:b/>
          <w:bCs/>
          <w:shd w:val="clear" w:color="auto" w:fill="FFFFFF"/>
        </w:rPr>
        <w:t xml:space="preserve">17-Dec-2021 </w:t>
      </w:r>
      <w:hyperlink r:id="rId42" w:history="1">
        <w:r w:rsidRPr="00826F6F">
          <w:rPr>
            <w:rStyle w:val="Hyperlink"/>
            <w:rFonts w:asciiTheme="minorHAnsi" w:hAnsiTheme="minorHAnsi" w:cstheme="minorHAnsi"/>
            <w:szCs w:val="28"/>
            <w:shd w:val="clear" w:color="auto" w:fill="FFFFFF"/>
          </w:rPr>
          <w:t>Liverpool City Council</w:t>
        </w:r>
      </w:hyperlink>
      <w:r w:rsidRPr="00826F6F">
        <w:rPr>
          <w:shd w:val="clear" w:color="auto" w:fill="FFFFFF"/>
        </w:rPr>
        <w:t xml:space="preserve"> Mr X complained about how the Council managed his late brother, Mr Y's, finances while it was his court appointed deputy. There was fault in how the Council identified and reported a change of Mr Y's circumstances which affected Mr Y's benefits</w:t>
      </w:r>
    </w:p>
    <w:p w14:paraId="5B2A91A2" w14:textId="77777777" w:rsidR="00826F6F" w:rsidRPr="00826F6F" w:rsidRDefault="00826F6F" w:rsidP="00DF2E11">
      <w:pPr>
        <w:rPr>
          <w:shd w:val="clear" w:color="auto" w:fill="FFFFFF"/>
        </w:rPr>
      </w:pPr>
      <w:r w:rsidRPr="00DF2E11">
        <w:rPr>
          <w:b/>
          <w:bCs/>
          <w:shd w:val="clear" w:color="auto" w:fill="FFFFFF"/>
        </w:rPr>
        <w:t xml:space="preserve">15-Dec-2021 </w:t>
      </w:r>
      <w:hyperlink r:id="rId43" w:history="1">
        <w:r w:rsidRPr="00826F6F">
          <w:rPr>
            <w:rStyle w:val="Hyperlink"/>
            <w:rFonts w:asciiTheme="minorHAnsi" w:hAnsiTheme="minorHAnsi" w:cstheme="minorHAnsi"/>
            <w:szCs w:val="28"/>
            <w:shd w:val="clear" w:color="auto" w:fill="FFFFFF"/>
          </w:rPr>
          <w:t>City of York Council </w:t>
        </w:r>
      </w:hyperlink>
      <w:r w:rsidRPr="00826F6F">
        <w:rPr>
          <w:shd w:val="clear" w:color="auto" w:fill="FFFFFF"/>
        </w:rPr>
        <w:t>Mr K complained about the Council's handling of his father's care funding. He said it took the Council four months to tell him the outcome of the care assessment. As a result, he said he experienced financial loss as the Council asked him to pay the care charges. He also said this caused him and his father distress.</w:t>
      </w:r>
    </w:p>
    <w:p w14:paraId="0B21CE5E" w14:textId="77777777" w:rsidR="00826F6F" w:rsidRPr="00826F6F" w:rsidRDefault="00826F6F" w:rsidP="00DF2E11">
      <w:pPr>
        <w:pStyle w:val="Heading3"/>
        <w:rPr>
          <w:shd w:val="clear" w:color="auto" w:fill="FFFFFF"/>
        </w:rPr>
      </w:pPr>
      <w:bookmarkStart w:id="116" w:name="_Toc98504944"/>
      <w:r w:rsidRPr="00826F6F">
        <w:rPr>
          <w:shd w:val="clear" w:color="auto" w:fill="FFFFFF"/>
        </w:rPr>
        <w:lastRenderedPageBreak/>
        <w:t>Assessment and care plan</w:t>
      </w:r>
      <w:bookmarkEnd w:id="116"/>
    </w:p>
    <w:p w14:paraId="2AF6AFCF" w14:textId="77777777" w:rsidR="00826F6F" w:rsidRPr="00826F6F" w:rsidRDefault="00826F6F" w:rsidP="00DF2E11">
      <w:pPr>
        <w:rPr>
          <w:shd w:val="clear" w:color="auto" w:fill="FFFFFF"/>
        </w:rPr>
      </w:pPr>
      <w:r w:rsidRPr="00DF2E11">
        <w:rPr>
          <w:b/>
          <w:bCs/>
          <w:shd w:val="clear" w:color="auto" w:fill="FFFFFF"/>
        </w:rPr>
        <w:t xml:space="preserve">21-Dec-2021 </w:t>
      </w:r>
      <w:hyperlink r:id="rId44" w:history="1">
        <w:r w:rsidRPr="00826F6F">
          <w:rPr>
            <w:rStyle w:val="Hyperlink"/>
            <w:rFonts w:asciiTheme="minorHAnsi" w:hAnsiTheme="minorHAnsi" w:cstheme="minorHAnsi"/>
            <w:szCs w:val="28"/>
            <w:shd w:val="clear" w:color="auto" w:fill="FFFFFF"/>
          </w:rPr>
          <w:t>Essex County Council</w:t>
        </w:r>
      </w:hyperlink>
      <w:r w:rsidRPr="00826F6F">
        <w:rPr>
          <w:shd w:val="clear" w:color="auto" w:fill="FFFFFF"/>
        </w:rPr>
        <w:t xml:space="preserve"> Ms X complained about the way the Council assessed her mother's needs for homecare support. Ms X says this resulted in distress and a delay in her mother's discharge. We found fault with the way in which the Council responded when Ms X and the care home raised concerns about the proposed support at home. </w:t>
      </w:r>
    </w:p>
    <w:p w14:paraId="54C372DD" w14:textId="77777777" w:rsidR="00826F6F" w:rsidRPr="00826F6F" w:rsidRDefault="00826F6F" w:rsidP="00DF2E11">
      <w:pPr>
        <w:rPr>
          <w:shd w:val="clear" w:color="auto" w:fill="FFFFFF"/>
        </w:rPr>
      </w:pPr>
      <w:r w:rsidRPr="00DF2E11">
        <w:rPr>
          <w:b/>
          <w:bCs/>
          <w:shd w:val="clear" w:color="auto" w:fill="FFFFFF"/>
        </w:rPr>
        <w:t>15-Dec-2021</w:t>
      </w:r>
      <w:r w:rsidRPr="00826F6F">
        <w:rPr>
          <w:shd w:val="clear" w:color="auto" w:fill="FFFFFF"/>
        </w:rPr>
        <w:t xml:space="preserve"> </w:t>
      </w:r>
      <w:hyperlink r:id="rId45" w:history="1">
        <w:r w:rsidRPr="00826F6F">
          <w:rPr>
            <w:rStyle w:val="Hyperlink"/>
            <w:rFonts w:asciiTheme="minorHAnsi" w:hAnsiTheme="minorHAnsi" w:cstheme="minorHAnsi"/>
            <w:szCs w:val="28"/>
            <w:shd w:val="clear" w:color="auto" w:fill="FFFFFF"/>
          </w:rPr>
          <w:t>London Borough of Croydon</w:t>
        </w:r>
      </w:hyperlink>
      <w:r w:rsidRPr="00826F6F">
        <w:rPr>
          <w:shd w:val="clear" w:color="auto" w:fill="FFFFFF"/>
        </w:rPr>
        <w:t xml:space="preserve"> We upheld Ms X's complaints about a failure to arrange a timely assessment to enable Mrs Y to have an appropriate care package so she could go home from hospital and about poor care (missed medication).</w:t>
      </w:r>
    </w:p>
    <w:p w14:paraId="691A59E1" w14:textId="77777777" w:rsidR="00826F6F" w:rsidRPr="00826F6F" w:rsidRDefault="00826F6F" w:rsidP="00DF2E11">
      <w:pPr>
        <w:rPr>
          <w:shd w:val="clear" w:color="auto" w:fill="FFFFFF"/>
        </w:rPr>
      </w:pPr>
      <w:r w:rsidRPr="00DF2E11">
        <w:rPr>
          <w:b/>
          <w:bCs/>
          <w:shd w:val="clear" w:color="auto" w:fill="FFFFFF"/>
        </w:rPr>
        <w:t>15-Dec-2021</w:t>
      </w:r>
      <w:r w:rsidRPr="00826F6F">
        <w:rPr>
          <w:shd w:val="clear" w:color="auto" w:fill="FFFFFF"/>
        </w:rPr>
        <w:t xml:space="preserve"> </w:t>
      </w:r>
      <w:hyperlink r:id="rId46" w:history="1">
        <w:r w:rsidRPr="00826F6F">
          <w:rPr>
            <w:rStyle w:val="Hyperlink"/>
            <w:rFonts w:asciiTheme="minorHAnsi" w:hAnsiTheme="minorHAnsi" w:cstheme="minorHAnsi"/>
            <w:szCs w:val="28"/>
            <w:shd w:val="clear" w:color="auto" w:fill="FFFFFF"/>
          </w:rPr>
          <w:t>Kent County Council </w:t>
        </w:r>
      </w:hyperlink>
      <w:r w:rsidRPr="00826F6F">
        <w:rPr>
          <w:shd w:val="clear" w:color="auto" w:fill="FFFFFF"/>
        </w:rPr>
        <w:t>Mrs X complained the Council reduced the support provided to her son, Mr Y, on his care plan without involving him in 2019. There was fault in how the Council reduced Mr Y's care and support without notice and delays in arranging his direct payments in late 2020</w:t>
      </w:r>
    </w:p>
    <w:p w14:paraId="32F70586" w14:textId="77777777" w:rsidR="00826F6F" w:rsidRPr="00826F6F" w:rsidRDefault="00826F6F" w:rsidP="00DF2E11">
      <w:pPr>
        <w:pStyle w:val="Heading3"/>
        <w:rPr>
          <w:shd w:val="clear" w:color="auto" w:fill="FFFFFF"/>
        </w:rPr>
      </w:pPr>
      <w:bookmarkStart w:id="117" w:name="_Toc98504945"/>
      <w:r w:rsidRPr="00826F6F">
        <w:rPr>
          <w:shd w:val="clear" w:color="auto" w:fill="FFFFFF"/>
        </w:rPr>
        <w:t>Direct payments</w:t>
      </w:r>
      <w:bookmarkEnd w:id="117"/>
    </w:p>
    <w:p w14:paraId="499BB807" w14:textId="77777777" w:rsidR="00826F6F" w:rsidRPr="00826F6F" w:rsidRDefault="00826F6F" w:rsidP="00DF2E11">
      <w:pPr>
        <w:rPr>
          <w:shd w:val="clear" w:color="auto" w:fill="FFFFFF"/>
        </w:rPr>
      </w:pPr>
      <w:r w:rsidRPr="00123C59">
        <w:rPr>
          <w:b/>
          <w:bCs/>
          <w:shd w:val="clear" w:color="auto" w:fill="FFFFFF"/>
        </w:rPr>
        <w:t>10-Dec-2021</w:t>
      </w:r>
      <w:r w:rsidRPr="00826F6F">
        <w:rPr>
          <w:shd w:val="clear" w:color="auto" w:fill="FFFFFF"/>
        </w:rPr>
        <w:t xml:space="preserve"> </w:t>
      </w:r>
      <w:hyperlink r:id="rId47" w:history="1">
        <w:r w:rsidRPr="00826F6F">
          <w:rPr>
            <w:rStyle w:val="Hyperlink"/>
            <w:rFonts w:asciiTheme="minorHAnsi" w:hAnsiTheme="minorHAnsi" w:cstheme="minorHAnsi"/>
            <w:szCs w:val="28"/>
            <w:shd w:val="clear" w:color="auto" w:fill="FFFFFF"/>
          </w:rPr>
          <w:t>East Sussex County Council</w:t>
        </w:r>
      </w:hyperlink>
      <w:r w:rsidRPr="00826F6F">
        <w:rPr>
          <w:shd w:val="clear" w:color="auto" w:fill="FFFFFF"/>
        </w:rPr>
        <w:t xml:space="preserve"> Mrs Y complained about the way the Council dealt with Mr X's direct payments, and its complaints handling. The Ombudsman has found fault by the Council, causing injustice.</w:t>
      </w:r>
    </w:p>
    <w:p w14:paraId="75EFAFEB" w14:textId="77777777" w:rsidR="00826F6F" w:rsidRPr="00826F6F" w:rsidRDefault="00826F6F" w:rsidP="00DF2E11">
      <w:pPr>
        <w:rPr>
          <w:shd w:val="clear" w:color="auto" w:fill="FFFFFF"/>
        </w:rPr>
      </w:pPr>
      <w:r w:rsidRPr="00123C59">
        <w:rPr>
          <w:b/>
          <w:bCs/>
          <w:shd w:val="clear" w:color="auto" w:fill="FFFFFF"/>
        </w:rPr>
        <w:t>04-Nov-2021</w:t>
      </w:r>
      <w:r w:rsidRPr="00826F6F">
        <w:rPr>
          <w:shd w:val="clear" w:color="auto" w:fill="FFFFFF"/>
        </w:rPr>
        <w:t xml:space="preserve"> </w:t>
      </w:r>
      <w:hyperlink r:id="rId48" w:history="1">
        <w:r w:rsidRPr="00826F6F">
          <w:rPr>
            <w:rStyle w:val="Hyperlink"/>
            <w:rFonts w:asciiTheme="minorHAnsi" w:hAnsiTheme="minorHAnsi" w:cstheme="minorHAnsi"/>
            <w:szCs w:val="28"/>
            <w:shd w:val="clear" w:color="auto" w:fill="FFFFFF"/>
          </w:rPr>
          <w:t>Warrington Council </w:t>
        </w:r>
      </w:hyperlink>
      <w:r w:rsidRPr="00826F6F">
        <w:rPr>
          <w:shd w:val="clear" w:color="auto" w:fill="FFFFFF"/>
        </w:rPr>
        <w:t>Mr X complained about how the Council provided for his, and his son, Mr Q's, social care needs. Based on the information we have seen, there was fault in how the Council calculated and managed Mr Q's direct payments. This caused an underpayment to Mr Q and avoidable frustration, time and trouble to Mr X</w:t>
      </w:r>
    </w:p>
    <w:p w14:paraId="073CC03D" w14:textId="77777777" w:rsidR="00826F6F" w:rsidRPr="00826F6F" w:rsidRDefault="00826F6F" w:rsidP="00DF2E11">
      <w:pPr>
        <w:rPr>
          <w:shd w:val="clear" w:color="auto" w:fill="FFFFFF"/>
        </w:rPr>
      </w:pPr>
      <w:r w:rsidRPr="00123C59">
        <w:rPr>
          <w:b/>
          <w:bCs/>
          <w:shd w:val="clear" w:color="auto" w:fill="FFFFFF"/>
        </w:rPr>
        <w:t xml:space="preserve">14-Oct-2021 </w:t>
      </w:r>
      <w:hyperlink r:id="rId49" w:history="1">
        <w:r w:rsidRPr="00826F6F">
          <w:rPr>
            <w:rStyle w:val="Hyperlink"/>
            <w:rFonts w:asciiTheme="minorHAnsi" w:hAnsiTheme="minorHAnsi" w:cstheme="minorHAnsi"/>
            <w:szCs w:val="28"/>
            <w:shd w:val="clear" w:color="auto" w:fill="FFFFFF"/>
          </w:rPr>
          <w:t>Nottinghamshire County Council</w:t>
        </w:r>
      </w:hyperlink>
      <w:r w:rsidRPr="00826F6F">
        <w:rPr>
          <w:shd w:val="clear" w:color="auto" w:fill="FFFFFF"/>
        </w:rPr>
        <w:t xml:space="preserve">  Ms X complained about how the Council assessed her mother Ms Y's care and support needs and </w:t>
      </w:r>
      <w:r w:rsidRPr="00826F6F">
        <w:rPr>
          <w:shd w:val="clear" w:color="auto" w:fill="FFFFFF"/>
        </w:rPr>
        <w:lastRenderedPageBreak/>
        <w:t>about how it handled the financial assessment and Ms Y's financial contribution. The Council was at fault for delays in notifying Ms Y of her contribution, for delays in responding to Ms X and for the way it recouped an overpayment which left Ms Y without sufficient funds to pay for her care.</w:t>
      </w:r>
    </w:p>
    <w:p w14:paraId="40A78CFF" w14:textId="1E142120" w:rsidR="00826F6F" w:rsidRPr="00826F6F" w:rsidRDefault="00C006F0" w:rsidP="00123C59">
      <w:pPr>
        <w:pStyle w:val="Heading3"/>
        <w:rPr>
          <w:shd w:val="clear" w:color="auto" w:fill="FFFFFF"/>
        </w:rPr>
      </w:pPr>
      <w:bookmarkStart w:id="118" w:name="_Toc98504946"/>
      <w:r>
        <w:rPr>
          <w:shd w:val="clear" w:color="auto" w:fill="FFFFFF"/>
        </w:rPr>
        <w:t>COVID</w:t>
      </w:r>
      <w:bookmarkEnd w:id="118"/>
    </w:p>
    <w:p w14:paraId="76D8EC3F" w14:textId="77777777" w:rsidR="00826F6F" w:rsidRPr="00826F6F" w:rsidRDefault="00826F6F" w:rsidP="00123C59">
      <w:pPr>
        <w:rPr>
          <w:shd w:val="clear" w:color="auto" w:fill="FFFFFF"/>
        </w:rPr>
      </w:pPr>
      <w:r w:rsidRPr="00123C59">
        <w:rPr>
          <w:b/>
          <w:bCs/>
          <w:shd w:val="clear" w:color="auto" w:fill="FFFFFF"/>
        </w:rPr>
        <w:t>21-Dec-2021</w:t>
      </w:r>
      <w:r w:rsidRPr="00826F6F">
        <w:rPr>
          <w:shd w:val="clear" w:color="auto" w:fill="FFFFFF"/>
        </w:rPr>
        <w:t xml:space="preserve"> </w:t>
      </w:r>
      <w:hyperlink r:id="rId50" w:history="1">
        <w:r w:rsidRPr="00123C59">
          <w:rPr>
            <w:rStyle w:val="Hyperlink"/>
          </w:rPr>
          <w:t>Oxfordshire County Council</w:t>
        </w:r>
      </w:hyperlink>
      <w:r w:rsidRPr="00826F6F">
        <w:rPr>
          <w:shd w:val="clear" w:color="auto" w:fill="FFFFFF"/>
        </w:rPr>
        <w:t xml:space="preserve"> The Council was at fault when Mr X's Care Provider withdrew his home care package with no notice when it decided he and his wife may have COVID-19. The Council was also at fault for delaying in sourcing another care package for Mr X.</w:t>
      </w:r>
    </w:p>
    <w:p w14:paraId="7AEC3660" w14:textId="77777777" w:rsidR="00826F6F" w:rsidRPr="00826F6F" w:rsidRDefault="00826F6F" w:rsidP="00123C59">
      <w:pPr>
        <w:rPr>
          <w:shd w:val="clear" w:color="auto" w:fill="FFFFFF"/>
        </w:rPr>
      </w:pPr>
      <w:r w:rsidRPr="00123C59">
        <w:rPr>
          <w:b/>
          <w:bCs/>
          <w:shd w:val="clear" w:color="auto" w:fill="FFFFFF"/>
        </w:rPr>
        <w:t>06-Dec-2021</w:t>
      </w:r>
      <w:r w:rsidRPr="00826F6F">
        <w:rPr>
          <w:shd w:val="clear" w:color="auto" w:fill="FFFFFF"/>
        </w:rPr>
        <w:t xml:space="preserve"> </w:t>
      </w:r>
      <w:hyperlink r:id="rId51" w:history="1">
        <w:r w:rsidRPr="00123C59">
          <w:rPr>
            <w:rStyle w:val="Hyperlink"/>
          </w:rPr>
          <w:t>West Sussex County Council </w:t>
        </w:r>
      </w:hyperlink>
      <w:r w:rsidRPr="00826F6F">
        <w:rPr>
          <w:shd w:val="clear" w:color="auto" w:fill="FFFFFF"/>
        </w:rPr>
        <w:t>Mrs X complains about a lack of communication from the Burlington Nursing Home, where the Council had placed her father, causing unnecessary distress, and a failure to recognise he was approaching the end of his life, which meant his family could not spend time with him before he died.</w:t>
      </w:r>
    </w:p>
    <w:p w14:paraId="52EF0D11" w14:textId="77777777" w:rsidR="00826F6F" w:rsidRPr="00826F6F" w:rsidRDefault="00826F6F" w:rsidP="00123C59">
      <w:pPr>
        <w:rPr>
          <w:shd w:val="clear" w:color="auto" w:fill="FFFFFF"/>
        </w:rPr>
      </w:pPr>
      <w:r w:rsidRPr="00123C59">
        <w:rPr>
          <w:b/>
          <w:bCs/>
          <w:shd w:val="clear" w:color="auto" w:fill="FFFFFF"/>
        </w:rPr>
        <w:t>23-Nov-2021</w:t>
      </w:r>
      <w:r w:rsidRPr="00826F6F">
        <w:rPr>
          <w:shd w:val="clear" w:color="auto" w:fill="FFFFFF"/>
        </w:rPr>
        <w:t xml:space="preserve"> </w:t>
      </w:r>
      <w:hyperlink r:id="rId52" w:history="1">
        <w:r w:rsidRPr="00123C59">
          <w:rPr>
            <w:rStyle w:val="Hyperlink"/>
          </w:rPr>
          <w:t>London Borough of Croydon</w:t>
        </w:r>
      </w:hyperlink>
      <w:r w:rsidRPr="00826F6F">
        <w:rPr>
          <w:shd w:val="clear" w:color="auto" w:fill="FFFFFF"/>
        </w:rPr>
        <w:t xml:space="preserve"> Mrs X complains the Council failed to provide enough support for Mr Y during the COVID-19 pandemic, leaving her to meet all his needs for several months and unable to work. The Council did not respond promptly or constructively to all Mrs X's requests for support. This left her struggling to meet all Mr Y's needs. </w:t>
      </w:r>
    </w:p>
    <w:p w14:paraId="37D51952" w14:textId="77777777" w:rsidR="00826F6F" w:rsidRPr="00826F6F" w:rsidRDefault="00826F6F" w:rsidP="00123C59">
      <w:pPr>
        <w:rPr>
          <w:shd w:val="clear" w:color="auto" w:fill="FFFFFF"/>
        </w:rPr>
      </w:pPr>
      <w:r w:rsidRPr="00123C59">
        <w:rPr>
          <w:b/>
          <w:bCs/>
          <w:shd w:val="clear" w:color="auto" w:fill="FFFFFF"/>
        </w:rPr>
        <w:t>03-Nov-2021</w:t>
      </w:r>
      <w:r w:rsidRPr="00826F6F">
        <w:rPr>
          <w:shd w:val="clear" w:color="auto" w:fill="FFFFFF"/>
        </w:rPr>
        <w:t xml:space="preserve"> </w:t>
      </w:r>
      <w:hyperlink r:id="rId53" w:history="1">
        <w:r w:rsidRPr="00123C59">
          <w:rPr>
            <w:rStyle w:val="Hyperlink"/>
          </w:rPr>
          <w:t>MTCARE Property Limited</w:t>
        </w:r>
      </w:hyperlink>
      <w:r w:rsidRPr="00123C59">
        <w:rPr>
          <w:rStyle w:val="Hyperlink"/>
        </w:rPr>
        <w:t xml:space="preserve"> </w:t>
      </w:r>
      <w:r w:rsidRPr="00826F6F">
        <w:rPr>
          <w:shd w:val="clear" w:color="auto" w:fill="FFFFFF"/>
        </w:rPr>
        <w:t xml:space="preserve">Ms X complains </w:t>
      </w:r>
      <w:proofErr w:type="spellStart"/>
      <w:r w:rsidRPr="00826F6F">
        <w:rPr>
          <w:shd w:val="clear" w:color="auto" w:fill="FFFFFF"/>
        </w:rPr>
        <w:t>Meavy</w:t>
      </w:r>
      <w:proofErr w:type="spellEnd"/>
      <w:r w:rsidRPr="00826F6F">
        <w:rPr>
          <w:shd w:val="clear" w:color="auto" w:fill="FFFFFF"/>
        </w:rPr>
        <w:t xml:space="preserve"> View Retirement Home (run by MTCARE Property Limited) failed to look after her mother properly while she was living there during the COVID-19 pandemic in 2020. </w:t>
      </w:r>
      <w:proofErr w:type="spellStart"/>
      <w:r w:rsidRPr="00826F6F">
        <w:rPr>
          <w:shd w:val="clear" w:color="auto" w:fill="FFFFFF"/>
        </w:rPr>
        <w:t>Meavy</w:t>
      </w:r>
      <w:proofErr w:type="spellEnd"/>
      <w:r w:rsidRPr="00826F6F">
        <w:rPr>
          <w:shd w:val="clear" w:color="auto" w:fill="FFFFFF"/>
        </w:rPr>
        <w:t xml:space="preserve"> View did not keep proper records of the care provided for Mrs Y, which may have put he01-Nov-2021r and others at risk of harm</w:t>
      </w:r>
    </w:p>
    <w:p w14:paraId="053937F5" w14:textId="77777777" w:rsidR="00826F6F" w:rsidRPr="00826F6F" w:rsidRDefault="00826F6F" w:rsidP="00123C59">
      <w:pPr>
        <w:rPr>
          <w:shd w:val="clear" w:color="auto" w:fill="FFFFFF"/>
        </w:rPr>
      </w:pPr>
      <w:r w:rsidRPr="00123C59">
        <w:rPr>
          <w:b/>
          <w:bCs/>
          <w:shd w:val="clear" w:color="auto" w:fill="FFFFFF"/>
        </w:rPr>
        <w:t>01-Nov-2021</w:t>
      </w:r>
      <w:r w:rsidRPr="00826F6F">
        <w:rPr>
          <w:shd w:val="clear" w:color="auto" w:fill="FFFFFF"/>
        </w:rPr>
        <w:t xml:space="preserve"> </w:t>
      </w:r>
      <w:hyperlink r:id="rId54" w:history="1">
        <w:r w:rsidRPr="00123C59">
          <w:rPr>
            <w:rStyle w:val="Hyperlink"/>
          </w:rPr>
          <w:t>Hanford Manor Limited</w:t>
        </w:r>
      </w:hyperlink>
      <w:r w:rsidRPr="00826F6F">
        <w:rPr>
          <w:bCs/>
          <w:shd w:val="clear" w:color="auto" w:fill="FFFFFF"/>
        </w:rPr>
        <w:t xml:space="preserve"> </w:t>
      </w:r>
      <w:r w:rsidRPr="00826F6F">
        <w:rPr>
          <w:shd w:val="clear" w:color="auto" w:fill="FFFFFF"/>
        </w:rPr>
        <w:t xml:space="preserve">Miss X complains Hanford Manor failed to look after her late father, Mr Y, properly when he stayed there in </w:t>
      </w:r>
      <w:r w:rsidRPr="00826F6F">
        <w:rPr>
          <w:shd w:val="clear" w:color="auto" w:fill="FFFFFF"/>
        </w:rPr>
        <w:lastRenderedPageBreak/>
        <w:t>February 2021. She says this resulted in a rapid decline in his condition and poor infection control, which resulted in him catching COVID-19 from which he died. Hanford Manor failed to produce care plans for meeting Mr Y's needs</w:t>
      </w:r>
    </w:p>
    <w:p w14:paraId="7F246B52" w14:textId="77777777" w:rsidR="00826F6F" w:rsidRPr="00826F6F" w:rsidRDefault="00826F6F" w:rsidP="00123C59">
      <w:pPr>
        <w:rPr>
          <w:shd w:val="clear" w:color="auto" w:fill="FFFFFF"/>
        </w:rPr>
      </w:pPr>
      <w:r w:rsidRPr="00123C59">
        <w:rPr>
          <w:b/>
          <w:bCs/>
          <w:shd w:val="clear" w:color="auto" w:fill="FFFFFF"/>
        </w:rPr>
        <w:t>26-Oct-2021</w:t>
      </w:r>
      <w:r w:rsidRPr="00826F6F">
        <w:rPr>
          <w:shd w:val="clear" w:color="auto" w:fill="FFFFFF"/>
        </w:rPr>
        <w:t xml:space="preserve"> </w:t>
      </w:r>
      <w:hyperlink r:id="rId55" w:history="1">
        <w:r w:rsidRPr="00123C59">
          <w:rPr>
            <w:rStyle w:val="Hyperlink"/>
          </w:rPr>
          <w:t>Essex County Council </w:t>
        </w:r>
      </w:hyperlink>
      <w:r w:rsidRPr="00826F6F">
        <w:rPr>
          <w:shd w:val="clear" w:color="auto" w:fill="FFFFFF"/>
        </w:rPr>
        <w:t>The Council was at fault when it failed to consider Mr X's requests on behalf of his sister, Ms S, for disability related expenditure. This caused Ms S an injustice because there is uncertainty over whether those requests should have been granted</w:t>
      </w:r>
    </w:p>
    <w:p w14:paraId="33362745" w14:textId="70C25341" w:rsidR="00826F6F" w:rsidRPr="00826F6F" w:rsidRDefault="00826F6F" w:rsidP="00123C59">
      <w:pPr>
        <w:pStyle w:val="Heading3"/>
        <w:rPr>
          <w:shd w:val="clear" w:color="auto" w:fill="FFFFFF"/>
        </w:rPr>
      </w:pPr>
      <w:bookmarkStart w:id="119" w:name="_Toc98504947"/>
      <w:r w:rsidRPr="00826F6F">
        <w:rPr>
          <w:shd w:val="clear" w:color="auto" w:fill="FFFFFF"/>
        </w:rPr>
        <w:t xml:space="preserve">Disabled </w:t>
      </w:r>
      <w:r w:rsidR="00C442AC">
        <w:rPr>
          <w:shd w:val="clear" w:color="auto" w:fill="FFFFFF"/>
        </w:rPr>
        <w:t>F</w:t>
      </w:r>
      <w:r w:rsidRPr="00826F6F">
        <w:rPr>
          <w:shd w:val="clear" w:color="auto" w:fill="FFFFFF"/>
        </w:rPr>
        <w:t xml:space="preserve">acilities </w:t>
      </w:r>
      <w:r w:rsidR="00C442AC">
        <w:rPr>
          <w:shd w:val="clear" w:color="auto" w:fill="FFFFFF"/>
        </w:rPr>
        <w:t>G</w:t>
      </w:r>
      <w:r w:rsidRPr="00826F6F">
        <w:rPr>
          <w:shd w:val="clear" w:color="auto" w:fill="FFFFFF"/>
        </w:rPr>
        <w:t>rants</w:t>
      </w:r>
      <w:bookmarkEnd w:id="119"/>
    </w:p>
    <w:p w14:paraId="3F8D4CEC" w14:textId="77777777" w:rsidR="00826F6F" w:rsidRPr="00826F6F" w:rsidRDefault="00826F6F" w:rsidP="00123C59">
      <w:pPr>
        <w:rPr>
          <w:shd w:val="clear" w:color="auto" w:fill="FFFFFF"/>
        </w:rPr>
      </w:pPr>
      <w:r w:rsidRPr="00123C59">
        <w:rPr>
          <w:b/>
          <w:bCs/>
          <w:shd w:val="clear" w:color="auto" w:fill="FFFFFF"/>
        </w:rPr>
        <w:t>18-Nov-2021</w:t>
      </w:r>
      <w:r w:rsidRPr="00123C59">
        <w:rPr>
          <w:rStyle w:val="Hyperlink"/>
        </w:rPr>
        <w:t xml:space="preserve"> </w:t>
      </w:r>
      <w:hyperlink r:id="rId56" w:history="1">
        <w:r w:rsidRPr="00123C59">
          <w:rPr>
            <w:rStyle w:val="Hyperlink"/>
          </w:rPr>
          <w:t>London Borough of Redbridge</w:t>
        </w:r>
      </w:hyperlink>
      <w:r w:rsidRPr="00826F6F">
        <w:rPr>
          <w:shd w:val="clear" w:color="auto" w:fill="FFFFFF"/>
        </w:rPr>
        <w:t xml:space="preserve"> The Council's failure to deal properly with Mr X's application for a Disabled Facilities Grant caused avoidable delays of 32 months</w:t>
      </w:r>
    </w:p>
    <w:p w14:paraId="2ACCBED2" w14:textId="77777777" w:rsidR="00826F6F" w:rsidRPr="00826F6F" w:rsidRDefault="00826F6F" w:rsidP="002874AA">
      <w:pPr>
        <w:pStyle w:val="Heading3"/>
        <w:rPr>
          <w:shd w:val="clear" w:color="auto" w:fill="FFFFFF"/>
        </w:rPr>
      </w:pPr>
      <w:bookmarkStart w:id="120" w:name="_Toc98504948"/>
      <w:r w:rsidRPr="00826F6F">
        <w:rPr>
          <w:shd w:val="clear" w:color="auto" w:fill="FFFFFF"/>
        </w:rPr>
        <w:t>Residential care</w:t>
      </w:r>
      <w:bookmarkEnd w:id="120"/>
    </w:p>
    <w:p w14:paraId="0BC143E7" w14:textId="77777777" w:rsidR="00826F6F" w:rsidRPr="00826F6F" w:rsidRDefault="00826F6F" w:rsidP="002874AA">
      <w:pPr>
        <w:rPr>
          <w:shd w:val="clear" w:color="auto" w:fill="FFFFFF"/>
        </w:rPr>
      </w:pPr>
      <w:r w:rsidRPr="00357F91">
        <w:rPr>
          <w:b/>
          <w:bCs/>
          <w:shd w:val="clear" w:color="auto" w:fill="FFFFFF"/>
        </w:rPr>
        <w:t>04-Jan-2022</w:t>
      </w:r>
      <w:r w:rsidRPr="00826F6F">
        <w:rPr>
          <w:shd w:val="clear" w:color="auto" w:fill="FFFFFF"/>
        </w:rPr>
        <w:t xml:space="preserve"> </w:t>
      </w:r>
      <w:hyperlink r:id="rId57" w:history="1">
        <w:r w:rsidRPr="002874AA">
          <w:rPr>
            <w:rStyle w:val="Hyperlink"/>
          </w:rPr>
          <w:t>Barnsley Metropolitan Borough Council</w:t>
        </w:r>
      </w:hyperlink>
      <w:r w:rsidRPr="00826F6F">
        <w:rPr>
          <w:shd w:val="clear" w:color="auto" w:fill="FFFFFF"/>
        </w:rPr>
        <w:t xml:space="preserve">  Mr X complained his mother's care home billed him for unpaid care charges two and a half years after his mother passed away. Mr X says this situation has caused distress and upset to him and his family. The Ombudsman found fault with the Council for failing to pay Mrs Z's top-up charges despite placing her in a residential care home. </w:t>
      </w:r>
    </w:p>
    <w:p w14:paraId="10569E95" w14:textId="77777777" w:rsidR="00826F6F" w:rsidRPr="00826F6F" w:rsidRDefault="00826F6F" w:rsidP="002874AA">
      <w:pPr>
        <w:rPr>
          <w:shd w:val="clear" w:color="auto" w:fill="FFFFFF"/>
        </w:rPr>
      </w:pPr>
      <w:r w:rsidRPr="00357F91">
        <w:rPr>
          <w:b/>
          <w:bCs/>
          <w:shd w:val="clear" w:color="auto" w:fill="FFFFFF"/>
        </w:rPr>
        <w:t>21-Dec-2021</w:t>
      </w:r>
      <w:r w:rsidRPr="00826F6F">
        <w:rPr>
          <w:shd w:val="clear" w:color="auto" w:fill="FFFFFF"/>
        </w:rPr>
        <w:t xml:space="preserve"> </w:t>
      </w:r>
      <w:hyperlink r:id="rId58" w:history="1">
        <w:r w:rsidRPr="002874AA">
          <w:rPr>
            <w:rStyle w:val="Hyperlink"/>
          </w:rPr>
          <w:t>Tameside Metropolitan Borough Council</w:t>
        </w:r>
      </w:hyperlink>
      <w:r w:rsidRPr="00826F6F">
        <w:rPr>
          <w:shd w:val="clear" w:color="auto" w:fill="FFFFFF"/>
        </w:rPr>
        <w:t xml:space="preserve"> Mr C complained about the way the Council, and the care provider it commissioned, responded to a deterioration of his son's behaviour, which resulted in increasing incidents. We found the Council was at fault for a delay in its response</w:t>
      </w:r>
    </w:p>
    <w:p w14:paraId="660E6D4E" w14:textId="77777777" w:rsidR="00826F6F" w:rsidRPr="00826F6F" w:rsidRDefault="00826F6F" w:rsidP="002874AA">
      <w:pPr>
        <w:rPr>
          <w:shd w:val="clear" w:color="auto" w:fill="FFFFFF"/>
        </w:rPr>
      </w:pPr>
      <w:r w:rsidRPr="00357F91">
        <w:rPr>
          <w:b/>
          <w:bCs/>
          <w:shd w:val="clear" w:color="auto" w:fill="FFFFFF"/>
        </w:rPr>
        <w:t>21-Dec-2021</w:t>
      </w:r>
      <w:r w:rsidRPr="00826F6F">
        <w:rPr>
          <w:shd w:val="clear" w:color="auto" w:fill="FFFFFF"/>
        </w:rPr>
        <w:t xml:space="preserve"> </w:t>
      </w:r>
      <w:hyperlink r:id="rId59" w:history="1">
        <w:r w:rsidRPr="002874AA">
          <w:rPr>
            <w:rStyle w:val="Hyperlink"/>
          </w:rPr>
          <w:t>Reading Borough Council </w:t>
        </w:r>
      </w:hyperlink>
      <w:r w:rsidRPr="00826F6F">
        <w:rPr>
          <w:shd w:val="clear" w:color="auto" w:fill="FFFFFF"/>
        </w:rPr>
        <w:t xml:space="preserve">Ms X says her mother died in hospital because of poor care she received in a care home. There were admitted failings in the care Ms X's mother received at the care home. </w:t>
      </w:r>
      <w:r w:rsidRPr="00826F6F">
        <w:rPr>
          <w:shd w:val="clear" w:color="auto" w:fill="FFFFFF"/>
        </w:rPr>
        <w:lastRenderedPageBreak/>
        <w:t>But Ms X's mother's death cannot be attributed to poor care at the home through this investigation</w:t>
      </w:r>
    </w:p>
    <w:p w14:paraId="5284257F" w14:textId="77777777" w:rsidR="00826F6F" w:rsidRPr="00826F6F" w:rsidRDefault="00826F6F" w:rsidP="002874AA">
      <w:pPr>
        <w:rPr>
          <w:shd w:val="clear" w:color="auto" w:fill="FFFFFF"/>
        </w:rPr>
      </w:pPr>
      <w:r w:rsidRPr="00357F91">
        <w:rPr>
          <w:b/>
          <w:bCs/>
          <w:shd w:val="clear" w:color="auto" w:fill="FFFFFF"/>
        </w:rPr>
        <w:t>21-Dec-2021</w:t>
      </w:r>
      <w:r w:rsidRPr="00826F6F">
        <w:rPr>
          <w:shd w:val="clear" w:color="auto" w:fill="FFFFFF"/>
        </w:rPr>
        <w:t xml:space="preserve"> </w:t>
      </w:r>
      <w:hyperlink r:id="rId60" w:history="1">
        <w:r w:rsidRPr="002874AA">
          <w:rPr>
            <w:rStyle w:val="Hyperlink"/>
          </w:rPr>
          <w:t>Charlton Care Group Limited</w:t>
        </w:r>
      </w:hyperlink>
      <w:r w:rsidRPr="00826F6F">
        <w:rPr>
          <w:shd w:val="clear" w:color="auto" w:fill="FFFFFF"/>
        </w:rPr>
        <w:t xml:space="preserve"> Mrs C complained about several aspects of the care support her father received at the care home he was living. Mrs C said these resulted in distress to her father and herself. We found there were some shortcomings with regards to the support Mr F received</w:t>
      </w:r>
    </w:p>
    <w:p w14:paraId="329F6303" w14:textId="77777777" w:rsidR="00826F6F" w:rsidRPr="00826F6F" w:rsidRDefault="00826F6F" w:rsidP="002874AA">
      <w:pPr>
        <w:rPr>
          <w:shd w:val="clear" w:color="auto" w:fill="FFFFFF"/>
        </w:rPr>
      </w:pPr>
      <w:r w:rsidRPr="00357F91">
        <w:rPr>
          <w:b/>
          <w:bCs/>
          <w:shd w:val="clear" w:color="auto" w:fill="FFFFFF"/>
        </w:rPr>
        <w:t>21-Dec-2021</w:t>
      </w:r>
      <w:r w:rsidRPr="00826F6F">
        <w:rPr>
          <w:shd w:val="clear" w:color="auto" w:fill="FFFFFF"/>
        </w:rPr>
        <w:t xml:space="preserve"> </w:t>
      </w:r>
      <w:hyperlink r:id="rId61" w:history="1">
        <w:r w:rsidRPr="002874AA">
          <w:rPr>
            <w:rStyle w:val="Hyperlink"/>
          </w:rPr>
          <w:t>Care Plus Group (North East Lincolnshire) Limited</w:t>
        </w:r>
      </w:hyperlink>
      <w:r w:rsidRPr="00826F6F">
        <w:rPr>
          <w:shd w:val="clear" w:color="auto" w:fill="FFFFFF"/>
        </w:rPr>
        <w:t xml:space="preserve">  Mr X complained on behalf of his deceased mother, Mrs Y about the standard of care provided by Fairways Care Home and about an investigation completed after she fell. We find the Care Home delayed in responding after Mrs Y activated her sensor mat. </w:t>
      </w:r>
    </w:p>
    <w:p w14:paraId="27A636D1" w14:textId="77777777" w:rsidR="00826F6F" w:rsidRPr="00826F6F" w:rsidRDefault="00826F6F" w:rsidP="002874AA">
      <w:pPr>
        <w:rPr>
          <w:shd w:val="clear" w:color="auto" w:fill="FFFFFF"/>
        </w:rPr>
      </w:pPr>
      <w:r w:rsidRPr="002874AA">
        <w:rPr>
          <w:b/>
          <w:bCs/>
          <w:shd w:val="clear" w:color="auto" w:fill="FFFFFF"/>
        </w:rPr>
        <w:t>13-Dec-2021</w:t>
      </w:r>
      <w:r w:rsidRPr="002874AA">
        <w:rPr>
          <w:rStyle w:val="Hyperlink"/>
        </w:rPr>
        <w:t xml:space="preserve"> </w:t>
      </w:r>
      <w:hyperlink r:id="rId62" w:history="1">
        <w:r w:rsidRPr="002874AA">
          <w:rPr>
            <w:rStyle w:val="Hyperlink"/>
          </w:rPr>
          <w:t>Rushcliffe Care Ltd </w:t>
        </w:r>
      </w:hyperlink>
      <w:r w:rsidRPr="00826F6F">
        <w:rPr>
          <w:shd w:val="clear" w:color="auto" w:fill="FFFFFF"/>
        </w:rPr>
        <w:t>Mrs X complains about the failure of a care home to administer her mother's medication correctly. There was fault which warrants a remedy.</w:t>
      </w:r>
    </w:p>
    <w:p w14:paraId="2E91C9C4" w14:textId="77777777" w:rsidR="00826F6F" w:rsidRPr="00826F6F" w:rsidRDefault="00826F6F" w:rsidP="002874AA">
      <w:pPr>
        <w:rPr>
          <w:shd w:val="clear" w:color="auto" w:fill="FFFFFF"/>
        </w:rPr>
      </w:pPr>
      <w:r w:rsidRPr="002874AA">
        <w:rPr>
          <w:b/>
          <w:bCs/>
          <w:shd w:val="clear" w:color="auto" w:fill="FFFFFF"/>
        </w:rPr>
        <w:t xml:space="preserve">10-Dec-2021 </w:t>
      </w:r>
      <w:hyperlink r:id="rId63" w:history="1">
        <w:r w:rsidRPr="002874AA">
          <w:rPr>
            <w:rStyle w:val="Hyperlink"/>
          </w:rPr>
          <w:t>Health &amp; Care Services (NW) Limited </w:t>
        </w:r>
      </w:hyperlink>
      <w:r w:rsidRPr="00826F6F">
        <w:rPr>
          <w:shd w:val="clear" w:color="auto" w:fill="FFFFFF"/>
        </w:rPr>
        <w:t>Mrs X complains about the Care Provider's treatment of her late husband, Mr Y's, funded nursing care payments. Mrs X says this caused Mr Y a financial loss and caused her additional upset and distress while grieving for him.</w:t>
      </w:r>
    </w:p>
    <w:p w14:paraId="29F635E0" w14:textId="77777777" w:rsidR="00826F6F" w:rsidRPr="00826F6F" w:rsidRDefault="00826F6F" w:rsidP="002874AA">
      <w:pPr>
        <w:pStyle w:val="Heading3"/>
        <w:rPr>
          <w:shd w:val="clear" w:color="auto" w:fill="FFFFFF"/>
        </w:rPr>
      </w:pPr>
      <w:bookmarkStart w:id="121" w:name="_Toc98504949"/>
      <w:r w:rsidRPr="00826F6F">
        <w:rPr>
          <w:shd w:val="clear" w:color="auto" w:fill="FFFFFF"/>
        </w:rPr>
        <w:t>Safeguarding</w:t>
      </w:r>
      <w:bookmarkEnd w:id="121"/>
      <w:r w:rsidRPr="00826F6F">
        <w:rPr>
          <w:shd w:val="clear" w:color="auto" w:fill="FFFFFF"/>
        </w:rPr>
        <w:t xml:space="preserve"> </w:t>
      </w:r>
    </w:p>
    <w:p w14:paraId="657DABC3" w14:textId="77777777" w:rsidR="00826F6F" w:rsidRPr="00826F6F" w:rsidRDefault="00826F6F" w:rsidP="002874AA">
      <w:pPr>
        <w:rPr>
          <w:shd w:val="clear" w:color="auto" w:fill="FFFFFF"/>
        </w:rPr>
      </w:pPr>
      <w:r w:rsidRPr="002874AA">
        <w:rPr>
          <w:b/>
          <w:bCs/>
          <w:shd w:val="clear" w:color="auto" w:fill="FFFFFF"/>
        </w:rPr>
        <w:t>23-Dec-2021</w:t>
      </w:r>
      <w:r w:rsidRPr="00826F6F">
        <w:rPr>
          <w:shd w:val="clear" w:color="auto" w:fill="FFFFFF"/>
        </w:rPr>
        <w:t xml:space="preserve"> </w:t>
      </w:r>
      <w:hyperlink r:id="rId64" w:history="1">
        <w:r w:rsidRPr="002874AA">
          <w:rPr>
            <w:rStyle w:val="Hyperlink"/>
          </w:rPr>
          <w:t>Birmingham City Council</w:t>
        </w:r>
      </w:hyperlink>
      <w:r w:rsidRPr="00826F6F">
        <w:rPr>
          <w:shd w:val="clear" w:color="auto" w:fill="FFFFFF"/>
        </w:rPr>
        <w:t xml:space="preserve"> Summary: Mr B complained the Trust and the Council delayed his late mother's discharge from hospital and kept her in hospital against her will on two occasions in December 2019. Mr B said as a result his mother, Mrs C, contracted a hospital acquired infection and this contributed to her untimely death. We found fault in the way the Trust and the Council dealt with Mrs C's second discharge, and this meant she remained in hospital for longer than she wanted. </w:t>
      </w:r>
    </w:p>
    <w:p w14:paraId="21334C6E" w14:textId="778C5742" w:rsidR="00826F6F" w:rsidRPr="00826F6F" w:rsidRDefault="00826F6F" w:rsidP="002874AA">
      <w:pPr>
        <w:rPr>
          <w:shd w:val="clear" w:color="auto" w:fill="FFFFFF"/>
        </w:rPr>
      </w:pPr>
      <w:r w:rsidRPr="002874AA">
        <w:rPr>
          <w:b/>
          <w:bCs/>
          <w:shd w:val="clear" w:color="auto" w:fill="FFFFFF"/>
        </w:rPr>
        <w:lastRenderedPageBreak/>
        <w:t>09-Dec-2021</w:t>
      </w:r>
      <w:r w:rsidR="002874AA">
        <w:rPr>
          <w:shd w:val="clear" w:color="auto" w:fill="FFFFFF"/>
        </w:rPr>
        <w:t xml:space="preserve"> </w:t>
      </w:r>
      <w:hyperlink r:id="rId65" w:history="1">
        <w:r w:rsidRPr="002874AA">
          <w:rPr>
            <w:rStyle w:val="Hyperlink"/>
          </w:rPr>
          <w:t>Warwickshire County Council </w:t>
        </w:r>
      </w:hyperlink>
      <w:r w:rsidRPr="00826F6F">
        <w:rPr>
          <w:shd w:val="clear" w:color="auto" w:fill="FFFFFF"/>
        </w:rPr>
        <w:t>Mrs D complains on behalf of her late husband (Mr P) about the care he received while in residential care. We found the Council failed to provide a care placement for Mr P which was suitable for his needs. I also consider there were failings by the care home to promptly identify on one occasion that Mr P required medical treatment. There were also delays by the Council in arranging an alternative care placement for Mr P and a failure to properly communicate with Mrs D on this and other issues.</w:t>
      </w:r>
    </w:p>
    <w:p w14:paraId="4807E3B7" w14:textId="77777777" w:rsidR="00826F6F" w:rsidRPr="00826F6F" w:rsidRDefault="00826F6F" w:rsidP="00E739BB">
      <w:pPr>
        <w:pStyle w:val="NormalWeb"/>
        <w:spacing w:after="360" w:afterAutospacing="0" w:line="300" w:lineRule="auto"/>
        <w:rPr>
          <w:rFonts w:asciiTheme="minorHAnsi" w:hAnsiTheme="minorHAnsi" w:cstheme="minorHAnsi"/>
          <w:b/>
          <w:color w:val="0B0C0C"/>
          <w:sz w:val="22"/>
          <w:szCs w:val="22"/>
          <w:shd w:val="clear" w:color="auto" w:fill="FFFFFF"/>
        </w:rPr>
      </w:pPr>
    </w:p>
    <w:p w14:paraId="15F0C3A8" w14:textId="0F1572A0" w:rsidR="00557713" w:rsidRDefault="00557713" w:rsidP="00E739BB">
      <w:pPr>
        <w:rPr>
          <w:b/>
          <w:bCs/>
          <w:szCs w:val="28"/>
        </w:rPr>
      </w:pPr>
    </w:p>
    <w:p w14:paraId="667421D7" w14:textId="77777777" w:rsidR="00BF3588" w:rsidRDefault="00557713" w:rsidP="00BF3588">
      <w:pPr>
        <w:rPr>
          <w:b/>
          <w:bCs/>
          <w:szCs w:val="28"/>
        </w:rPr>
      </w:pPr>
      <w:r>
        <w:rPr>
          <w:b/>
          <w:bCs/>
          <w:szCs w:val="28"/>
        </w:rPr>
        <w:br w:type="page"/>
      </w:r>
      <w:bookmarkStart w:id="122" w:name="_Toc98504950"/>
    </w:p>
    <w:p w14:paraId="57DF9BCB" w14:textId="05658990" w:rsidR="00BF3588" w:rsidRPr="00BF3588" w:rsidRDefault="00BD0811" w:rsidP="00BB6A41">
      <w:pPr>
        <w:pStyle w:val="Heading2"/>
        <w:rPr>
          <w:b/>
          <w:bCs/>
          <w:szCs w:val="28"/>
        </w:rPr>
      </w:pPr>
      <w:bookmarkStart w:id="123" w:name="_Toc98506563"/>
      <w:r>
        <w:lastRenderedPageBreak/>
        <w:t xml:space="preserve">Appendix </w:t>
      </w:r>
      <w:r w:rsidR="00557713" w:rsidRPr="00557713">
        <w:t>5</w:t>
      </w:r>
      <w:bookmarkEnd w:id="122"/>
      <w:r w:rsidR="00F8744B">
        <w:t>:</w:t>
      </w:r>
      <w:r w:rsidR="00BF3588">
        <w:br/>
      </w:r>
      <w:r w:rsidR="00BF3588" w:rsidRPr="00BF3588">
        <w:t>Copy of DDPO letter to Secretary of State for Health and Social Care with response</w:t>
      </w:r>
      <w:bookmarkEnd w:id="123"/>
    </w:p>
    <w:p w14:paraId="6A79A806" w14:textId="77777777" w:rsidR="00BD0811" w:rsidRPr="00BD0811" w:rsidRDefault="00BD0811" w:rsidP="00357F91">
      <w:pPr>
        <w:jc w:val="right"/>
        <w:rPr>
          <w:shd w:val="clear" w:color="auto" w:fill="FFFFFF"/>
        </w:rPr>
      </w:pPr>
      <w:r w:rsidRPr="00BD0811">
        <w:rPr>
          <w:shd w:val="clear" w:color="auto" w:fill="FFFFFF"/>
        </w:rPr>
        <w:t>16th July 2021</w:t>
      </w:r>
    </w:p>
    <w:p w14:paraId="593274BD" w14:textId="53211BA8" w:rsidR="00BD0811" w:rsidRPr="00BD0811" w:rsidRDefault="00BD0811" w:rsidP="00357F91">
      <w:pPr>
        <w:rPr>
          <w:shd w:val="clear" w:color="auto" w:fill="FFFFFF"/>
        </w:rPr>
      </w:pPr>
      <w:r w:rsidRPr="00BD0811">
        <w:rPr>
          <w:shd w:val="clear" w:color="auto" w:fill="FFFFFF"/>
        </w:rPr>
        <w:t>Our ref: KMSJ20210716/Gov</w:t>
      </w:r>
    </w:p>
    <w:p w14:paraId="636DDB17" w14:textId="4A950D03" w:rsidR="00BD0811" w:rsidRPr="00357F91" w:rsidRDefault="00BD0811" w:rsidP="00357F91">
      <w:pPr>
        <w:rPr>
          <w:shd w:val="clear" w:color="auto" w:fill="FFFFFF"/>
        </w:rPr>
      </w:pPr>
      <w:r w:rsidRPr="00BD0811">
        <w:rPr>
          <w:shd w:val="clear" w:color="auto" w:fill="FFFFFF"/>
        </w:rPr>
        <w:t>Rt Hon Sajid Javid MP</w:t>
      </w:r>
      <w:r w:rsidR="00357F91">
        <w:rPr>
          <w:shd w:val="clear" w:color="auto" w:fill="FFFFFF"/>
        </w:rPr>
        <w:br/>
      </w:r>
      <w:r w:rsidRPr="00BD0811">
        <w:rPr>
          <w:shd w:val="clear" w:color="auto" w:fill="FFFFFF"/>
        </w:rPr>
        <w:t>Secretary of State for Health and Social Care</w:t>
      </w:r>
      <w:r w:rsidR="00357F91">
        <w:rPr>
          <w:shd w:val="clear" w:color="auto" w:fill="FFFFFF"/>
        </w:rPr>
        <w:br/>
      </w:r>
      <w:r w:rsidRPr="00BD0811">
        <w:rPr>
          <w:shd w:val="clear" w:color="auto" w:fill="FFFFFF"/>
        </w:rPr>
        <w:t>Department of Health and Social Care</w:t>
      </w:r>
      <w:r w:rsidRPr="00BD0811">
        <w:br/>
      </w:r>
      <w:r w:rsidRPr="00BD0811">
        <w:rPr>
          <w:shd w:val="clear" w:color="auto" w:fill="FFFFFF"/>
        </w:rPr>
        <w:t>39 Victoria Street</w:t>
      </w:r>
      <w:r w:rsidRPr="00BD0811">
        <w:br/>
      </w:r>
      <w:r w:rsidRPr="00BD0811">
        <w:rPr>
          <w:shd w:val="clear" w:color="auto" w:fill="FFFFFF"/>
        </w:rPr>
        <w:t>London</w:t>
      </w:r>
      <w:r w:rsidRPr="00BD0811">
        <w:br/>
      </w:r>
      <w:r w:rsidRPr="00BD0811">
        <w:rPr>
          <w:shd w:val="clear" w:color="auto" w:fill="FFFFFF"/>
        </w:rPr>
        <w:t>SW1H 0EU</w:t>
      </w:r>
    </w:p>
    <w:p w14:paraId="6E3D478E" w14:textId="77777777" w:rsidR="00BD0811" w:rsidRPr="00BD0811" w:rsidRDefault="00BD0811" w:rsidP="00357F91">
      <w:pPr>
        <w:rPr>
          <w:rFonts w:cs="Times New Roman"/>
        </w:rPr>
      </w:pPr>
    </w:p>
    <w:p w14:paraId="4FB0F826" w14:textId="3F353636" w:rsidR="00BD0811" w:rsidRPr="00BD0811" w:rsidRDefault="00BD0811" w:rsidP="00357F91">
      <w:pPr>
        <w:rPr>
          <w:rFonts w:cs="Times New Roman"/>
        </w:rPr>
      </w:pPr>
      <w:r w:rsidRPr="00BD0811">
        <w:rPr>
          <w:rFonts w:cs="Times New Roman"/>
        </w:rPr>
        <w:t>Dear Secretary of State,</w:t>
      </w:r>
    </w:p>
    <w:p w14:paraId="743B0F57" w14:textId="7F7ED16D" w:rsidR="00BD0811" w:rsidRPr="00357F91" w:rsidRDefault="00BD0811" w:rsidP="00357F91">
      <w:pPr>
        <w:rPr>
          <w:rFonts w:cs="Times New Roman"/>
          <w:u w:val="single"/>
        </w:rPr>
      </w:pPr>
      <w:r w:rsidRPr="00BD0811">
        <w:rPr>
          <w:rFonts w:cs="Times New Roman"/>
          <w:u w:val="single"/>
        </w:rPr>
        <w:t>Engaging with Disabled People on Social Care Reform</w:t>
      </w:r>
    </w:p>
    <w:p w14:paraId="5E4F042F" w14:textId="79DBC76E" w:rsidR="00BD0811" w:rsidRPr="00BD0811" w:rsidRDefault="00BD0811" w:rsidP="00357F91">
      <w:pPr>
        <w:rPr>
          <w:rFonts w:cs="Times New Roman"/>
        </w:rPr>
      </w:pPr>
      <w:r w:rsidRPr="00BD0811">
        <w:rPr>
          <w:rFonts w:cs="Times New Roman"/>
        </w:rPr>
        <w:t>Many congratulations on your appointment.</w:t>
      </w:r>
    </w:p>
    <w:p w14:paraId="440B201D" w14:textId="77777777" w:rsidR="00357F91" w:rsidRDefault="00BD0811" w:rsidP="00357F91">
      <w:pPr>
        <w:rPr>
          <w:rFonts w:cs="Times New Roman"/>
        </w:rPr>
      </w:pPr>
      <w:r w:rsidRPr="00BD0811">
        <w:rPr>
          <w:rFonts w:cs="Times New Roman"/>
        </w:rPr>
        <w:t>I am writing to you on behalf of the Disabled People’s movement in connection with the urgent and pressing issue of social care reform. I attach a Statement on Social Care that has been signed by over five hundred Disabled People, disability organisations and allies.</w:t>
      </w:r>
    </w:p>
    <w:p w14:paraId="6FFAD938" w14:textId="1E79DC74" w:rsidR="00BD0811" w:rsidRPr="00BD0811" w:rsidRDefault="00BD0811" w:rsidP="00357F91">
      <w:pPr>
        <w:rPr>
          <w:rFonts w:cs="Times New Roman"/>
        </w:rPr>
      </w:pPr>
      <w:r w:rsidRPr="00BD0811">
        <w:rPr>
          <w:rFonts w:cs="Times New Roman"/>
        </w:rPr>
        <w:t>We ask that Disabled People of all ages be placed at the heart of current government engagement on shaping social care reform. It is those of us that draw on social care that should have the biggest say in the future.</w:t>
      </w:r>
    </w:p>
    <w:p w14:paraId="2202B78A" w14:textId="7BAED282" w:rsidR="00BD0811" w:rsidRPr="00BD0811" w:rsidRDefault="00BD0811" w:rsidP="00357F91">
      <w:pPr>
        <w:rPr>
          <w:rFonts w:cs="Times New Roman"/>
        </w:rPr>
      </w:pPr>
      <w:r w:rsidRPr="00BD0811">
        <w:rPr>
          <w:rFonts w:cs="Times New Roman"/>
        </w:rPr>
        <w:lastRenderedPageBreak/>
        <w:t>We ask that reform proposals are designed to improve the lives of Disabled People, young and old. The support we receive from social care should enable us to live full and active lives, connected to our families, friends and community. Social care should not starve us of the support we need, burden us with charges or institutionalise us against our will.</w:t>
      </w:r>
    </w:p>
    <w:p w14:paraId="2BCF9CDA" w14:textId="5B8796BE" w:rsidR="00BD0811" w:rsidRPr="00BD0811" w:rsidRDefault="00BD0811" w:rsidP="00357F91">
      <w:pPr>
        <w:rPr>
          <w:rFonts w:cs="Times New Roman"/>
        </w:rPr>
      </w:pPr>
      <w:r w:rsidRPr="00BD0811">
        <w:rPr>
          <w:rFonts w:cs="Times New Roman"/>
        </w:rPr>
        <w:t>We need a strengthened framework of rights, which treat those of us that receive social care as full and equal citizens, where our voice is heard and where we co-design the support we need.</w:t>
      </w:r>
    </w:p>
    <w:p w14:paraId="47B78F2A" w14:textId="71DD8D6E" w:rsidR="00BD0811" w:rsidRPr="00BD0811" w:rsidRDefault="00BD0811" w:rsidP="00357F91">
      <w:pPr>
        <w:rPr>
          <w:rFonts w:cs="Times New Roman"/>
        </w:rPr>
      </w:pPr>
      <w:r w:rsidRPr="00BD0811">
        <w:rPr>
          <w:rFonts w:cs="Times New Roman"/>
        </w:rPr>
        <w:t>Finally, we need to contribute to how social care services are delivered and funded, ensuring that structures, processes and funding do not create a lottery of care, increase bureaucracy, or put undue financial burdens on us.</w:t>
      </w:r>
    </w:p>
    <w:p w14:paraId="4C637232" w14:textId="15B59338" w:rsidR="00BD0811" w:rsidRPr="00BD0811" w:rsidRDefault="00BD0811" w:rsidP="00357F91">
      <w:pPr>
        <w:rPr>
          <w:rFonts w:cs="Times New Roman"/>
        </w:rPr>
      </w:pPr>
      <w:r w:rsidRPr="00BD0811">
        <w:rPr>
          <w:rFonts w:cs="Times New Roman"/>
        </w:rPr>
        <w:t>We would ask that you meet with representatives from the Disabled People’s movement to discuss the Statement and how government can put us at the heart of its engagement. This issue affects our lives.</w:t>
      </w:r>
    </w:p>
    <w:p w14:paraId="7698A02B" w14:textId="382EE7A1" w:rsidR="00BD0811" w:rsidRPr="00BD0811" w:rsidRDefault="00BD0811" w:rsidP="00357F91">
      <w:pPr>
        <w:rPr>
          <w:rFonts w:cs="Times New Roman"/>
        </w:rPr>
      </w:pPr>
      <w:r w:rsidRPr="00BD0811">
        <w:rPr>
          <w:rFonts w:cs="Times New Roman"/>
        </w:rPr>
        <w:t>Yours sincerely</w:t>
      </w:r>
    </w:p>
    <w:p w14:paraId="4EA0E129" w14:textId="77777777" w:rsidR="00357F91" w:rsidRDefault="00BD0811" w:rsidP="00357F91">
      <w:pPr>
        <w:rPr>
          <w:rFonts w:cs="Times New Roman"/>
        </w:rPr>
      </w:pPr>
      <w:r w:rsidRPr="00BD0811">
        <w:rPr>
          <w:rFonts w:cs="Times New Roman"/>
        </w:rPr>
        <w:t xml:space="preserve">Kamran Mallick </w:t>
      </w:r>
    </w:p>
    <w:p w14:paraId="7F17E77C" w14:textId="0A11240E" w:rsidR="00BD0811" w:rsidRPr="00BD0811" w:rsidRDefault="00BD0811" w:rsidP="00357F91">
      <w:pPr>
        <w:rPr>
          <w:rFonts w:cs="Times New Roman"/>
        </w:rPr>
      </w:pPr>
      <w:r w:rsidRPr="00BD0811">
        <w:rPr>
          <w:rFonts w:cs="Times New Roman"/>
        </w:rPr>
        <w:t>Chief Executive Disability Rights UK</w:t>
      </w:r>
    </w:p>
    <w:p w14:paraId="53186EF1" w14:textId="77777777" w:rsidR="00BD0811" w:rsidRPr="00357F91" w:rsidRDefault="004F0A16" w:rsidP="00357F91">
      <w:pPr>
        <w:rPr>
          <w:rStyle w:val="Hyperlink"/>
        </w:rPr>
      </w:pPr>
      <w:hyperlink r:id="rId66" w:history="1">
        <w:r w:rsidR="00BD0811" w:rsidRPr="00357F91">
          <w:rPr>
            <w:rStyle w:val="Hyperlink"/>
          </w:rPr>
          <w:t>kamran.mallick@disabilityrightsuk.org</w:t>
        </w:r>
      </w:hyperlink>
    </w:p>
    <w:p w14:paraId="6B64E6CB" w14:textId="77777777" w:rsidR="00BD0811" w:rsidRPr="00BD0811" w:rsidRDefault="00BD0811" w:rsidP="00357F91">
      <w:pPr>
        <w:rPr>
          <w:rFonts w:ascii="Calibri" w:hAnsi="Calibri" w:cs="Calibri"/>
          <w:b/>
          <w:bCs/>
          <w:color w:val="323130"/>
          <w:bdr w:val="none" w:sz="0" w:space="0" w:color="auto" w:frame="1"/>
          <w:lang w:val="en-US" w:eastAsia="en-GB"/>
        </w:rPr>
      </w:pPr>
      <w:r w:rsidRPr="00BD0811">
        <w:rPr>
          <w:rFonts w:ascii="Calibri" w:hAnsi="Calibri" w:cs="Calibri"/>
          <w:b/>
          <w:bCs/>
          <w:color w:val="323130"/>
          <w:bdr w:val="none" w:sz="0" w:space="0" w:color="auto" w:frame="1"/>
          <w:lang w:val="en-US" w:eastAsia="en-GB"/>
        </w:rPr>
        <w:br w:type="page"/>
      </w:r>
    </w:p>
    <w:p w14:paraId="54BD5E29" w14:textId="550C0802" w:rsidR="00BD0811" w:rsidRPr="00BD0811" w:rsidRDefault="00BD0811" w:rsidP="00357F91">
      <w:pPr>
        <w:rPr>
          <w:color w:val="323130"/>
          <w:lang w:eastAsia="en-GB"/>
        </w:rPr>
      </w:pPr>
      <w:r w:rsidRPr="00BD0811">
        <w:rPr>
          <w:b/>
          <w:bCs/>
          <w:color w:val="323130"/>
          <w:bdr w:val="none" w:sz="0" w:space="0" w:color="auto" w:frame="1"/>
          <w:lang w:val="en-US" w:eastAsia="en-GB"/>
        </w:rPr>
        <w:lastRenderedPageBreak/>
        <w:t>From:</w:t>
      </w:r>
      <w:r w:rsidRPr="00BD0811">
        <w:rPr>
          <w:color w:val="323130"/>
          <w:bdr w:val="none" w:sz="0" w:space="0" w:color="auto" w:frame="1"/>
          <w:lang w:val="en-US" w:eastAsia="en-GB"/>
        </w:rPr>
        <w:t> MB-SOFS &lt;</w:t>
      </w:r>
      <w:hyperlink r:id="rId67" w:tgtFrame="_blank" w:history="1">
        <w:r w:rsidRPr="00BD0811">
          <w:rPr>
            <w:color w:val="0000FF"/>
            <w:u w:val="single"/>
            <w:bdr w:val="none" w:sz="0" w:space="0" w:color="auto" w:frame="1"/>
            <w:lang w:val="en-US" w:eastAsia="en-GB"/>
          </w:rPr>
          <w:t>mb-sofs@dhsc.gov.uk</w:t>
        </w:r>
      </w:hyperlink>
      <w:r w:rsidRPr="00BD0811">
        <w:rPr>
          <w:color w:val="323130"/>
          <w:bdr w:val="none" w:sz="0" w:space="0" w:color="auto" w:frame="1"/>
          <w:lang w:val="en-US" w:eastAsia="en-GB"/>
        </w:rPr>
        <w:t>&gt;</w:t>
      </w:r>
      <w:r w:rsidRPr="00BD0811">
        <w:rPr>
          <w:color w:val="323130"/>
          <w:bdr w:val="none" w:sz="0" w:space="0" w:color="auto" w:frame="1"/>
          <w:lang w:val="en-US" w:eastAsia="en-GB"/>
        </w:rPr>
        <w:br/>
      </w:r>
      <w:r w:rsidRPr="00BD0811">
        <w:rPr>
          <w:b/>
          <w:bCs/>
          <w:color w:val="323130"/>
          <w:bdr w:val="none" w:sz="0" w:space="0" w:color="auto" w:frame="1"/>
          <w:lang w:val="en-US" w:eastAsia="en-GB"/>
        </w:rPr>
        <w:t>Sent:</w:t>
      </w:r>
      <w:r w:rsidRPr="00BD0811">
        <w:rPr>
          <w:color w:val="323130"/>
          <w:bdr w:val="none" w:sz="0" w:space="0" w:color="auto" w:frame="1"/>
          <w:lang w:val="en-US" w:eastAsia="en-GB"/>
        </w:rPr>
        <w:t> 01 September 2021 13:07</w:t>
      </w:r>
      <w:r w:rsidRPr="00BD0811">
        <w:rPr>
          <w:color w:val="323130"/>
          <w:bdr w:val="none" w:sz="0" w:space="0" w:color="auto" w:frame="1"/>
          <w:lang w:val="en-US" w:eastAsia="en-GB"/>
        </w:rPr>
        <w:br/>
      </w:r>
      <w:r w:rsidRPr="00BD0811">
        <w:rPr>
          <w:b/>
          <w:bCs/>
          <w:color w:val="323130"/>
          <w:bdr w:val="none" w:sz="0" w:space="0" w:color="auto" w:frame="1"/>
          <w:lang w:val="en-US" w:eastAsia="en-GB"/>
        </w:rPr>
        <w:t>To:</w:t>
      </w:r>
      <w:r w:rsidRPr="00BD0811">
        <w:rPr>
          <w:color w:val="323130"/>
          <w:bdr w:val="none" w:sz="0" w:space="0" w:color="auto" w:frame="1"/>
          <w:lang w:val="en-US" w:eastAsia="en-GB"/>
        </w:rPr>
        <w:t> Kamran Mallick &lt;</w:t>
      </w:r>
      <w:hyperlink r:id="rId68" w:tgtFrame="_blank" w:history="1">
        <w:r w:rsidRPr="00BD0811">
          <w:rPr>
            <w:color w:val="0000FF"/>
            <w:u w:val="single"/>
            <w:bdr w:val="none" w:sz="0" w:space="0" w:color="auto" w:frame="1"/>
            <w:lang w:val="en-US" w:eastAsia="en-GB"/>
          </w:rPr>
          <w:t>Kamran.Mallick@disabilityrightsuk.org</w:t>
        </w:r>
      </w:hyperlink>
      <w:r w:rsidRPr="00BD0811">
        <w:rPr>
          <w:color w:val="323130"/>
          <w:bdr w:val="none" w:sz="0" w:space="0" w:color="auto" w:frame="1"/>
          <w:lang w:val="en-US" w:eastAsia="en-GB"/>
        </w:rPr>
        <w:t>&gt;</w:t>
      </w:r>
      <w:r w:rsidRPr="00BD0811">
        <w:rPr>
          <w:color w:val="323130"/>
          <w:bdr w:val="none" w:sz="0" w:space="0" w:color="auto" w:frame="1"/>
          <w:lang w:val="en-US" w:eastAsia="en-GB"/>
        </w:rPr>
        <w:br/>
      </w:r>
      <w:r w:rsidRPr="00BD0811">
        <w:rPr>
          <w:b/>
          <w:bCs/>
          <w:color w:val="323130"/>
          <w:bdr w:val="none" w:sz="0" w:space="0" w:color="auto" w:frame="1"/>
          <w:lang w:val="en-US" w:eastAsia="en-GB"/>
        </w:rPr>
        <w:t>Subject:</w:t>
      </w:r>
      <w:r w:rsidRPr="00BD0811">
        <w:rPr>
          <w:color w:val="323130"/>
          <w:bdr w:val="none" w:sz="0" w:space="0" w:color="auto" w:frame="1"/>
          <w:lang w:val="en-US" w:eastAsia="en-GB"/>
        </w:rPr>
        <w:t> POC_1347162</w:t>
      </w:r>
    </w:p>
    <w:p w14:paraId="3D0024A6" w14:textId="071880BB" w:rsidR="00BD0811" w:rsidRPr="00BD0811" w:rsidRDefault="00BD0811" w:rsidP="00357F91">
      <w:pPr>
        <w:rPr>
          <w:lang w:eastAsia="en-GB"/>
        </w:rPr>
      </w:pPr>
      <w:r w:rsidRPr="00BD0811">
        <w:rPr>
          <w:bdr w:val="none" w:sz="0" w:space="0" w:color="auto" w:frame="1"/>
          <w:lang w:eastAsia="en-GB"/>
        </w:rPr>
        <w:t>Dear Mr Mallick,</w:t>
      </w:r>
    </w:p>
    <w:p w14:paraId="6CA5F806" w14:textId="2FE322BF" w:rsidR="00BD0811" w:rsidRPr="00BD0811" w:rsidRDefault="00BD0811" w:rsidP="00357F91">
      <w:pPr>
        <w:rPr>
          <w:lang w:eastAsia="en-GB"/>
        </w:rPr>
      </w:pPr>
      <w:r w:rsidRPr="00BD0811">
        <w:rPr>
          <w:bdr w:val="none" w:sz="0" w:space="0" w:color="auto" w:frame="1"/>
          <w:lang w:eastAsia="en-GB"/>
        </w:rPr>
        <w:t>Sajid Javid has asked me to thank you for your kind letter of 16</w:t>
      </w:r>
      <w:r w:rsidRPr="00BD0811">
        <w:rPr>
          <w:bdr w:val="none" w:sz="0" w:space="0" w:color="auto" w:frame="1"/>
          <w:vertAlign w:val="superscript"/>
          <w:lang w:eastAsia="en-GB"/>
        </w:rPr>
        <w:t>th</w:t>
      </w:r>
      <w:r w:rsidRPr="00BD0811">
        <w:rPr>
          <w:bdr w:val="none" w:sz="0" w:space="0" w:color="auto" w:frame="1"/>
          <w:lang w:eastAsia="en-GB"/>
        </w:rPr>
        <w:t> July, congratulating him on his appointment as Secretary of State for Health and Social Care.</w:t>
      </w:r>
    </w:p>
    <w:p w14:paraId="4247B1A5" w14:textId="77777777" w:rsidR="00357F91" w:rsidRDefault="00BD0811" w:rsidP="00357F91">
      <w:pPr>
        <w:rPr>
          <w:lang w:eastAsia="en-GB"/>
        </w:rPr>
      </w:pPr>
      <w:r w:rsidRPr="00BD0811">
        <w:rPr>
          <w:bdr w:val="none" w:sz="0" w:space="0" w:color="auto" w:frame="1"/>
          <w:lang w:eastAsia="en-GB"/>
        </w:rPr>
        <w:t>Sajid is incredibly honoured to take up this post, particularly during such an important moment in our recovery from COVID-19. He knows that the position comes with a huge responsibility, and he will do everything he can to deliver for the people of this great country. He is looking forward to working with the brilliant people who have dedicated their lives to our great health and care services, and to ensure that all the tools and talents at our disposal are used to ensure it remains the best health service in the world.</w:t>
      </w:r>
    </w:p>
    <w:p w14:paraId="137E74B5" w14:textId="44CC14F0" w:rsidR="00BD0811" w:rsidRPr="00BD0811" w:rsidRDefault="00BD0811" w:rsidP="00357F91">
      <w:pPr>
        <w:rPr>
          <w:lang w:eastAsia="en-GB"/>
        </w:rPr>
      </w:pPr>
      <w:r w:rsidRPr="00BD0811">
        <w:rPr>
          <w:bdr w:val="none" w:sz="0" w:space="0" w:color="auto" w:frame="1"/>
          <w:lang w:eastAsia="en-GB"/>
        </w:rPr>
        <w:t>Sajid knows that thanks to the fantastic efforts of our NHS and social care staff, who work tirelessly every day, and our phenomenal vaccination programme, we have made enormous progress in the battle against this dreadful disease. He wants our country to get out of this pandemic and that will be his most immediate priority.</w:t>
      </w:r>
    </w:p>
    <w:p w14:paraId="19BDADBC" w14:textId="0496CEF4" w:rsidR="00BD0811" w:rsidRPr="00BD0811" w:rsidRDefault="00BD0811" w:rsidP="00357F91">
      <w:pPr>
        <w:rPr>
          <w:lang w:eastAsia="en-GB"/>
        </w:rPr>
      </w:pPr>
      <w:r w:rsidRPr="00BD0811">
        <w:rPr>
          <w:bdr w:val="none" w:sz="0" w:space="0" w:color="auto" w:frame="1"/>
          <w:lang w:eastAsia="en-GB"/>
        </w:rPr>
        <w:t xml:space="preserve">As you will appreciate, the Secretary of State is currently receiving a large number of letters and emails daily and is unable to respond personally to them all at this very busy time. Also, unfortunately, due to the considerable pressures on his diary at the moment, the Secretary of State is unable to meet with you at the moment. However, he is looking forward to working with you in the future, and recommends that you continue with your engagement with Minister </w:t>
      </w:r>
      <w:proofErr w:type="spellStart"/>
      <w:r w:rsidRPr="00BD0811">
        <w:rPr>
          <w:bdr w:val="none" w:sz="0" w:space="0" w:color="auto" w:frame="1"/>
          <w:lang w:eastAsia="en-GB"/>
        </w:rPr>
        <w:t>Whately</w:t>
      </w:r>
      <w:proofErr w:type="spellEnd"/>
      <w:r w:rsidRPr="00BD0811">
        <w:rPr>
          <w:bdr w:val="none" w:sz="0" w:space="0" w:color="auto" w:frame="1"/>
          <w:lang w:eastAsia="en-GB"/>
        </w:rPr>
        <w:t xml:space="preserve"> and Department officials on the issues you have raised.       </w:t>
      </w:r>
    </w:p>
    <w:p w14:paraId="1CBEC85C" w14:textId="77777777" w:rsidR="00BD0811" w:rsidRPr="00BD0811" w:rsidRDefault="00BD0811" w:rsidP="00357F91">
      <w:pPr>
        <w:rPr>
          <w:lang w:eastAsia="en-GB"/>
        </w:rPr>
      </w:pPr>
      <w:r w:rsidRPr="00BD0811">
        <w:rPr>
          <w:bdr w:val="none" w:sz="0" w:space="0" w:color="auto" w:frame="1"/>
          <w:lang w:eastAsia="en-GB"/>
        </w:rPr>
        <w:lastRenderedPageBreak/>
        <w:t>Yours sincerely,</w:t>
      </w:r>
    </w:p>
    <w:p w14:paraId="5E193AB3" w14:textId="77777777" w:rsidR="00BD0811" w:rsidRPr="00BD0811" w:rsidRDefault="00BD0811" w:rsidP="00357F91">
      <w:pPr>
        <w:rPr>
          <w:color w:val="323130"/>
          <w:lang w:eastAsia="en-GB"/>
        </w:rPr>
      </w:pPr>
      <w:r w:rsidRPr="00BD0811">
        <w:rPr>
          <w:color w:val="323130"/>
          <w:lang w:eastAsia="en-GB"/>
        </w:rPr>
        <w:t> </w:t>
      </w:r>
    </w:p>
    <w:p w14:paraId="08EDD799" w14:textId="77777777" w:rsidR="00BD0811" w:rsidRPr="00BD0811" w:rsidRDefault="00BD0811" w:rsidP="00E739BB">
      <w:pPr>
        <w:shd w:val="clear" w:color="auto" w:fill="FFFFFF"/>
        <w:spacing w:after="0"/>
        <w:rPr>
          <w:rFonts w:ascii="Calibri" w:eastAsia="Times New Roman" w:hAnsi="Calibri" w:cs="Calibri"/>
          <w:color w:val="323130"/>
          <w:lang w:eastAsia="en-GB"/>
        </w:rPr>
      </w:pPr>
      <w:r w:rsidRPr="00BD0811">
        <w:rPr>
          <w:rFonts w:ascii="Calibri" w:eastAsia="Times New Roman" w:hAnsi="Calibri" w:cs="Calibri"/>
          <w:color w:val="323130"/>
          <w:lang w:eastAsia="en-GB"/>
        </w:rPr>
        <w:t> </w:t>
      </w:r>
    </w:p>
    <w:tbl>
      <w:tblPr>
        <w:tblW w:w="9384" w:type="dxa"/>
        <w:shd w:val="clear" w:color="auto" w:fill="FFFFFF"/>
        <w:tblCellMar>
          <w:left w:w="0" w:type="dxa"/>
          <w:right w:w="0" w:type="dxa"/>
        </w:tblCellMar>
        <w:tblLook w:val="04A0" w:firstRow="1" w:lastRow="0" w:firstColumn="1" w:lastColumn="0" w:noHBand="0" w:noVBand="1"/>
      </w:tblPr>
      <w:tblGrid>
        <w:gridCol w:w="2313"/>
        <w:gridCol w:w="7071"/>
      </w:tblGrid>
      <w:tr w:rsidR="00BD0811" w:rsidRPr="00BD0811" w14:paraId="328C403E" w14:textId="77777777" w:rsidTr="001009F7">
        <w:tc>
          <w:tcPr>
            <w:tcW w:w="2313" w:type="dxa"/>
            <w:shd w:val="clear" w:color="auto" w:fill="FFFFFF"/>
            <w:tcMar>
              <w:top w:w="0" w:type="dxa"/>
              <w:left w:w="28" w:type="dxa"/>
              <w:bottom w:w="0" w:type="dxa"/>
              <w:right w:w="28" w:type="dxa"/>
            </w:tcMar>
            <w:hideMark/>
          </w:tcPr>
          <w:p w14:paraId="2774B1A5" w14:textId="77777777" w:rsidR="00BD0811" w:rsidRPr="00BD0811" w:rsidRDefault="00BD0811" w:rsidP="00E739BB">
            <w:pPr>
              <w:spacing w:after="0"/>
              <w:rPr>
                <w:rFonts w:ascii="Calibri" w:eastAsia="Times New Roman" w:hAnsi="Calibri" w:cs="Calibri"/>
                <w:color w:val="323130"/>
                <w:lang w:eastAsia="en-GB"/>
              </w:rPr>
            </w:pPr>
            <w:r w:rsidRPr="00BD0811">
              <w:rPr>
                <w:noProof/>
              </w:rPr>
              <w:drawing>
                <wp:inline distT="0" distB="0" distL="0" distR="0" wp14:anchorId="34EDABB4" wp14:editId="1CE0DDB4">
                  <wp:extent cx="12477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47775" cy="1085850"/>
                          </a:xfrm>
                          <a:prstGeom prst="rect">
                            <a:avLst/>
                          </a:prstGeom>
                          <a:noFill/>
                          <a:ln>
                            <a:noFill/>
                          </a:ln>
                        </pic:spPr>
                      </pic:pic>
                    </a:graphicData>
                  </a:graphic>
                </wp:inline>
              </w:drawing>
            </w:r>
          </w:p>
        </w:tc>
        <w:tc>
          <w:tcPr>
            <w:tcW w:w="7071" w:type="dxa"/>
            <w:shd w:val="clear" w:color="auto" w:fill="FFFFFF"/>
            <w:tcMar>
              <w:top w:w="0" w:type="dxa"/>
              <w:left w:w="28" w:type="dxa"/>
              <w:bottom w:w="0" w:type="dxa"/>
              <w:right w:w="28" w:type="dxa"/>
            </w:tcMar>
            <w:hideMark/>
          </w:tcPr>
          <w:p w14:paraId="42CFCF19" w14:textId="77777777" w:rsidR="00BD0811" w:rsidRPr="00BD0811" w:rsidRDefault="00BD0811" w:rsidP="00E739BB">
            <w:pPr>
              <w:spacing w:after="0"/>
              <w:rPr>
                <w:rFonts w:ascii="Calibri" w:eastAsia="Times New Roman" w:hAnsi="Calibri" w:cs="Calibri"/>
                <w:color w:val="323130"/>
                <w:lang w:eastAsia="en-GB"/>
              </w:rPr>
            </w:pPr>
            <w:r w:rsidRPr="00BD0811">
              <w:rPr>
                <w:rFonts w:ascii="Calibri" w:eastAsia="Times New Roman" w:hAnsi="Calibri" w:cs="Calibri"/>
                <w:b/>
                <w:bCs/>
                <w:color w:val="244061"/>
                <w:bdr w:val="none" w:sz="0" w:space="0" w:color="auto" w:frame="1"/>
                <w:lang w:eastAsia="en-GB"/>
              </w:rPr>
              <w:t>David Davies</w:t>
            </w:r>
          </w:p>
          <w:p w14:paraId="3948C8DA" w14:textId="77777777" w:rsidR="00BD0811" w:rsidRPr="00BD0811" w:rsidRDefault="00BD0811" w:rsidP="00E739BB">
            <w:pPr>
              <w:spacing w:after="0"/>
              <w:rPr>
                <w:rFonts w:ascii="Calibri" w:eastAsia="Times New Roman" w:hAnsi="Calibri" w:cs="Calibri"/>
                <w:color w:val="323130"/>
                <w:lang w:eastAsia="en-GB"/>
              </w:rPr>
            </w:pPr>
            <w:r w:rsidRPr="00BD0811">
              <w:rPr>
                <w:rFonts w:ascii="Calibri" w:eastAsia="Times New Roman" w:hAnsi="Calibri" w:cs="Calibri"/>
                <w:color w:val="244061"/>
                <w:bdr w:val="none" w:sz="0" w:space="0" w:color="auto" w:frame="1"/>
                <w:lang w:eastAsia="en-GB"/>
              </w:rPr>
              <w:t>Correspondence Manager for the Secretary of State</w:t>
            </w:r>
          </w:p>
          <w:p w14:paraId="384E13B6" w14:textId="77777777" w:rsidR="00BD0811" w:rsidRPr="00BD0811" w:rsidRDefault="00BD0811" w:rsidP="00E739BB">
            <w:pPr>
              <w:spacing w:after="0"/>
              <w:rPr>
                <w:rFonts w:ascii="Calibri" w:eastAsia="Times New Roman" w:hAnsi="Calibri" w:cs="Calibri"/>
                <w:color w:val="323130"/>
                <w:lang w:eastAsia="en-GB"/>
              </w:rPr>
            </w:pPr>
            <w:r w:rsidRPr="00BD0811">
              <w:rPr>
                <w:rFonts w:ascii="Calibri" w:eastAsia="Times New Roman" w:hAnsi="Calibri" w:cs="Calibri"/>
                <w:color w:val="244061"/>
                <w:bdr w:val="none" w:sz="0" w:space="0" w:color="auto" w:frame="1"/>
                <w:lang w:eastAsia="en-GB"/>
              </w:rPr>
              <w:t>Department of Health and Social Care, 9</w:t>
            </w:r>
            <w:r w:rsidRPr="00BD0811">
              <w:rPr>
                <w:rFonts w:ascii="Calibri" w:eastAsia="Times New Roman" w:hAnsi="Calibri" w:cs="Calibri"/>
                <w:color w:val="244061"/>
                <w:bdr w:val="none" w:sz="0" w:space="0" w:color="auto" w:frame="1"/>
                <w:vertAlign w:val="superscript"/>
                <w:lang w:eastAsia="en-GB"/>
              </w:rPr>
              <w:t>th</w:t>
            </w:r>
            <w:r w:rsidRPr="00BD0811">
              <w:rPr>
                <w:rFonts w:ascii="Calibri" w:eastAsia="Times New Roman" w:hAnsi="Calibri" w:cs="Calibri"/>
                <w:color w:val="244061"/>
                <w:bdr w:val="none" w:sz="0" w:space="0" w:color="auto" w:frame="1"/>
                <w:lang w:eastAsia="en-GB"/>
              </w:rPr>
              <w:t> Floor, 39 Victoria Street, London SW1H 0EU</w:t>
            </w:r>
          </w:p>
          <w:p w14:paraId="2656EFA8" w14:textId="77777777" w:rsidR="00BD0811" w:rsidRPr="00BD0811" w:rsidRDefault="00BD0811" w:rsidP="00E739BB">
            <w:pPr>
              <w:spacing w:after="0"/>
              <w:rPr>
                <w:rFonts w:ascii="Calibri" w:eastAsia="Times New Roman" w:hAnsi="Calibri" w:cs="Calibri"/>
                <w:color w:val="323130"/>
                <w:lang w:eastAsia="en-GB"/>
              </w:rPr>
            </w:pPr>
            <w:r w:rsidRPr="00BD0811">
              <w:rPr>
                <w:rFonts w:ascii="Calibri" w:eastAsia="Times New Roman" w:hAnsi="Calibri" w:cs="Calibri"/>
                <w:color w:val="244061"/>
                <w:bdr w:val="none" w:sz="0" w:space="0" w:color="auto" w:frame="1"/>
                <w:lang w:eastAsia="en-GB"/>
              </w:rPr>
              <w:t>E: </w:t>
            </w:r>
            <w:hyperlink r:id="rId70" w:tgtFrame="_blank" w:history="1">
              <w:r w:rsidRPr="006D457B">
                <w:rPr>
                  <w:rStyle w:val="Hyperlink"/>
                </w:rPr>
                <w:t>mb-sofs@dhsc.gov.uk</w:t>
              </w:r>
            </w:hyperlink>
          </w:p>
          <w:p w14:paraId="7034BEE5" w14:textId="77777777" w:rsidR="00BD0811" w:rsidRPr="00BD0811" w:rsidRDefault="00BD0811" w:rsidP="00E739BB">
            <w:pPr>
              <w:spacing w:after="0"/>
              <w:rPr>
                <w:rFonts w:ascii="Calibri" w:eastAsia="Times New Roman" w:hAnsi="Calibri" w:cs="Calibri"/>
                <w:color w:val="323130"/>
                <w:lang w:eastAsia="en-GB"/>
              </w:rPr>
            </w:pPr>
            <w:r w:rsidRPr="00BD0811">
              <w:rPr>
                <w:rFonts w:ascii="Calibri" w:eastAsia="Times New Roman" w:hAnsi="Calibri" w:cs="Calibri"/>
                <w:color w:val="244061"/>
                <w:bdr w:val="none" w:sz="0" w:space="0" w:color="auto" w:frame="1"/>
                <w:lang w:eastAsia="en-GB"/>
              </w:rPr>
              <w:t> </w:t>
            </w:r>
          </w:p>
        </w:tc>
      </w:tr>
    </w:tbl>
    <w:p w14:paraId="49895779" w14:textId="77777777" w:rsidR="00BD0811" w:rsidRPr="00BD0811" w:rsidRDefault="00BD0811" w:rsidP="00E739BB">
      <w:pPr>
        <w:ind w:firstLine="720"/>
      </w:pPr>
    </w:p>
    <w:p w14:paraId="561808F9" w14:textId="77777777" w:rsidR="00BD0811" w:rsidRDefault="00BD0811" w:rsidP="00E739BB">
      <w:pPr>
        <w:rPr>
          <w:b/>
          <w:bCs/>
          <w:szCs w:val="28"/>
        </w:rPr>
      </w:pPr>
      <w:r>
        <w:rPr>
          <w:b/>
          <w:bCs/>
          <w:szCs w:val="28"/>
        </w:rPr>
        <w:br w:type="page"/>
      </w:r>
    </w:p>
    <w:p w14:paraId="59F6A9EF" w14:textId="6C16F82C" w:rsidR="00B0209B" w:rsidRPr="00B0209B" w:rsidRDefault="00B0209B" w:rsidP="00BB6A41">
      <w:pPr>
        <w:pStyle w:val="Heading2"/>
      </w:pPr>
      <w:bookmarkStart w:id="124" w:name="Appendix6"/>
      <w:bookmarkStart w:id="125" w:name="_Appendix_6:_Deaths"/>
      <w:bookmarkStart w:id="126" w:name="_Toc98504951"/>
      <w:bookmarkStart w:id="127" w:name="_Toc98506564"/>
      <w:bookmarkEnd w:id="124"/>
      <w:bookmarkEnd w:id="125"/>
      <w:r w:rsidRPr="00B0209B">
        <w:lastRenderedPageBreak/>
        <w:t>Appendix 6</w:t>
      </w:r>
      <w:bookmarkEnd w:id="126"/>
      <w:r w:rsidR="00BF3588">
        <w:t>:</w:t>
      </w:r>
      <w:r w:rsidR="00BF3588">
        <w:br/>
      </w:r>
      <w:r w:rsidRPr="00B0209B">
        <w:t>Deaths of claimants</w:t>
      </w:r>
      <w:bookmarkEnd w:id="127"/>
    </w:p>
    <w:p w14:paraId="0D0C1591" w14:textId="3B59705E" w:rsidR="00B0209B" w:rsidRPr="00B0209B" w:rsidRDefault="00B0209B" w:rsidP="00357F91">
      <w:r w:rsidRPr="00B0209B">
        <w:t xml:space="preserve">There has been a series of high profile cases last year, relating to claimants’ deaths and suicides driven by benefit loss, following interactions with DWP. </w:t>
      </w:r>
    </w:p>
    <w:p w14:paraId="23A410CD" w14:textId="479B5AB0" w:rsidR="00B0209B" w:rsidRDefault="00B0209B" w:rsidP="00357F91">
      <w:pPr>
        <w:rPr>
          <w:bCs/>
        </w:rPr>
      </w:pPr>
      <w:r w:rsidRPr="00B0209B">
        <w:t>DWP still refuses to accept that these deaths are part of a wider problem, but their own figures show that DWP has internally investigated 97 deaths since summer 2019 and 27 cases of serious harm. In the </w:t>
      </w:r>
      <w:r w:rsidRPr="00B0209B">
        <w:rPr>
          <w:bCs/>
        </w:rPr>
        <w:t>last two years alone, the rate of internal investigations by the DWP into deaths and serious harm almost tripled (a 176% rise) with 124 cases since summer 2019, 97 concerned people who have died. And although DWP has put into place a series of safeguard</w:t>
      </w:r>
      <w:r>
        <w:rPr>
          <w:bCs/>
        </w:rPr>
        <w:t>ing</w:t>
      </w:r>
      <w:r w:rsidRPr="00B0209B">
        <w:rPr>
          <w:bCs/>
        </w:rPr>
        <w:t xml:space="preserve"> measures for </w:t>
      </w:r>
      <w:r>
        <w:rPr>
          <w:bCs/>
        </w:rPr>
        <w:t>dealing with “</w:t>
      </w:r>
      <w:r w:rsidRPr="00B0209B">
        <w:rPr>
          <w:bCs/>
        </w:rPr>
        <w:t>vulnerable</w:t>
      </w:r>
      <w:r>
        <w:rPr>
          <w:bCs/>
        </w:rPr>
        <w:t>”</w:t>
      </w:r>
      <w:r w:rsidRPr="00B0209B">
        <w:rPr>
          <w:bCs/>
        </w:rPr>
        <w:t xml:space="preserve"> claimants, the latest cases highlight </w:t>
      </w:r>
      <w:r>
        <w:rPr>
          <w:bCs/>
        </w:rPr>
        <w:t xml:space="preserve">both </w:t>
      </w:r>
      <w:r w:rsidRPr="00B0209B">
        <w:rPr>
          <w:bCs/>
        </w:rPr>
        <w:t xml:space="preserve">failures to follow </w:t>
      </w:r>
      <w:r>
        <w:rPr>
          <w:bCs/>
        </w:rPr>
        <w:t xml:space="preserve">these </w:t>
      </w:r>
      <w:r w:rsidRPr="00B0209B">
        <w:rPr>
          <w:bCs/>
        </w:rPr>
        <w:t xml:space="preserve">processes </w:t>
      </w:r>
      <w:r>
        <w:rPr>
          <w:bCs/>
        </w:rPr>
        <w:t xml:space="preserve">but also </w:t>
      </w:r>
      <w:r w:rsidRPr="00B0209B">
        <w:rPr>
          <w:bCs/>
        </w:rPr>
        <w:t>the inadequacy of the</w:t>
      </w:r>
      <w:r>
        <w:rPr>
          <w:bCs/>
        </w:rPr>
        <w:t>se</w:t>
      </w:r>
      <w:r w:rsidRPr="00B0209B">
        <w:rPr>
          <w:bCs/>
        </w:rPr>
        <w:t xml:space="preserve"> even </w:t>
      </w:r>
      <w:r>
        <w:rPr>
          <w:bCs/>
        </w:rPr>
        <w:t>when followed</w:t>
      </w:r>
      <w:r w:rsidRPr="00B0209B">
        <w:rPr>
          <w:bCs/>
        </w:rPr>
        <w:t xml:space="preserve"> properly.</w:t>
      </w:r>
    </w:p>
    <w:p w14:paraId="681CF78A" w14:textId="77777777" w:rsidR="00B0209B" w:rsidRPr="00B0209B" w:rsidRDefault="00B0209B" w:rsidP="00357F91">
      <w:r w:rsidRPr="00B0209B">
        <w:t xml:space="preserve">In spite of these structural failings, and an increasing death toll, the Secretary of State for Work and Pensions, Dr Therese Coffey has stated that the statutory safeguarding responsibility to vulnerable claimants falls to councils, social services, doctors and others, but not the DWP </w:t>
      </w:r>
      <w:hyperlink r:id="rId71" w:history="1">
        <w:r w:rsidRPr="00B0209B">
          <w:rPr>
            <w:rStyle w:val="Hyperlink"/>
            <w:szCs w:val="28"/>
          </w:rPr>
          <w:t>https://committees.parliament.uk/oralevidence/1630/pdf/</w:t>
        </w:r>
      </w:hyperlink>
    </w:p>
    <w:p w14:paraId="229FD0E0" w14:textId="529CF697" w:rsidR="00B0209B" w:rsidRPr="00B0209B" w:rsidRDefault="00B0209B" w:rsidP="00357F91">
      <w:pPr>
        <w:pStyle w:val="Heading3"/>
      </w:pPr>
      <w:bookmarkStart w:id="128" w:name="_Toc98504952"/>
      <w:r w:rsidRPr="00B0209B">
        <w:t>List of publicly known benefit deaths since 2017:</w:t>
      </w:r>
      <w:bookmarkEnd w:id="128"/>
    </w:p>
    <w:p w14:paraId="682559FE" w14:textId="5BA0FFF9" w:rsidR="00B0209B" w:rsidRPr="00B0209B" w:rsidRDefault="00B0209B" w:rsidP="00E739BB">
      <w:pPr>
        <w:rPr>
          <w:szCs w:val="28"/>
        </w:rPr>
      </w:pPr>
      <w:r w:rsidRPr="00357F91">
        <w:rPr>
          <w:b/>
          <w:bCs/>
          <w:szCs w:val="28"/>
        </w:rPr>
        <w:t>February 2017</w:t>
      </w:r>
      <w:r w:rsidR="00357F91" w:rsidRPr="00357F91">
        <w:rPr>
          <w:b/>
          <w:bCs/>
          <w:szCs w:val="28"/>
        </w:rPr>
        <w:t>.</w:t>
      </w:r>
      <w:r w:rsidRPr="003C03D5">
        <w:rPr>
          <w:szCs w:val="28"/>
        </w:rPr>
        <w:t xml:space="preserve"> </w:t>
      </w:r>
      <w:proofErr w:type="spellStart"/>
      <w:r w:rsidRPr="003C03D5">
        <w:rPr>
          <w:szCs w:val="28"/>
          <w:u w:val="single"/>
        </w:rPr>
        <w:t>Jodey</w:t>
      </w:r>
      <w:proofErr w:type="spellEnd"/>
      <w:r w:rsidRPr="003C03D5">
        <w:rPr>
          <w:szCs w:val="28"/>
          <w:u w:val="single"/>
        </w:rPr>
        <w:t xml:space="preserve"> Whiting</w:t>
      </w:r>
      <w:r w:rsidRPr="00B0209B">
        <w:rPr>
          <w:szCs w:val="28"/>
        </w:rPr>
        <w:t xml:space="preserve"> took her life after her benefit payments were cut off because she had missed a capability assessment while suffering from pneumonia. The Department for Work and Pensions (DWP) </w:t>
      </w:r>
      <w:r w:rsidRPr="00B0209B">
        <w:rPr>
          <w:bCs/>
          <w:szCs w:val="28"/>
        </w:rPr>
        <w:t>later admitted mistakes were made</w:t>
      </w:r>
      <w:r w:rsidRPr="00B0209B">
        <w:rPr>
          <w:szCs w:val="28"/>
        </w:rPr>
        <w:t xml:space="preserve"> and paid the family compensation. </w:t>
      </w:r>
      <w:hyperlink r:id="rId72" w:anchor="contribution-1F54FBA7-5F42-4DB8-91E7-FAD6308BD7EA" w:history="1">
        <w:r w:rsidRPr="00357F91">
          <w:rPr>
            <w:rStyle w:val="Hyperlink"/>
          </w:rPr>
          <w:t>Engagements</w:t>
        </w:r>
        <w:r w:rsidR="0046390E">
          <w:rPr>
            <w:rStyle w:val="Hyperlink"/>
          </w:rPr>
          <w:t xml:space="preserve"> – </w:t>
        </w:r>
        <w:r w:rsidRPr="00357F91">
          <w:rPr>
            <w:rStyle w:val="Hyperlink"/>
          </w:rPr>
          <w:t>Hansard</w:t>
        </w:r>
        <w:r w:rsidR="0046390E">
          <w:rPr>
            <w:rStyle w:val="Hyperlink"/>
          </w:rPr>
          <w:t xml:space="preserve"> – </w:t>
        </w:r>
        <w:r w:rsidRPr="00357F91">
          <w:rPr>
            <w:rStyle w:val="Hyperlink"/>
          </w:rPr>
          <w:t>UK Parliament</w:t>
        </w:r>
      </w:hyperlink>
    </w:p>
    <w:p w14:paraId="7BFA5716" w14:textId="414C88C5" w:rsidR="00B0209B" w:rsidRPr="00B0209B" w:rsidRDefault="00B0209B" w:rsidP="00E739BB">
      <w:pPr>
        <w:rPr>
          <w:szCs w:val="28"/>
        </w:rPr>
      </w:pPr>
      <w:r w:rsidRPr="00357F91">
        <w:rPr>
          <w:b/>
          <w:bCs/>
          <w:szCs w:val="28"/>
        </w:rPr>
        <w:lastRenderedPageBreak/>
        <w:t>February 2017.</w:t>
      </w:r>
      <w:r w:rsidRPr="00B0209B">
        <w:rPr>
          <w:szCs w:val="28"/>
        </w:rPr>
        <w:t xml:space="preserve"> </w:t>
      </w:r>
      <w:r w:rsidRPr="003C03D5">
        <w:rPr>
          <w:szCs w:val="28"/>
          <w:u w:val="single"/>
        </w:rPr>
        <w:t>James ‘Jimmy’ Ballentine</w:t>
      </w:r>
      <w:r w:rsidRPr="00B0209B">
        <w:rPr>
          <w:szCs w:val="28"/>
        </w:rPr>
        <w:t xml:space="preserve"> overdosed on prescription drugs after he learned he had mistakenly over-claimed benefits from the Department for Work and Pensions (DWP). It is understood Mr Ballentine made efforts to find out how much money he owed but was unable to get an answer, which sent him in a spiral of depression. </w:t>
      </w:r>
      <w:hyperlink r:id="rId73" w:history="1">
        <w:r w:rsidRPr="00357F91">
          <w:rPr>
            <w:rStyle w:val="Hyperlink"/>
          </w:rPr>
          <w:t>It is a pleasure to serve under...: 24 Apr 2019: Westminster Hall debates</w:t>
        </w:r>
        <w:r w:rsidR="0046390E">
          <w:rPr>
            <w:rStyle w:val="Hyperlink"/>
          </w:rPr>
          <w:t xml:space="preserve"> – </w:t>
        </w:r>
        <w:proofErr w:type="spellStart"/>
        <w:r w:rsidRPr="00357F91">
          <w:rPr>
            <w:rStyle w:val="Hyperlink"/>
          </w:rPr>
          <w:t>TheyWorkForYou</w:t>
        </w:r>
        <w:proofErr w:type="spellEnd"/>
      </w:hyperlink>
      <w:r w:rsidRPr="00B0209B">
        <w:rPr>
          <w:szCs w:val="28"/>
        </w:rPr>
        <w:t xml:space="preserve"> </w:t>
      </w:r>
    </w:p>
    <w:p w14:paraId="4DEBE3D2" w14:textId="4A659C9D" w:rsidR="00B0209B" w:rsidRPr="00B0209B" w:rsidRDefault="00B0209B" w:rsidP="00357F91">
      <w:r w:rsidRPr="00357F91">
        <w:rPr>
          <w:b/>
          <w:bCs/>
        </w:rPr>
        <w:t>September 2017</w:t>
      </w:r>
      <w:r w:rsidR="00357F91">
        <w:t xml:space="preserve">. </w:t>
      </w:r>
      <w:r w:rsidRPr="003C03D5">
        <w:t>Brian Sycamore,</w:t>
      </w:r>
      <w:r w:rsidRPr="00B0209B">
        <w:t xml:space="preserve"> took his own life after running out of money because he was having trouble getting UC. He left a suicide note sarcastically “thanking” Universal Credit </w:t>
      </w:r>
      <w:proofErr w:type="spellStart"/>
      <w:r w:rsidRPr="00B0209B">
        <w:t>bosses.</w:t>
      </w:r>
      <w:hyperlink r:id="rId74" w:history="1">
        <w:r w:rsidRPr="006D457B">
          <w:rPr>
            <w:rStyle w:val="Hyperlink"/>
          </w:rPr>
          <w:t>Our</w:t>
        </w:r>
        <w:proofErr w:type="spellEnd"/>
        <w:r w:rsidRPr="006D457B">
          <w:rPr>
            <w:rStyle w:val="Hyperlink"/>
          </w:rPr>
          <w:t xml:space="preserve"> crippled brother was judged fit to work, had benefits stopped</w:t>
        </w:r>
        <w:r w:rsidR="0046390E" w:rsidRPr="006D457B">
          <w:rPr>
            <w:rStyle w:val="Hyperlink"/>
          </w:rPr>
          <w:t xml:space="preserve"> – </w:t>
        </w:r>
        <w:r w:rsidRPr="006D457B">
          <w:rPr>
            <w:rStyle w:val="Hyperlink"/>
          </w:rPr>
          <w:t>then took his own life</w:t>
        </w:r>
        <w:r w:rsidR="0046390E" w:rsidRPr="006D457B">
          <w:rPr>
            <w:rStyle w:val="Hyperlink"/>
          </w:rPr>
          <w:t xml:space="preserve"> – </w:t>
        </w:r>
        <w:r w:rsidRPr="006D457B">
          <w:rPr>
            <w:rStyle w:val="Hyperlink"/>
          </w:rPr>
          <w:t>Derbyshire Live (derbytelegraph.co.uk)</w:t>
        </w:r>
      </w:hyperlink>
    </w:p>
    <w:p w14:paraId="6D8FE0CE" w14:textId="1F09107E" w:rsidR="00B0209B" w:rsidRPr="00B0209B" w:rsidRDefault="00B0209B" w:rsidP="00357F91">
      <w:r w:rsidRPr="00357F91">
        <w:rPr>
          <w:b/>
          <w:bCs/>
        </w:rPr>
        <w:t>October 2017</w:t>
      </w:r>
      <w:r w:rsidR="00357F91">
        <w:rPr>
          <w:b/>
          <w:bCs/>
        </w:rPr>
        <w:t>.</w:t>
      </w:r>
      <w:r w:rsidRPr="00B0209B">
        <w:t xml:space="preserve"> </w:t>
      </w:r>
      <w:r w:rsidRPr="00B0209B">
        <w:rPr>
          <w:u w:val="single"/>
        </w:rPr>
        <w:t>Amy Nice</w:t>
      </w:r>
      <w:r w:rsidRPr="00B0209B">
        <w:t xml:space="preserve">, a struggling young mum took her own life after she feared losing her benefits under the Government’s Universal Credit scheme, </w:t>
      </w:r>
      <w:hyperlink r:id="rId75" w:history="1">
        <w:r w:rsidRPr="006D457B">
          <w:rPr>
            <w:rStyle w:val="Hyperlink"/>
          </w:rPr>
          <w:t>It is a pleasure to serve under...: 24 Apr 2019: Westminster Hall debates</w:t>
        </w:r>
        <w:r w:rsidR="0046390E" w:rsidRPr="006D457B">
          <w:rPr>
            <w:rStyle w:val="Hyperlink"/>
          </w:rPr>
          <w:t xml:space="preserve"> – </w:t>
        </w:r>
        <w:proofErr w:type="spellStart"/>
        <w:r w:rsidRPr="006D457B">
          <w:rPr>
            <w:rStyle w:val="Hyperlink"/>
          </w:rPr>
          <w:t>TheyWorkForYou</w:t>
        </w:r>
        <w:proofErr w:type="spellEnd"/>
      </w:hyperlink>
    </w:p>
    <w:p w14:paraId="43B01FCB" w14:textId="77777777" w:rsidR="00B0209B" w:rsidRPr="00B0209B" w:rsidRDefault="00B0209B" w:rsidP="00357F91">
      <w:r w:rsidRPr="00357F91">
        <w:rPr>
          <w:b/>
          <w:bCs/>
        </w:rPr>
        <w:t>October 2017.</w:t>
      </w:r>
      <w:r w:rsidRPr="00B0209B">
        <w:t xml:space="preserve"> </w:t>
      </w:r>
      <w:r w:rsidRPr="00B0209B">
        <w:rPr>
          <w:u w:val="single"/>
        </w:rPr>
        <w:t>Chris Gold</w:t>
      </w:r>
      <w:r w:rsidRPr="00B0209B">
        <w:t> died ‘in hunger’ a few days after a television interview about the difficulty getting Universal Credit. He was heavily in debt and preparing to lose his home.</w:t>
      </w:r>
    </w:p>
    <w:p w14:paraId="56C08A62" w14:textId="269AC2E7" w:rsidR="00B0209B" w:rsidRPr="00B0209B" w:rsidRDefault="00B0209B" w:rsidP="00357F91">
      <w:r w:rsidRPr="00357F91">
        <w:rPr>
          <w:b/>
          <w:bCs/>
        </w:rPr>
        <w:t>November 2017.</w:t>
      </w:r>
      <w:r w:rsidRPr="00B0209B">
        <w:t xml:space="preserve"> </w:t>
      </w:r>
      <w:r w:rsidRPr="00B0209B">
        <w:rPr>
          <w:u w:val="single"/>
        </w:rPr>
        <w:t xml:space="preserve">Elaine </w:t>
      </w:r>
      <w:proofErr w:type="spellStart"/>
      <w:r w:rsidRPr="00B0209B">
        <w:rPr>
          <w:u w:val="single"/>
        </w:rPr>
        <w:t>Morrall</w:t>
      </w:r>
      <w:proofErr w:type="spellEnd"/>
      <w:r w:rsidRPr="00B0209B">
        <w:t xml:space="preserve">, 38, was found dead wrapped in her coat and scarf because she could not afford to turn on her heating. Her benefits had been stopped multiple times including when she had not attended a Universal Credit interview because she had been in intensive </w:t>
      </w:r>
      <w:proofErr w:type="spellStart"/>
      <w:r w:rsidRPr="00B0209B">
        <w:t>care</w:t>
      </w:r>
      <w:r w:rsidRPr="00B0209B">
        <w:rPr>
          <w:highlight w:val="yellow"/>
        </w:rPr>
        <w:t>.</w:t>
      </w:r>
      <w:hyperlink r:id="rId76" w:history="1">
        <w:r w:rsidRPr="006D457B">
          <w:rPr>
            <w:rStyle w:val="Hyperlink"/>
          </w:rPr>
          <w:t>We</w:t>
        </w:r>
        <w:proofErr w:type="spellEnd"/>
        <w:r w:rsidRPr="006D457B">
          <w:rPr>
            <w:rStyle w:val="Hyperlink"/>
          </w:rPr>
          <w:t xml:space="preserve"> may never know how mother found 'frozen in hat and coat' died</w:t>
        </w:r>
        <w:r w:rsidR="0046390E" w:rsidRPr="006D457B">
          <w:rPr>
            <w:rStyle w:val="Hyperlink"/>
          </w:rPr>
          <w:t xml:space="preserve"> – </w:t>
        </w:r>
        <w:r w:rsidRPr="006D457B">
          <w:rPr>
            <w:rStyle w:val="Hyperlink"/>
          </w:rPr>
          <w:t>Liverpool Echo</w:t>
        </w:r>
      </w:hyperlink>
    </w:p>
    <w:p w14:paraId="445A7606" w14:textId="550AF9F1" w:rsidR="00B0209B" w:rsidRPr="00B0209B" w:rsidRDefault="00B0209B" w:rsidP="00357F91">
      <w:r w:rsidRPr="00357F91">
        <w:rPr>
          <w:b/>
          <w:bCs/>
        </w:rPr>
        <w:t>December 2017.</w:t>
      </w:r>
      <w:r w:rsidRPr="00B0209B">
        <w:t xml:space="preserve"> </w:t>
      </w:r>
      <w:r w:rsidRPr="00B0209B">
        <w:rPr>
          <w:u w:val="single"/>
        </w:rPr>
        <w:t>Daniella Obeng</w:t>
      </w:r>
      <w:r w:rsidRPr="00B0209B">
        <w:t xml:space="preserve"> was found dead within days of arriving in Qatar to find work when her disability benefits were cut off. </w:t>
      </w:r>
      <w:hyperlink r:id="rId77" w:history="1">
        <w:r w:rsidRPr="006D457B">
          <w:rPr>
            <w:rStyle w:val="Hyperlink"/>
          </w:rPr>
          <w:t>It is a pleasure to serve under...: 24 Apr 2019: Westminster Hall debates</w:t>
        </w:r>
        <w:r w:rsidR="0046390E" w:rsidRPr="006D457B">
          <w:rPr>
            <w:rStyle w:val="Hyperlink"/>
          </w:rPr>
          <w:t xml:space="preserve"> – </w:t>
        </w:r>
        <w:proofErr w:type="spellStart"/>
        <w:r w:rsidRPr="006D457B">
          <w:rPr>
            <w:rStyle w:val="Hyperlink"/>
          </w:rPr>
          <w:t>TheyWorkForYou</w:t>
        </w:r>
        <w:proofErr w:type="spellEnd"/>
      </w:hyperlink>
    </w:p>
    <w:p w14:paraId="5D6E9B65" w14:textId="68B13699" w:rsidR="00B0209B" w:rsidRPr="00B0209B" w:rsidRDefault="00B0209B" w:rsidP="00357F91">
      <w:r w:rsidRPr="00357F91">
        <w:rPr>
          <w:b/>
          <w:bCs/>
        </w:rPr>
        <w:lastRenderedPageBreak/>
        <w:t>June 2018</w:t>
      </w:r>
      <w:r w:rsidR="00357F91">
        <w:rPr>
          <w:b/>
          <w:bCs/>
        </w:rPr>
        <w:t>.</w:t>
      </w:r>
      <w:r w:rsidRPr="00B0209B">
        <w:rPr>
          <w:u w:val="single"/>
        </w:rPr>
        <w:t xml:space="preserve"> Errol Graham</w:t>
      </w:r>
      <w:r w:rsidRPr="00B0209B">
        <w:t xml:space="preserve">, 57, who had a history of mental health problems, starved to death in his Nottingham flat after his benefits were stopped.  </w:t>
      </w:r>
      <w:hyperlink r:id="rId78" w:history="1">
        <w:r w:rsidRPr="006D457B">
          <w:rPr>
            <w:rStyle w:val="Hyperlink"/>
          </w:rPr>
          <w:t>Errol Graham death: Nottingham man starved after benefits stopped</w:t>
        </w:r>
        <w:r w:rsidR="0046390E" w:rsidRPr="006D457B">
          <w:rPr>
            <w:rStyle w:val="Hyperlink"/>
          </w:rPr>
          <w:t xml:space="preserve"> – </w:t>
        </w:r>
        <w:r w:rsidRPr="006D457B">
          <w:rPr>
            <w:rStyle w:val="Hyperlink"/>
          </w:rPr>
          <w:t>BBC News</w:t>
        </w:r>
      </w:hyperlink>
      <w:r w:rsidRPr="006D457B">
        <w:rPr>
          <w:rStyle w:val="Hyperlink"/>
        </w:rPr>
        <w:t xml:space="preserve"> </w:t>
      </w:r>
    </w:p>
    <w:p w14:paraId="774C5C03" w14:textId="7CA3676F" w:rsidR="00B0209B" w:rsidRPr="00B0209B" w:rsidRDefault="00B0209B" w:rsidP="00E739BB">
      <w:pPr>
        <w:rPr>
          <w:szCs w:val="28"/>
        </w:rPr>
      </w:pPr>
      <w:r w:rsidRPr="00357F91">
        <w:rPr>
          <w:b/>
          <w:bCs/>
          <w:szCs w:val="28"/>
        </w:rPr>
        <w:t>June 2018</w:t>
      </w:r>
      <w:r w:rsidR="00357F91" w:rsidRPr="00357F91">
        <w:rPr>
          <w:b/>
          <w:bCs/>
          <w:szCs w:val="28"/>
        </w:rPr>
        <w:t>.</w:t>
      </w:r>
      <w:r w:rsidRPr="00B0209B">
        <w:rPr>
          <w:szCs w:val="28"/>
        </w:rPr>
        <w:t xml:space="preserve"> </w:t>
      </w:r>
      <w:r w:rsidRPr="00B0209B">
        <w:rPr>
          <w:szCs w:val="28"/>
          <w:u w:val="single"/>
        </w:rPr>
        <w:t>Jeff Hayward</w:t>
      </w:r>
      <w:r w:rsidRPr="00B0209B">
        <w:rPr>
          <w:szCs w:val="28"/>
        </w:rPr>
        <w:t xml:space="preserve"> was 52 when he died of a heart attack in June last year, two weeks before he was due to go to court to challenge a fit for work DWP decision.  His family have won his case – seven months after he died. </w:t>
      </w:r>
      <w:hyperlink r:id="rId79" w:history="1">
        <w:r w:rsidRPr="006D457B">
          <w:rPr>
            <w:rStyle w:val="Hyperlink"/>
          </w:rPr>
          <w:t>Man wins fit-for-work appeal seven months after his death | Disability | The Guardian</w:t>
        </w:r>
      </w:hyperlink>
    </w:p>
    <w:p w14:paraId="4772D5A0" w14:textId="19A0B61D" w:rsidR="00B0209B" w:rsidRPr="00B0209B" w:rsidRDefault="00B0209B" w:rsidP="00E739BB">
      <w:pPr>
        <w:rPr>
          <w:szCs w:val="28"/>
        </w:rPr>
      </w:pPr>
      <w:r w:rsidRPr="00357F91">
        <w:rPr>
          <w:b/>
          <w:bCs/>
          <w:szCs w:val="28"/>
        </w:rPr>
        <w:t>July 2018</w:t>
      </w:r>
      <w:r w:rsidR="00357F91" w:rsidRPr="00357F91">
        <w:rPr>
          <w:b/>
          <w:bCs/>
          <w:szCs w:val="28"/>
        </w:rPr>
        <w:t>.</w:t>
      </w:r>
      <w:r w:rsidRPr="00B0209B">
        <w:rPr>
          <w:szCs w:val="28"/>
        </w:rPr>
        <w:t xml:space="preserve"> </w:t>
      </w:r>
      <w:r w:rsidRPr="00B0209B">
        <w:rPr>
          <w:szCs w:val="28"/>
          <w:u w:val="single"/>
        </w:rPr>
        <w:t>Brian Bailey</w:t>
      </w:r>
      <w:r w:rsidRPr="00B0209B">
        <w:rPr>
          <w:szCs w:val="28"/>
        </w:rPr>
        <w:t xml:space="preserve">, 59, took his own life after allegedly "becoming overwhelmed" with the pressures that the new benefit system had put on him, feeling that he could not cope with the uncertainty regarding his payments, and constantly fearing being evicted from his home. </w:t>
      </w:r>
      <w:hyperlink r:id="rId80" w:history="1">
        <w:r w:rsidRPr="006D457B">
          <w:rPr>
            <w:rStyle w:val="Hyperlink"/>
          </w:rPr>
          <w:t>'Universal Credit killed my dad'</w:t>
        </w:r>
        <w:r w:rsidR="0046390E" w:rsidRPr="006D457B">
          <w:rPr>
            <w:rStyle w:val="Hyperlink"/>
          </w:rPr>
          <w:t xml:space="preserve"> – </w:t>
        </w:r>
        <w:r w:rsidRPr="006D457B">
          <w:rPr>
            <w:rStyle w:val="Hyperlink"/>
          </w:rPr>
          <w:t>grieving daughter slams system after tragic death</w:t>
        </w:r>
        <w:r w:rsidR="0046390E" w:rsidRPr="006D457B">
          <w:rPr>
            <w:rStyle w:val="Hyperlink"/>
          </w:rPr>
          <w:t xml:space="preserve"> – </w:t>
        </w:r>
        <w:r w:rsidRPr="006D457B">
          <w:rPr>
            <w:rStyle w:val="Hyperlink"/>
          </w:rPr>
          <w:t>Grimsby Live (grimsbytelegraph.co.uk)</w:t>
        </w:r>
      </w:hyperlink>
    </w:p>
    <w:p w14:paraId="3BC799B1" w14:textId="36409709" w:rsidR="00B0209B" w:rsidRPr="00B0209B" w:rsidRDefault="00B0209B" w:rsidP="00E739BB">
      <w:pPr>
        <w:rPr>
          <w:szCs w:val="28"/>
        </w:rPr>
      </w:pPr>
      <w:r w:rsidRPr="00357F91">
        <w:rPr>
          <w:b/>
          <w:bCs/>
          <w:szCs w:val="28"/>
        </w:rPr>
        <w:t>December 2018</w:t>
      </w:r>
      <w:r w:rsidRPr="00B0209B">
        <w:rPr>
          <w:szCs w:val="28"/>
        </w:rPr>
        <w:t xml:space="preserve">, </w:t>
      </w:r>
      <w:r w:rsidRPr="00B0209B">
        <w:rPr>
          <w:szCs w:val="28"/>
          <w:u w:val="single"/>
        </w:rPr>
        <w:t>Kevin Dooley</w:t>
      </w:r>
      <w:r w:rsidRPr="00B0209B">
        <w:rPr>
          <w:szCs w:val="28"/>
        </w:rPr>
        <w:t xml:space="preserve">, a 48 year-old man died by suicide after his benefits were cut and he was declared fit to work. </w:t>
      </w:r>
      <w:hyperlink r:id="rId81" w:history="1">
        <w:r w:rsidRPr="006D457B">
          <w:rPr>
            <w:rStyle w:val="Hyperlink"/>
          </w:rPr>
          <w:t>Chronically ill Leeds dad took own life after DWP stopped his benefits, inquest hears</w:t>
        </w:r>
        <w:r w:rsidR="0046390E" w:rsidRPr="006D457B">
          <w:rPr>
            <w:rStyle w:val="Hyperlink"/>
          </w:rPr>
          <w:t xml:space="preserve"> – </w:t>
        </w:r>
        <w:r w:rsidRPr="006D457B">
          <w:rPr>
            <w:rStyle w:val="Hyperlink"/>
          </w:rPr>
          <w:t>Leeds Live (leeds-live.co.uk)</w:t>
        </w:r>
      </w:hyperlink>
    </w:p>
    <w:p w14:paraId="735FE1BB" w14:textId="45773BFE" w:rsidR="00B0209B" w:rsidRPr="00B0209B" w:rsidRDefault="00B0209B" w:rsidP="00E739BB">
      <w:pPr>
        <w:rPr>
          <w:szCs w:val="28"/>
        </w:rPr>
      </w:pPr>
      <w:r w:rsidRPr="00357F91">
        <w:rPr>
          <w:b/>
          <w:bCs/>
          <w:szCs w:val="28"/>
        </w:rPr>
        <w:t>January 2019</w:t>
      </w:r>
      <w:r w:rsidRPr="00B0209B">
        <w:rPr>
          <w:szCs w:val="28"/>
        </w:rPr>
        <w:t xml:space="preserve">. </w:t>
      </w:r>
      <w:r w:rsidRPr="00B0209B">
        <w:rPr>
          <w:szCs w:val="28"/>
          <w:u w:val="single"/>
        </w:rPr>
        <w:t>Alexander Boamah</w:t>
      </w:r>
      <w:r w:rsidRPr="00B0209B">
        <w:rPr>
          <w:szCs w:val="28"/>
        </w:rPr>
        <w:t xml:space="preserve">. Drug overdose after being given 11,000 pounds as backdated payment by DWP. A specific concern from the coroner relates to the potential that individuals, without capacity to manage their finances, may come into receipt of funds which place them at particular risk. </w:t>
      </w:r>
      <w:hyperlink r:id="rId82" w:history="1">
        <w:r w:rsidRPr="006D457B">
          <w:rPr>
            <w:rStyle w:val="Hyperlink"/>
          </w:rPr>
          <w:t>Alexander Boamah | Courts and Tribunals Judiciary</w:t>
        </w:r>
      </w:hyperlink>
    </w:p>
    <w:p w14:paraId="61CE2B4E" w14:textId="31FAF3C4" w:rsidR="003C03D5" w:rsidRPr="003C03D5" w:rsidRDefault="003C03D5" w:rsidP="00E739BB">
      <w:pPr>
        <w:rPr>
          <w:szCs w:val="28"/>
        </w:rPr>
      </w:pPr>
      <w:r w:rsidRPr="00357F91">
        <w:rPr>
          <w:b/>
          <w:bCs/>
          <w:szCs w:val="28"/>
        </w:rPr>
        <w:t>April 2019</w:t>
      </w:r>
      <w:r>
        <w:rPr>
          <w:b/>
          <w:bCs/>
          <w:szCs w:val="28"/>
        </w:rPr>
        <w:t>.</w:t>
      </w:r>
      <w:r w:rsidRPr="00B0209B">
        <w:rPr>
          <w:szCs w:val="28"/>
        </w:rPr>
        <w:t xml:space="preserve"> </w:t>
      </w:r>
      <w:r w:rsidRPr="00B0209B">
        <w:rPr>
          <w:szCs w:val="28"/>
          <w:u w:val="single"/>
        </w:rPr>
        <w:t>Stephen Smith</w:t>
      </w:r>
      <w:r w:rsidRPr="00B0209B">
        <w:rPr>
          <w:szCs w:val="28"/>
        </w:rPr>
        <w:t xml:space="preserve">, 64, a man with multiple debilitating illnesses who was denied benefits and deemed fit to work, sparking a national outcry over the government’s welfare system, has died. </w:t>
      </w:r>
      <w:hyperlink r:id="rId83" w:history="1">
        <w:r w:rsidRPr="006D457B">
          <w:rPr>
            <w:rStyle w:val="Hyperlink"/>
          </w:rPr>
          <w:t>Starving man deemed 'fit to work' at just 6st dies | Metro News</w:t>
        </w:r>
      </w:hyperlink>
    </w:p>
    <w:p w14:paraId="4063B93F" w14:textId="020DADB8" w:rsidR="00B0209B" w:rsidRDefault="00B0209B" w:rsidP="00E739BB">
      <w:pPr>
        <w:rPr>
          <w:rStyle w:val="Hyperlink"/>
          <w:szCs w:val="28"/>
        </w:rPr>
      </w:pPr>
      <w:r w:rsidRPr="00357F91">
        <w:rPr>
          <w:b/>
          <w:bCs/>
          <w:szCs w:val="28"/>
        </w:rPr>
        <w:lastRenderedPageBreak/>
        <w:t>October 2019.</w:t>
      </w:r>
      <w:r w:rsidRPr="00B0209B">
        <w:rPr>
          <w:szCs w:val="28"/>
        </w:rPr>
        <w:t xml:space="preserve"> The inquest into the death of 27 year old </w:t>
      </w:r>
      <w:r w:rsidRPr="00B0209B">
        <w:rPr>
          <w:szCs w:val="28"/>
          <w:u w:val="single"/>
        </w:rPr>
        <w:t>Philippa Day</w:t>
      </w:r>
      <w:r w:rsidRPr="00B0209B">
        <w:rPr>
          <w:szCs w:val="28"/>
        </w:rPr>
        <w:t xml:space="preserve"> – who had been diagnosed with unstable personality disorder and killed herself after her benefits were wrongly cut off, – found 28 errors in the management of her benefit claim by both the DWP and private contractor Capita. </w:t>
      </w:r>
      <w:hyperlink r:id="rId84" w:history="1">
        <w:r w:rsidRPr="00B0209B">
          <w:rPr>
            <w:rStyle w:val="Hyperlink"/>
            <w:szCs w:val="28"/>
          </w:rPr>
          <w:t>https://www.judiciary.uk/wp-content/uploads/2021/02/Phillipa-Day-2021-0043.pdf</w:t>
        </w:r>
      </w:hyperlink>
    </w:p>
    <w:p w14:paraId="26579653" w14:textId="35C62FFA" w:rsidR="003C03D5" w:rsidRPr="00B0209B" w:rsidRDefault="003C03D5" w:rsidP="00E739BB">
      <w:pPr>
        <w:rPr>
          <w:szCs w:val="28"/>
        </w:rPr>
      </w:pPr>
      <w:r w:rsidRPr="003C03D5">
        <w:rPr>
          <w:b/>
          <w:bCs/>
          <w:szCs w:val="28"/>
        </w:rPr>
        <w:t>April 2020.</w:t>
      </w:r>
      <w:r w:rsidRPr="003C03D5">
        <w:rPr>
          <w:szCs w:val="28"/>
        </w:rPr>
        <w:t xml:space="preserve"> </w:t>
      </w:r>
      <w:r w:rsidRPr="003C03D5">
        <w:rPr>
          <w:szCs w:val="28"/>
          <w:u w:val="single"/>
        </w:rPr>
        <w:t>Terence Talbot</w:t>
      </w:r>
      <w:r w:rsidRPr="003C03D5">
        <w:rPr>
          <w:szCs w:val="28"/>
        </w:rPr>
        <w:t>, died after the DWP ordered him to leave hospital to visit a jobcentre despite being severely ill with a condition that later killed him. Health professionals told the inquest into his death that they had never heard of such a “severely ill inpatient” being told by DWP to leave hospital to make a benefit claim in person. The assistant coroner for Mid Kent and Medway, wrote to work and pensions secretary Therese Coffey last month to warn her that other claimants could die unless urgent changes are made to how DWP deals with such</w:t>
      </w:r>
      <w:r>
        <w:rPr>
          <w:szCs w:val="28"/>
        </w:rPr>
        <w:t xml:space="preserve"> </w:t>
      </w:r>
      <w:r w:rsidRPr="003C03D5">
        <w:rPr>
          <w:szCs w:val="28"/>
        </w:rPr>
        <w:t>cases.</w:t>
      </w:r>
      <w:r>
        <w:rPr>
          <w:szCs w:val="28"/>
        </w:rPr>
        <w:t> </w:t>
      </w:r>
      <w:r>
        <w:rPr>
          <w:szCs w:val="28"/>
        </w:rPr>
        <w:br/>
      </w:r>
      <w:hyperlink r:id="rId85" w:history="1">
        <w:r w:rsidRPr="003C03D5">
          <w:rPr>
            <w:rStyle w:val="Hyperlink"/>
            <w:szCs w:val="28"/>
          </w:rPr>
          <w:t>https://www.disabilitynewsservice.com/coroner-dwp-must-act-after-it-told-severely-ill-patient-to-leave-hospital-to-make-claim/</w:t>
        </w:r>
      </w:hyperlink>
      <w:r w:rsidRPr="003C03D5">
        <w:rPr>
          <w:szCs w:val="28"/>
        </w:rPr>
        <w:t>  </w:t>
      </w:r>
    </w:p>
    <w:p w14:paraId="0A9BCA1C" w14:textId="77777777" w:rsidR="003C03D5" w:rsidRPr="00B0209B" w:rsidRDefault="003C03D5" w:rsidP="003C03D5">
      <w:pPr>
        <w:rPr>
          <w:szCs w:val="28"/>
        </w:rPr>
      </w:pPr>
      <w:r w:rsidRPr="00B0209B">
        <w:rPr>
          <w:szCs w:val="28"/>
        </w:rPr>
        <w:t xml:space="preserve">In </w:t>
      </w:r>
      <w:r w:rsidRPr="00357F91">
        <w:rPr>
          <w:b/>
          <w:bCs/>
          <w:szCs w:val="28"/>
        </w:rPr>
        <w:t>December 2020,</w:t>
      </w:r>
      <w:r w:rsidRPr="00B0209B">
        <w:rPr>
          <w:szCs w:val="28"/>
        </w:rPr>
        <w:t xml:space="preserve"> an inquest heard how </w:t>
      </w:r>
      <w:r w:rsidRPr="00B0209B">
        <w:rPr>
          <w:szCs w:val="28"/>
          <w:u w:val="single"/>
        </w:rPr>
        <w:t>Roy Curtis</w:t>
      </w:r>
      <w:r w:rsidRPr="00B0209B">
        <w:rPr>
          <w:szCs w:val="28"/>
        </w:rPr>
        <w:t xml:space="preserve">, an autistic man took his own life in November 2018 six days after being told to attend a “fitness for work” assessment, despite DWP being repeatedly warned that its actions were making him suicidal. </w:t>
      </w:r>
      <w:hyperlink r:id="rId86" w:history="1">
        <w:r w:rsidRPr="006D457B">
          <w:rPr>
            <w:rStyle w:val="Hyperlink"/>
          </w:rPr>
          <w:t xml:space="preserve">It is a pleasure to serve under...: 24 Apr 2019: Westminster Hall debates – </w:t>
        </w:r>
        <w:proofErr w:type="spellStart"/>
        <w:r w:rsidRPr="006D457B">
          <w:rPr>
            <w:rStyle w:val="Hyperlink"/>
          </w:rPr>
          <w:t>TheyWorkForYou</w:t>
        </w:r>
        <w:proofErr w:type="spellEnd"/>
      </w:hyperlink>
      <w:r w:rsidRPr="006D457B">
        <w:rPr>
          <w:rStyle w:val="Hyperlink"/>
        </w:rPr>
        <w:t xml:space="preserve">   </w:t>
      </w:r>
      <w:hyperlink r:id="rId87" w:history="1">
        <w:r w:rsidRPr="006D457B">
          <w:rPr>
            <w:rStyle w:val="Hyperlink"/>
          </w:rPr>
          <w:t>Roy-Curtis-2020-0272_Redacted.pdf (judiciary.uk)</w:t>
        </w:r>
      </w:hyperlink>
    </w:p>
    <w:p w14:paraId="4CC67888" w14:textId="0A4567BA" w:rsidR="00B0209B" w:rsidRPr="00B0209B" w:rsidRDefault="00B0209B" w:rsidP="00E739BB">
      <w:pPr>
        <w:rPr>
          <w:szCs w:val="28"/>
        </w:rPr>
      </w:pPr>
      <w:r w:rsidRPr="00357F91">
        <w:rPr>
          <w:b/>
          <w:bCs/>
          <w:szCs w:val="28"/>
        </w:rPr>
        <w:t>December 2020</w:t>
      </w:r>
      <w:r w:rsidR="00357F91" w:rsidRPr="00357F91">
        <w:rPr>
          <w:b/>
          <w:bCs/>
          <w:szCs w:val="28"/>
        </w:rPr>
        <w:t>.</w:t>
      </w:r>
      <w:r w:rsidRPr="00B0209B">
        <w:rPr>
          <w:szCs w:val="28"/>
        </w:rPr>
        <w:t xml:space="preserve"> </w:t>
      </w:r>
      <w:r w:rsidRPr="003C03D5">
        <w:rPr>
          <w:szCs w:val="28"/>
          <w:u w:val="single"/>
        </w:rPr>
        <w:t xml:space="preserve">Philip </w:t>
      </w:r>
      <w:proofErr w:type="spellStart"/>
      <w:r w:rsidRPr="003C03D5">
        <w:rPr>
          <w:szCs w:val="28"/>
          <w:u w:val="single"/>
        </w:rPr>
        <w:t>Pakree</w:t>
      </w:r>
      <w:proofErr w:type="spellEnd"/>
      <w:r w:rsidRPr="00B0209B">
        <w:rPr>
          <w:szCs w:val="28"/>
        </w:rPr>
        <w:t>, 49, died in his sleep, after 18 months of problems with his</w:t>
      </w:r>
      <w:r w:rsidRPr="00B0209B">
        <w:rPr>
          <w:rFonts w:ascii="Arial" w:hAnsi="Arial" w:cs="Arial"/>
          <w:color w:val="222222"/>
          <w:szCs w:val="28"/>
          <w:shd w:val="clear" w:color="auto" w:fill="FFFFFF"/>
        </w:rPr>
        <w:t xml:space="preserve"> </w:t>
      </w:r>
      <w:r w:rsidRPr="00B0209B">
        <w:rPr>
          <w:szCs w:val="28"/>
        </w:rPr>
        <w:t xml:space="preserve">disability benefits and harassment over the Work Capability Assessment he was too ill to undergo </w:t>
      </w:r>
      <w:hyperlink r:id="rId88" w:history="1">
        <w:r w:rsidRPr="006D457B">
          <w:rPr>
            <w:rStyle w:val="Hyperlink"/>
          </w:rPr>
          <w:t>Partner of ‘distraught’ ESA claimant says DWP drove him to his death – Disability News Service</w:t>
        </w:r>
      </w:hyperlink>
    </w:p>
    <w:p w14:paraId="3CA85DFD" w14:textId="77777777" w:rsidR="002C77BB" w:rsidRDefault="002C77BB">
      <w:pPr>
        <w:spacing w:after="160" w:line="259" w:lineRule="auto"/>
        <w:rPr>
          <w:rFonts w:cs="Proxima Nova"/>
          <w:color w:val="004346"/>
          <w:sz w:val="52"/>
          <w:szCs w:val="52"/>
          <w:lang w:val="en-US"/>
        </w:rPr>
      </w:pPr>
      <w:bookmarkStart w:id="129" w:name="_Appendix_7:_Summary"/>
      <w:bookmarkStart w:id="130" w:name="Appendix7"/>
      <w:bookmarkStart w:id="131" w:name="_Toc98504953"/>
      <w:bookmarkStart w:id="132" w:name="_Toc98506565"/>
      <w:bookmarkEnd w:id="129"/>
      <w:bookmarkEnd w:id="130"/>
      <w:r>
        <w:br w:type="page"/>
      </w:r>
    </w:p>
    <w:p w14:paraId="247D79E1" w14:textId="02DB9323" w:rsidR="005000BA" w:rsidRPr="006A1EC8" w:rsidRDefault="009A53DB" w:rsidP="006A1EC8">
      <w:pPr>
        <w:pStyle w:val="Heading2"/>
      </w:pPr>
      <w:r w:rsidRPr="006A1EC8">
        <w:lastRenderedPageBreak/>
        <w:t>Appendix 7</w:t>
      </w:r>
      <w:bookmarkEnd w:id="131"/>
      <w:r w:rsidR="00BF3588" w:rsidRPr="006A1EC8">
        <w:t>:</w:t>
      </w:r>
      <w:r w:rsidR="00BF3588" w:rsidRPr="006A1EC8">
        <w:br/>
      </w:r>
      <w:r w:rsidR="005000BA" w:rsidRPr="006A1EC8">
        <w:t xml:space="preserve">Summary of ICE Annual Report (2020-2021) focused mainly on </w:t>
      </w:r>
      <w:r w:rsidRPr="006A1EC8">
        <w:t>D</w:t>
      </w:r>
      <w:r w:rsidR="005000BA" w:rsidRPr="006A1EC8">
        <w:t>isabled claimants</w:t>
      </w:r>
      <w:bookmarkEnd w:id="132"/>
    </w:p>
    <w:p w14:paraId="7CB96874" w14:textId="0E4BB52B" w:rsidR="005000BA" w:rsidRPr="005000BA" w:rsidRDefault="005000BA" w:rsidP="00E739BB">
      <w:pPr>
        <w:rPr>
          <w:szCs w:val="28"/>
        </w:rPr>
      </w:pPr>
      <w:r w:rsidRPr="005000BA">
        <w:rPr>
          <w:szCs w:val="28"/>
        </w:rPr>
        <w:t xml:space="preserve">Independent Case Examiner (ICE) provides a free independent complaints review service for the Department for Work and Pensions (DWP) and their contracted services. It is a higher level of complaints, when DWP does not recognise liability or maladministration, and when complainants have exhausted the internal complaint process. </w:t>
      </w:r>
    </w:p>
    <w:p w14:paraId="6FE9216D" w14:textId="4B7595EF" w:rsidR="005000BA" w:rsidRPr="005000BA" w:rsidRDefault="005000BA" w:rsidP="00E739BB">
      <w:pPr>
        <w:rPr>
          <w:szCs w:val="28"/>
        </w:rPr>
      </w:pPr>
      <w:r w:rsidRPr="005000BA">
        <w:rPr>
          <w:szCs w:val="28"/>
        </w:rPr>
        <w:t xml:space="preserve">ICE’s first task in case adjudication is to work out whether there has been ‘maladministration’, or in simpler terms, whether DWP handled things for a customer as their procedures and processes say they should. According to ICE, ‘It seems worth stating that had DWP ‘simply’ done what it set out to do, there would not have been 484 upheld case findings this year’. </w:t>
      </w:r>
    </w:p>
    <w:p w14:paraId="6D1B592C" w14:textId="77777777" w:rsidR="005000BA" w:rsidRPr="005000BA" w:rsidRDefault="005000BA" w:rsidP="00E739BB">
      <w:pPr>
        <w:rPr>
          <w:szCs w:val="28"/>
        </w:rPr>
      </w:pPr>
      <w:r w:rsidRPr="005000BA">
        <w:rPr>
          <w:szCs w:val="28"/>
        </w:rPr>
        <w:t xml:space="preserve">The ICE Annual Report can be found here: </w:t>
      </w:r>
      <w:hyperlink r:id="rId89" w:history="1">
        <w:r w:rsidRPr="005000BA">
          <w:rPr>
            <w:rStyle w:val="Hyperlink"/>
            <w:szCs w:val="28"/>
          </w:rPr>
          <w:t>https://assets.publishing.service.gov.uk/government/uploads/system/uploads/attachment_data/file/1026729/ice-dwp-annual-report-2020-2021.pdf</w:t>
        </w:r>
      </w:hyperlink>
    </w:p>
    <w:p w14:paraId="444FEF3C" w14:textId="7F062034" w:rsidR="009A53DB" w:rsidRDefault="005000BA" w:rsidP="00E739BB">
      <w:pPr>
        <w:rPr>
          <w:szCs w:val="28"/>
        </w:rPr>
      </w:pPr>
      <w:r w:rsidRPr="005000BA">
        <w:rPr>
          <w:szCs w:val="28"/>
        </w:rPr>
        <w:t>What is repeatedly reiterated in th</w:t>
      </w:r>
      <w:r w:rsidR="009A53DB">
        <w:rPr>
          <w:szCs w:val="28"/>
        </w:rPr>
        <w:t>is</w:t>
      </w:r>
      <w:r w:rsidRPr="005000BA">
        <w:rPr>
          <w:szCs w:val="28"/>
        </w:rPr>
        <w:t xml:space="preserve"> report, is that each case is extremely technical and complex, which is why they are impossible to summarise easily. In its drive to simplify the benefit system, DWP has prioritised simplification for its own benefit, while forcing claimants to navigate an extremely complex system, digital by default and which is badly understood by DWP staff.  Those who are the least likely to navigate successfully this system, </w:t>
      </w:r>
      <w:r w:rsidR="009A53DB">
        <w:rPr>
          <w:szCs w:val="28"/>
        </w:rPr>
        <w:t>D</w:t>
      </w:r>
      <w:r w:rsidRPr="005000BA">
        <w:rPr>
          <w:szCs w:val="28"/>
        </w:rPr>
        <w:t xml:space="preserve">isabled people, people whose English is the second language, older people are being failed disproportionally by DWP. </w:t>
      </w:r>
      <w:r w:rsidRPr="005000BA">
        <w:rPr>
          <w:szCs w:val="28"/>
        </w:rPr>
        <w:lastRenderedPageBreak/>
        <w:t>In the words of the ICE report ‘significant failings can arise from a series of apparently small errors and oversights’.</w:t>
      </w:r>
    </w:p>
    <w:p w14:paraId="256535B6" w14:textId="70952161" w:rsidR="009A53DB" w:rsidRPr="005000BA" w:rsidRDefault="009A53DB" w:rsidP="00E739BB">
      <w:pPr>
        <w:rPr>
          <w:szCs w:val="28"/>
        </w:rPr>
      </w:pPr>
      <w:r>
        <w:rPr>
          <w:szCs w:val="28"/>
        </w:rPr>
        <w:t>See key statistics and case studies below:</w:t>
      </w:r>
    </w:p>
    <w:p w14:paraId="5DB43307" w14:textId="1854CDF5" w:rsidR="005000BA" w:rsidRPr="009A53DB" w:rsidRDefault="005000BA" w:rsidP="00771358">
      <w:pPr>
        <w:pStyle w:val="Heading3"/>
      </w:pPr>
      <w:bookmarkStart w:id="133" w:name="_Toc98504954"/>
      <w:r w:rsidRPr="009A53DB">
        <w:t xml:space="preserve">Universal </w:t>
      </w:r>
      <w:r w:rsidR="009A53DB">
        <w:t>C</w:t>
      </w:r>
      <w:r w:rsidRPr="009A53DB">
        <w:t xml:space="preserve">redit and </w:t>
      </w:r>
      <w:r w:rsidR="009A53DB" w:rsidRPr="009A53DB">
        <w:t>D</w:t>
      </w:r>
      <w:r w:rsidRPr="009A53DB">
        <w:t>isabled claimants</w:t>
      </w:r>
      <w:bookmarkEnd w:id="133"/>
      <w:r w:rsidRPr="009A53DB">
        <w:t xml:space="preserve"> </w:t>
      </w:r>
    </w:p>
    <w:tbl>
      <w:tblPr>
        <w:tblStyle w:val="TableGrid"/>
        <w:tblW w:w="918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244"/>
      </w:tblGrid>
      <w:tr w:rsidR="005000BA" w14:paraId="243EAFAF" w14:textId="77777777" w:rsidTr="00FB0911">
        <w:tc>
          <w:tcPr>
            <w:tcW w:w="3936" w:type="dxa"/>
          </w:tcPr>
          <w:p w14:paraId="65168B0D" w14:textId="77777777" w:rsidR="005000BA" w:rsidRPr="009A53DB" w:rsidRDefault="005000BA" w:rsidP="00E739BB">
            <w:pPr>
              <w:rPr>
                <w:szCs w:val="28"/>
              </w:rPr>
            </w:pPr>
            <w:r w:rsidRPr="009A53DB">
              <w:rPr>
                <w:noProof/>
                <w:szCs w:val="28"/>
                <w:lang w:eastAsia="en-GB"/>
              </w:rPr>
              <w:drawing>
                <wp:inline distT="0" distB="0" distL="0" distR="0" wp14:anchorId="52D97F59" wp14:editId="7CF755DD">
                  <wp:extent cx="2143125" cy="52197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0" cstate="print"/>
                          <a:srcRect/>
                          <a:stretch>
                            <a:fillRect/>
                          </a:stretch>
                        </pic:blipFill>
                        <pic:spPr bwMode="auto">
                          <a:xfrm>
                            <a:off x="0" y="0"/>
                            <a:ext cx="2143125" cy="5219700"/>
                          </a:xfrm>
                          <a:prstGeom prst="rect">
                            <a:avLst/>
                          </a:prstGeom>
                          <a:noFill/>
                          <a:ln w="9525">
                            <a:noFill/>
                            <a:miter lim="800000"/>
                            <a:headEnd/>
                            <a:tailEnd/>
                          </a:ln>
                        </pic:spPr>
                      </pic:pic>
                    </a:graphicData>
                  </a:graphic>
                </wp:inline>
              </w:drawing>
            </w:r>
          </w:p>
        </w:tc>
        <w:tc>
          <w:tcPr>
            <w:tcW w:w="5244" w:type="dxa"/>
          </w:tcPr>
          <w:p w14:paraId="2CE16710" w14:textId="77777777" w:rsidR="005000BA" w:rsidRPr="009A53DB" w:rsidRDefault="005000BA" w:rsidP="00E739BB">
            <w:pPr>
              <w:rPr>
                <w:szCs w:val="28"/>
              </w:rPr>
            </w:pPr>
            <w:r w:rsidRPr="009A53DB">
              <w:rPr>
                <w:szCs w:val="28"/>
              </w:rPr>
              <w:t xml:space="preserve">More than half of the Working Age complaints accepted by ICE were from Universal Credit (UC) claimants; UC replaced a number of legacy benefits, not all administered by DWP, including Child Tax Credit, Working Tax Credit, Housing Benefit and Income Related Employment and Support Allowance (ESA). Crucially, those that do claim UC, find they can no longer return to claiming legacy benefits, in particular ESA, a benefit for people who cannot work temporarily or longer term. ICE found people making inappropriate claims in error because of DWP staff confusion or ignorance. </w:t>
            </w:r>
          </w:p>
          <w:p w14:paraId="5E3B9585" w14:textId="61A97AE1" w:rsidR="005000BA" w:rsidRPr="009A53DB" w:rsidRDefault="005000BA" w:rsidP="00E739BB">
            <w:pPr>
              <w:rPr>
                <w:szCs w:val="28"/>
              </w:rPr>
            </w:pPr>
            <w:r w:rsidRPr="009A53DB">
              <w:rPr>
                <w:szCs w:val="28"/>
              </w:rPr>
              <w:t xml:space="preserve">In the 2 case studies used by ICE, one </w:t>
            </w:r>
            <w:r w:rsidR="009A53DB">
              <w:rPr>
                <w:szCs w:val="28"/>
              </w:rPr>
              <w:t>D</w:t>
            </w:r>
            <w:r w:rsidRPr="009A53DB">
              <w:rPr>
                <w:szCs w:val="28"/>
              </w:rPr>
              <w:t xml:space="preserve">isabled claimant was wrongly advised to claim UC although he wanted to make a claim for ESA, but was not informed of the existence of New Style ESA.  The complainant and his partner made a joint UC claim, but they lost their Child Tax Credits (as UC and CTC cannot be claimed as the same time) </w:t>
            </w:r>
            <w:r w:rsidRPr="009A53DB">
              <w:rPr>
                <w:szCs w:val="28"/>
              </w:rPr>
              <w:lastRenderedPageBreak/>
              <w:t xml:space="preserve">and as the claim progressed, they were told that they were not entitled to UC  because they had more than £16,000 in savings. Although they were able to make a new claim for New Style ESA, they could no longer be paid CTCs. </w:t>
            </w:r>
          </w:p>
          <w:p w14:paraId="2EE3FED0" w14:textId="6FD16423" w:rsidR="005000BA" w:rsidRPr="009A53DB" w:rsidRDefault="005000BA" w:rsidP="00E739BB">
            <w:pPr>
              <w:rPr>
                <w:szCs w:val="28"/>
              </w:rPr>
            </w:pPr>
            <w:r w:rsidRPr="009A53DB">
              <w:rPr>
                <w:szCs w:val="28"/>
              </w:rPr>
              <w:t>The 2</w:t>
            </w:r>
            <w:r w:rsidRPr="009A53DB">
              <w:rPr>
                <w:szCs w:val="28"/>
                <w:vertAlign w:val="superscript"/>
              </w:rPr>
              <w:t>nd</w:t>
            </w:r>
            <w:r w:rsidRPr="009A53DB">
              <w:rPr>
                <w:szCs w:val="28"/>
              </w:rPr>
              <w:t xml:space="preserve"> case is even more complicated, and involves again </w:t>
            </w:r>
            <w:r w:rsidR="009A53DB">
              <w:rPr>
                <w:szCs w:val="28"/>
              </w:rPr>
              <w:t>D</w:t>
            </w:r>
            <w:r w:rsidRPr="009A53DB">
              <w:rPr>
                <w:szCs w:val="28"/>
              </w:rPr>
              <w:t xml:space="preserve">isabled complainants, and just serves to highlight that UC was devised as a simplified system for one single, young short term unemployed person in mind and cannot cope with claimants with more complicated lives. </w:t>
            </w:r>
          </w:p>
          <w:p w14:paraId="7BB32FD3" w14:textId="77777777" w:rsidR="005000BA" w:rsidRPr="009A53DB" w:rsidRDefault="005000BA" w:rsidP="00E739BB">
            <w:pPr>
              <w:rPr>
                <w:szCs w:val="28"/>
              </w:rPr>
            </w:pPr>
          </w:p>
        </w:tc>
      </w:tr>
    </w:tbl>
    <w:p w14:paraId="13E69422" w14:textId="77777777" w:rsidR="005000BA" w:rsidRDefault="005000BA" w:rsidP="00E739BB"/>
    <w:p w14:paraId="4D898B34" w14:textId="77777777" w:rsidR="005000BA" w:rsidRPr="009A53DB" w:rsidRDefault="005000BA" w:rsidP="00771358">
      <w:pPr>
        <w:pStyle w:val="Heading3"/>
      </w:pPr>
      <w:bookmarkStart w:id="134" w:name="_Toc98504955"/>
      <w:r w:rsidRPr="009A53DB">
        <w:lastRenderedPageBreak/>
        <w:t>Disability benefits</w:t>
      </w:r>
      <w:bookmarkEnd w:id="134"/>
      <w:r w:rsidRPr="009A53DB">
        <w:t xml:space="preserve"> </w:t>
      </w:r>
    </w:p>
    <w:tbl>
      <w:tblPr>
        <w:tblStyle w:val="TableGrid"/>
        <w:tblW w:w="918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244"/>
      </w:tblGrid>
      <w:tr w:rsidR="005000BA" w14:paraId="3B1BA26F" w14:textId="77777777" w:rsidTr="00FB0911">
        <w:tc>
          <w:tcPr>
            <w:tcW w:w="3936" w:type="dxa"/>
          </w:tcPr>
          <w:p w14:paraId="30AE17F8" w14:textId="77777777" w:rsidR="005000BA" w:rsidRPr="009A53DB" w:rsidRDefault="005000BA" w:rsidP="00E739BB">
            <w:pPr>
              <w:rPr>
                <w:szCs w:val="28"/>
              </w:rPr>
            </w:pPr>
            <w:r w:rsidRPr="009A53DB">
              <w:rPr>
                <w:noProof/>
                <w:szCs w:val="28"/>
                <w:lang w:eastAsia="en-GB"/>
              </w:rPr>
              <w:drawing>
                <wp:inline distT="0" distB="0" distL="0" distR="0" wp14:anchorId="37A60C00" wp14:editId="78273AA2">
                  <wp:extent cx="2190750" cy="44386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1" cstate="print"/>
                          <a:srcRect/>
                          <a:stretch>
                            <a:fillRect/>
                          </a:stretch>
                        </pic:blipFill>
                        <pic:spPr bwMode="auto">
                          <a:xfrm>
                            <a:off x="0" y="0"/>
                            <a:ext cx="2190750" cy="4438650"/>
                          </a:xfrm>
                          <a:prstGeom prst="rect">
                            <a:avLst/>
                          </a:prstGeom>
                          <a:noFill/>
                          <a:ln w="9525">
                            <a:noFill/>
                            <a:miter lim="800000"/>
                            <a:headEnd/>
                            <a:tailEnd/>
                          </a:ln>
                        </pic:spPr>
                      </pic:pic>
                    </a:graphicData>
                  </a:graphic>
                </wp:inline>
              </w:drawing>
            </w:r>
          </w:p>
        </w:tc>
        <w:tc>
          <w:tcPr>
            <w:tcW w:w="5244" w:type="dxa"/>
          </w:tcPr>
          <w:p w14:paraId="21DA42E9" w14:textId="77777777" w:rsidR="005000BA" w:rsidRPr="009A53DB" w:rsidRDefault="005000BA" w:rsidP="00E739BB">
            <w:pPr>
              <w:rPr>
                <w:szCs w:val="28"/>
              </w:rPr>
            </w:pPr>
            <w:r w:rsidRPr="009A53DB">
              <w:rPr>
                <w:szCs w:val="28"/>
              </w:rPr>
              <w:t>The majority of cases seen by ICE this year are from Personal Independence Payment (PIP) claimants. PIP was introduced in 2013 and has gradually replaced Disability Living Allowance (DLA) for people aged 16 to 64. In the main the complaints ICE received concern the PIP assessment process and how medical evidence provided to support a claim had been interpreted, in particular where a claimant may have previously been in receipt of a long term award for DLA, prior to being invited to claim PIP.</w:t>
            </w:r>
          </w:p>
          <w:p w14:paraId="4D45B8DD" w14:textId="77777777" w:rsidR="005000BA" w:rsidRPr="009A53DB" w:rsidRDefault="005000BA" w:rsidP="00E739BB">
            <w:pPr>
              <w:rPr>
                <w:szCs w:val="28"/>
              </w:rPr>
            </w:pPr>
            <w:r w:rsidRPr="009A53DB">
              <w:rPr>
                <w:szCs w:val="28"/>
              </w:rPr>
              <w:t>The case study used by ICE concerns a failure by DWP to do what they should have in a PIP claim, in respect of a change of appointee.</w:t>
            </w:r>
          </w:p>
          <w:p w14:paraId="06D1D66C" w14:textId="77777777" w:rsidR="005000BA" w:rsidRPr="009A53DB" w:rsidRDefault="005000BA" w:rsidP="00E739BB">
            <w:pPr>
              <w:rPr>
                <w:szCs w:val="28"/>
              </w:rPr>
            </w:pPr>
            <w:r w:rsidRPr="009A53DB">
              <w:rPr>
                <w:szCs w:val="28"/>
              </w:rPr>
              <w:t>Without going into the details of the case, DWP’s numerous failures over a period of time meant that by the time the claimant died, they had been without ESA for three months and PIP for three weeks. After ICE’s intervention, the next of kin was paid more than £10,700 in June 2021</w:t>
            </w:r>
          </w:p>
        </w:tc>
      </w:tr>
    </w:tbl>
    <w:p w14:paraId="2E3354D1" w14:textId="77777777" w:rsidR="005000BA" w:rsidRDefault="005000BA" w:rsidP="00E739BB"/>
    <w:p w14:paraId="63879FE7" w14:textId="18D56271" w:rsidR="000C6674" w:rsidRDefault="009E5137" w:rsidP="0001702F">
      <w:pPr>
        <w:pStyle w:val="Heading2"/>
        <w:rPr>
          <w:rStyle w:val="normaltextrun"/>
        </w:rPr>
      </w:pPr>
      <w:bookmarkStart w:id="135" w:name="Appendix8"/>
      <w:bookmarkStart w:id="136" w:name="_Appendix_8:_List"/>
      <w:bookmarkStart w:id="137" w:name="_Toc98504956"/>
      <w:bookmarkStart w:id="138" w:name="_Toc98506566"/>
      <w:bookmarkEnd w:id="135"/>
      <w:bookmarkEnd w:id="136"/>
      <w:r>
        <w:lastRenderedPageBreak/>
        <w:t>Appendix 8</w:t>
      </w:r>
      <w:bookmarkEnd w:id="137"/>
      <w:r w:rsidR="00BF3588">
        <w:t>:</w:t>
      </w:r>
      <w:r w:rsidR="00BF3588">
        <w:br/>
      </w:r>
      <w:r w:rsidR="00557713" w:rsidRPr="00557713">
        <w:t>List of Data Gaps</w:t>
      </w:r>
      <w:bookmarkEnd w:id="138"/>
    </w:p>
    <w:p w14:paraId="22EEBC0D" w14:textId="6FE5F226" w:rsidR="003448CA" w:rsidRPr="00771358" w:rsidRDefault="00FB0911" w:rsidP="00771358">
      <w:pPr>
        <w:pStyle w:val="Heading3"/>
        <w:rPr>
          <w:rStyle w:val="normaltextrun"/>
        </w:rPr>
      </w:pPr>
      <w:bookmarkStart w:id="139" w:name="_Toc98504957"/>
      <w:r>
        <w:rPr>
          <w:rStyle w:val="normaltextrun"/>
        </w:rPr>
        <w:t>Work and Pensions</w:t>
      </w:r>
      <w:bookmarkEnd w:id="139"/>
    </w:p>
    <w:p w14:paraId="7D942391" w14:textId="21A17FA9" w:rsidR="004434E7" w:rsidRPr="00FB0911" w:rsidRDefault="004434E7" w:rsidP="00FB0911">
      <w:pPr>
        <w:rPr>
          <w:rStyle w:val="normaltextrun"/>
        </w:rPr>
      </w:pPr>
      <w:r w:rsidRPr="004B6E56">
        <w:rPr>
          <w:rStyle w:val="normaltextrun"/>
          <w:rFonts w:cs="Calibri"/>
          <w:szCs w:val="28"/>
        </w:rPr>
        <w:t xml:space="preserve">Since the roll out of Universal Credit (UC), it is more difficult to see what is happening to DDP than under the legacy benefits system it replaced.  </w:t>
      </w:r>
    </w:p>
    <w:p w14:paraId="2E449D05" w14:textId="42654059" w:rsidR="003448CA" w:rsidRPr="004B6E56" w:rsidRDefault="004434E7" w:rsidP="00794060">
      <w:pPr>
        <w:pStyle w:val="Bullets"/>
        <w:rPr>
          <w:rStyle w:val="normaltextrun"/>
          <w:rFonts w:cs="Calibri"/>
        </w:rPr>
      </w:pPr>
      <w:r w:rsidRPr="004B6E56">
        <w:rPr>
          <w:rStyle w:val="normaltextrun"/>
          <w:rFonts w:cs="Calibri"/>
          <w:b/>
          <w:bCs/>
        </w:rPr>
        <w:t>Work Capability Assessments: Outcomes are only published for Employment Support Allowance claimants, but ESA is now closed to new claims</w:t>
      </w:r>
      <w:r w:rsidRPr="004B6E56">
        <w:rPr>
          <w:rStyle w:val="normaltextrun"/>
          <w:rFonts w:cs="Calibri"/>
        </w:rPr>
        <w:t xml:space="preserve">. Based on the government's own statistics, around 1% of claimants are leaving the Work Related Activity Group (WRAG) each month plus over 1% the Support Group (SG). Most DDP are now claiming UC as the default benefit. ESA assessments are now mainly reassessments and the statistics are very limited in what they can tell us. UC only disaggregates statistics by conditionality, i.e. the level of sanctions which applies to each category. </w:t>
      </w:r>
      <w:hyperlink r:id="rId92" w:history="1">
        <w:r w:rsidRPr="004B6E56">
          <w:rPr>
            <w:rStyle w:val="Hyperlink"/>
            <w:rFonts w:cs="Calibri"/>
          </w:rPr>
          <w:t>https://www.gov.uk/government/statistics/esa-outcomes-of-work-capability-assessments-including-mandatory-reconsiderations-and-appeals-december-2021/esa-work-capability-assessments-mandatory-reconsiderations-and-appeals-december-2021</w:t>
        </w:r>
      </w:hyperlink>
    </w:p>
    <w:p w14:paraId="77F56831" w14:textId="1BC119B7" w:rsidR="004434E7" w:rsidRPr="004B6E56" w:rsidRDefault="003448CA" w:rsidP="004B6E56">
      <w:pPr>
        <w:pStyle w:val="Bullets"/>
        <w:rPr>
          <w:rStyle w:val="eop"/>
          <w:rFonts w:cs="Calibri"/>
        </w:rPr>
      </w:pPr>
      <w:r w:rsidRPr="004B6E56">
        <w:rPr>
          <w:rStyle w:val="normaltextrun"/>
          <w:rFonts w:cs="Calibri"/>
          <w:b/>
          <w:bCs/>
        </w:rPr>
        <w:t>Universal Credit:</w:t>
      </w:r>
      <w:r w:rsidR="004434E7" w:rsidRPr="004B6E56">
        <w:rPr>
          <w:rStyle w:val="normaltextrun"/>
          <w:rFonts w:cs="Calibri"/>
          <w:b/>
          <w:bCs/>
        </w:rPr>
        <w:t xml:space="preserve"> Disabled people don’t exist as a distinct group</w:t>
      </w:r>
      <w:r w:rsidR="004434E7" w:rsidRPr="004B6E56">
        <w:rPr>
          <w:rStyle w:val="normaltextrun"/>
          <w:rFonts w:cs="Calibri"/>
        </w:rPr>
        <w:t>, but belong to conditionality groups, meaning attracting different levels of sanctions. So disabled people under UC are lumped in with other groups, such as people on income support or single parents, and it is impossible to know how many of them are claiming UC, whether they have Limited Capability for Work (LCW) or Limited Capability for Work Related Activity (LCWRA) and are being sanctioned.</w:t>
      </w:r>
      <w:r w:rsidR="004434E7" w:rsidRPr="004B6E56">
        <w:rPr>
          <w:rStyle w:val="eop"/>
          <w:rFonts w:cs="Calibri"/>
        </w:rPr>
        <w:t xml:space="preserve"> The official statistics are supposedly here, but lead to a website where users have to create their own statistics. </w:t>
      </w:r>
    </w:p>
    <w:p w14:paraId="2DC73D53" w14:textId="0F412F6E" w:rsidR="003448CA" w:rsidRPr="004B6E56" w:rsidRDefault="004F0A16" w:rsidP="004B6E56">
      <w:pPr>
        <w:pStyle w:val="Bullets"/>
        <w:numPr>
          <w:ilvl w:val="0"/>
          <w:numId w:val="0"/>
        </w:numPr>
        <w:ind w:left="567"/>
        <w:rPr>
          <w:rStyle w:val="eop"/>
        </w:rPr>
      </w:pPr>
      <w:hyperlink r:id="rId93" w:history="1">
        <w:r w:rsidR="006D457B" w:rsidRPr="00A97FBA">
          <w:rPr>
            <w:rStyle w:val="Hyperlink"/>
            <w:rFonts w:cs="Calibri"/>
          </w:rPr>
          <w:t>https://www.gov.uk/government/statistics/universal-credit-statistics-29-april-2013-to-9-december-2021</w:t>
        </w:r>
      </w:hyperlink>
    </w:p>
    <w:p w14:paraId="7B1BEF22" w14:textId="116A63C6" w:rsidR="003448CA" w:rsidRPr="004B6E56" w:rsidRDefault="004434E7" w:rsidP="00794060">
      <w:pPr>
        <w:pStyle w:val="Bullets"/>
        <w:rPr>
          <w:rStyle w:val="normaltextrun"/>
        </w:rPr>
      </w:pPr>
      <w:r w:rsidRPr="004B6E56">
        <w:rPr>
          <w:rStyle w:val="normaltextrun"/>
          <w:rFonts w:cs="Calibri"/>
          <w:b/>
          <w:bCs/>
        </w:rPr>
        <w:t>No statistics on and monitoring of WCA Outcomes for UC claimants</w:t>
      </w:r>
      <w:r w:rsidRPr="004B6E56">
        <w:rPr>
          <w:rStyle w:val="normaltextrun"/>
          <w:rFonts w:cs="Calibri"/>
        </w:rPr>
        <w:t>. Although DWP has made it possible to know (through the X-</w:t>
      </w:r>
      <w:proofErr w:type="spellStart"/>
      <w:r w:rsidRPr="004B6E56">
        <w:rPr>
          <w:rStyle w:val="normaltextrun"/>
          <w:rFonts w:cs="Calibri"/>
        </w:rPr>
        <w:t>plore</w:t>
      </w:r>
      <w:proofErr w:type="spellEnd"/>
      <w:r w:rsidRPr="004B6E56">
        <w:rPr>
          <w:rStyle w:val="normaltextrun"/>
          <w:rFonts w:cs="Calibri"/>
        </w:rPr>
        <w:t xml:space="preserve"> tool, which helps you to construct your own tables) the number of claimants found to have LCWRA under UC, and the number of claimants found to have LCW, DWP has confirmed that the number of DDP found to have LCW were only claimants moved from the ESA WRAG to UC because of a change of circumstances. These claimants have never undergone a WCA under UC.</w:t>
      </w:r>
      <w:r w:rsidRPr="004B6E56">
        <w:rPr>
          <w:rStyle w:val="eop"/>
          <w:rFonts w:cs="Calibri"/>
        </w:rPr>
        <w:t> </w:t>
      </w:r>
      <w:r w:rsidRPr="004B6E56">
        <w:rPr>
          <w:rStyle w:val="normaltextrun"/>
          <w:rFonts w:cs="Calibri"/>
          <w:b/>
          <w:bCs/>
        </w:rPr>
        <w:t>More importantly</w:t>
      </w:r>
      <w:r w:rsidRPr="004B6E56">
        <w:rPr>
          <w:rStyle w:val="normaltextrun"/>
          <w:rFonts w:cs="Calibri"/>
        </w:rPr>
        <w:t>, DWP does not publish the number or % of people undergoing a WCA and found to have neither LCWRA nor LCW, which under the old ESA system meant</w:t>
      </w:r>
      <w:r w:rsidRPr="004B6E56">
        <w:rPr>
          <w:rStyle w:val="normaltextrun"/>
          <w:rFonts w:ascii="Times New Roman" w:hAnsi="Times New Roman" w:cs="Times New Roman"/>
        </w:rPr>
        <w:t> </w:t>
      </w:r>
      <w:r w:rsidRPr="004B6E56">
        <w:rPr>
          <w:rStyle w:val="normaltextrun"/>
          <w:rFonts w:cs="Calibri"/>
          <w:b/>
          <w:bCs/>
        </w:rPr>
        <w:t>being found fit for work</w:t>
      </w:r>
      <w:r w:rsidRPr="004B6E56">
        <w:rPr>
          <w:rStyle w:val="normaltextrun"/>
          <w:rFonts w:cs="Calibri"/>
        </w:rPr>
        <w:t>. This is really important, as the ratio between the 3 groups used to be a good indicator of the disability assessment contractors’ performance, and evidence of pressure by the government to keep the claimant count down. The number of Mandatory Reconsiderations (MR which is a DWP internal appeal system to challenge a benefit decision) is an overall number and</w:t>
      </w:r>
      <w:r w:rsidRPr="004B6E56">
        <w:rPr>
          <w:rStyle w:val="normaltextrun"/>
          <w:rFonts w:ascii="Times New Roman" w:hAnsi="Times New Roman" w:cs="Times New Roman"/>
        </w:rPr>
        <w:t> </w:t>
      </w:r>
      <w:r w:rsidRPr="004B6E56">
        <w:rPr>
          <w:rStyle w:val="normaltextrun"/>
          <w:rFonts w:cs="Calibri"/>
          <w:b/>
          <w:bCs/>
        </w:rPr>
        <w:t xml:space="preserve">the publication of the Ministry of Justice on tribunal statistics </w:t>
      </w:r>
      <w:r w:rsidRPr="004B6E56">
        <w:rPr>
          <w:rStyle w:val="normaltextrun"/>
          <w:rFonts w:cs="Calibri"/>
        </w:rPr>
        <w:t xml:space="preserve">no longer differentiates between the different UC claimants. They are all lumped together, disabled and unemployed people, working people, etc. A crucial piece of information has been lost as these figures were previously produced by the </w:t>
      </w:r>
      <w:proofErr w:type="spellStart"/>
      <w:r w:rsidRPr="004B6E56">
        <w:rPr>
          <w:rStyle w:val="normaltextrun"/>
          <w:rFonts w:cs="Calibri"/>
        </w:rPr>
        <w:t>MoJ</w:t>
      </w:r>
      <w:proofErr w:type="spellEnd"/>
      <w:r w:rsidRPr="004B6E56">
        <w:rPr>
          <w:rStyle w:val="normaltextrun"/>
          <w:rFonts w:cs="Calibri"/>
        </w:rPr>
        <w:t xml:space="preserve">, </w:t>
      </w:r>
      <w:r w:rsidR="003448CA" w:rsidRPr="004B6E56">
        <w:rPr>
          <w:rStyle w:val="normaltextrun"/>
          <w:rFonts w:cs="Calibri"/>
        </w:rPr>
        <w:t>and not the DWP</w:t>
      </w:r>
      <w:r w:rsidRPr="004B6E56">
        <w:rPr>
          <w:rStyle w:val="normaltextrun"/>
          <w:rFonts w:cs="Calibri"/>
        </w:rPr>
        <w:t>.</w:t>
      </w:r>
      <w:r w:rsidRPr="004B6E56">
        <w:rPr>
          <w:rStyle w:val="eop"/>
          <w:rFonts w:cs="Calibri"/>
        </w:rPr>
        <w:t> </w:t>
      </w:r>
    </w:p>
    <w:p w14:paraId="296EC33B" w14:textId="1C6BAAD5" w:rsidR="00600EF9" w:rsidRPr="004B6E56" w:rsidRDefault="004434E7" w:rsidP="00794060">
      <w:pPr>
        <w:pStyle w:val="Bullets"/>
        <w:rPr>
          <w:rStyle w:val="normaltextrun"/>
        </w:rPr>
      </w:pPr>
      <w:r w:rsidRPr="004B6E56">
        <w:rPr>
          <w:rStyle w:val="normaltextrun"/>
          <w:rFonts w:cs="Calibri"/>
          <w:b/>
        </w:rPr>
        <w:t>Policies introduced are not monitored</w:t>
      </w:r>
      <w:r w:rsidRPr="004B6E56">
        <w:rPr>
          <w:rStyle w:val="normaltextrun"/>
          <w:rFonts w:cs="Calibri"/>
        </w:rPr>
        <w:t xml:space="preserve">. For example, cuts to ESA WRAG. No evaluation of impact on DDP and no evaluation of whether the cuts have </w:t>
      </w:r>
      <w:proofErr w:type="spellStart"/>
      <w:r w:rsidRPr="004B6E56">
        <w:rPr>
          <w:rStyle w:val="normaltextrun"/>
          <w:rFonts w:cs="Calibri"/>
        </w:rPr>
        <w:t>incentivised</w:t>
      </w:r>
      <w:proofErr w:type="spellEnd"/>
      <w:r w:rsidRPr="004B6E56">
        <w:rPr>
          <w:rStyle w:val="normaltextrun"/>
          <w:rFonts w:cs="Calibri"/>
        </w:rPr>
        <w:t xml:space="preserve"> DP into work (which was the government's argument in </w:t>
      </w:r>
      <w:proofErr w:type="spellStart"/>
      <w:r w:rsidRPr="004B6E56">
        <w:rPr>
          <w:rStyle w:val="normaltextrun"/>
          <w:rFonts w:cs="Calibri"/>
        </w:rPr>
        <w:t>favour</w:t>
      </w:r>
      <w:proofErr w:type="spellEnd"/>
      <w:r w:rsidRPr="004B6E56">
        <w:rPr>
          <w:rStyle w:val="normaltextrun"/>
          <w:rFonts w:cs="Calibri"/>
        </w:rPr>
        <w:t xml:space="preserve"> of the cut). No impact assessment has taken place of the removal of the £20 uplift on disabled people on UC during the pandemic. </w:t>
      </w:r>
    </w:p>
    <w:p w14:paraId="13131697" w14:textId="5A5CA205" w:rsidR="00600EF9" w:rsidRPr="004B6E56" w:rsidRDefault="004434E7" w:rsidP="00794060">
      <w:pPr>
        <w:pStyle w:val="Bullets"/>
        <w:rPr>
          <w:rStyle w:val="normaltextrun"/>
          <w:rFonts w:cs="Calibri"/>
        </w:rPr>
      </w:pPr>
      <w:r w:rsidRPr="004B6E56">
        <w:rPr>
          <w:rStyle w:val="normaltextrun"/>
          <w:rFonts w:cs="Calibri"/>
          <w:b/>
          <w:bCs/>
        </w:rPr>
        <w:lastRenderedPageBreak/>
        <w:t>Refusal to publish a report commissioned by the Prime Minister’s office</w:t>
      </w:r>
      <w:r w:rsidRPr="004B6E56">
        <w:rPr>
          <w:rStyle w:val="normaltextrun"/>
          <w:rFonts w:ascii="Times New Roman" w:hAnsi="Times New Roman" w:cs="Times New Roman"/>
        </w:rPr>
        <w:t> </w:t>
      </w:r>
      <w:r w:rsidRPr="004B6E56">
        <w:rPr>
          <w:rStyle w:val="normaltextrun"/>
          <w:rFonts w:cs="Calibri"/>
        </w:rPr>
        <w:t>– into the effectiveness of its support for “vulnerable” claimants of Universal Credit. It was eventually published after the Work and Pensions Committee threatened to publish it if DWP did not, but not before the authors of the report were asked to water it down, by removing several references to ‘unmet needs’. The report confirms that the level of benefits is so low that some DDP are still unable to meet essential living costs such as food and utility bills.</w:t>
      </w:r>
      <w:r w:rsidRPr="004B6E56">
        <w:t xml:space="preserve"> </w:t>
      </w:r>
      <w:hyperlink r:id="rId94" w:history="1">
        <w:r w:rsidRPr="004B6E56">
          <w:rPr>
            <w:rStyle w:val="Hyperlink"/>
          </w:rPr>
          <w:t>https://committees.parliament.uk/publications/8745/documents/88599/default/</w:t>
        </w:r>
      </w:hyperlink>
    </w:p>
    <w:p w14:paraId="0E13EF3D" w14:textId="24332CBE" w:rsidR="00044B6A" w:rsidRPr="004B6E56" w:rsidRDefault="004434E7" w:rsidP="00794060">
      <w:pPr>
        <w:pStyle w:val="Bullets"/>
        <w:rPr>
          <w:rStyle w:val="normaltextrun"/>
          <w:rFonts w:cs="Calibri"/>
        </w:rPr>
      </w:pPr>
      <w:r w:rsidRPr="004B6E56">
        <w:rPr>
          <w:rStyle w:val="normaltextrun"/>
          <w:rFonts w:cs="Calibri"/>
          <w:b/>
          <w:bCs/>
        </w:rPr>
        <w:t>Refusal to publish an evaluation on the effectiveness of sanctions commissioned in 2019.</w:t>
      </w:r>
      <w:r w:rsidRPr="004B6E56">
        <w:rPr>
          <w:rStyle w:val="normaltextrun"/>
          <w:rFonts w:cs="Calibri"/>
        </w:rPr>
        <w:t xml:space="preserve"> </w:t>
      </w:r>
      <w:hyperlink r:id="rId95" w:history="1">
        <w:r w:rsidRPr="004B6E56">
          <w:rPr>
            <w:rStyle w:val="Hyperlink"/>
          </w:rPr>
          <w:t>https://www.theguardian.com/society/2022/jan/27/report-on-effectiveness-of-benefit-sanctions-blocked-by-dwp</w:t>
        </w:r>
      </w:hyperlink>
    </w:p>
    <w:p w14:paraId="2CBD1A1E" w14:textId="69F599A3" w:rsidR="004434E7" w:rsidRPr="004B6E56" w:rsidRDefault="004434E7" w:rsidP="004B6E56">
      <w:pPr>
        <w:pStyle w:val="Bullets"/>
        <w:rPr>
          <w:rStyle w:val="normaltextrun"/>
          <w:rFonts w:cs="Calibri"/>
        </w:rPr>
      </w:pPr>
      <w:r w:rsidRPr="004B6E56">
        <w:rPr>
          <w:rStyle w:val="normaltextrun"/>
          <w:rFonts w:cs="Calibri"/>
          <w:b/>
          <w:bCs/>
        </w:rPr>
        <w:t>DWP Outcome Delivery Plan:</w:t>
      </w:r>
      <w:r w:rsidRPr="004B6E56">
        <w:rPr>
          <w:rStyle w:val="normaltextrun"/>
          <w:rFonts w:ascii="Times New Roman" w:hAnsi="Times New Roman" w:cs="Times New Roman"/>
        </w:rPr>
        <w:t> </w:t>
      </w:r>
      <w:r w:rsidRPr="004B6E56">
        <w:rPr>
          <w:rStyle w:val="normaltextrun"/>
          <w:rFonts w:cs="Calibri"/>
        </w:rPr>
        <w:t>DWP is only planning to evaluate the impact of policies designed to help people move into work</w:t>
      </w:r>
      <w:r w:rsidRPr="004B6E56">
        <w:rPr>
          <w:rStyle w:val="normaltextrun"/>
          <w:rFonts w:ascii="Times New Roman" w:hAnsi="Times New Roman" w:cs="Times New Roman"/>
        </w:rPr>
        <w:t>  </w:t>
      </w:r>
    </w:p>
    <w:p w14:paraId="2121078C" w14:textId="294E5840" w:rsidR="00CB051C" w:rsidRPr="004B6E56" w:rsidRDefault="004F0A16" w:rsidP="004B6E56">
      <w:pPr>
        <w:pStyle w:val="Bullets"/>
        <w:numPr>
          <w:ilvl w:val="0"/>
          <w:numId w:val="0"/>
        </w:numPr>
        <w:ind w:left="567"/>
        <w:rPr>
          <w:rStyle w:val="Hyperlink"/>
        </w:rPr>
      </w:pPr>
      <w:hyperlink r:id="rId96" w:history="1">
        <w:r w:rsidR="004B6E56" w:rsidRPr="004B6E56">
          <w:rPr>
            <w:rStyle w:val="Hyperlink"/>
          </w:rPr>
          <w:t>https://www.gov.uk/government/publications/department-for-work-and-pensions-outcome-delivery-plan/department-for-work-and-pensions-outcome-delivery-plan-2021-to-2022</w:t>
        </w:r>
      </w:hyperlink>
      <w:r w:rsidR="004434E7" w:rsidRPr="004B6E56">
        <w:rPr>
          <w:rStyle w:val="Hyperlink"/>
        </w:rPr>
        <w:t> </w:t>
      </w:r>
    </w:p>
    <w:p w14:paraId="2470E8FB" w14:textId="77777777" w:rsidR="00CB051C" w:rsidRPr="004B6E56" w:rsidRDefault="00CB051C" w:rsidP="004B6E56">
      <w:pPr>
        <w:pStyle w:val="Bullets"/>
      </w:pPr>
      <w:r w:rsidRPr="004B6E56">
        <w:rPr>
          <w:rStyle w:val="normaltextrun"/>
          <w:rFonts w:cs="Calibri"/>
        </w:rPr>
        <w:t>The</w:t>
      </w:r>
      <w:r w:rsidRPr="004B6E56">
        <w:rPr>
          <w:rStyle w:val="normaltextrun"/>
          <w:rFonts w:ascii="Times New Roman" w:hAnsi="Times New Roman" w:cs="Times New Roman"/>
        </w:rPr>
        <w:t> </w:t>
      </w:r>
      <w:r w:rsidRPr="004B6E56">
        <w:rPr>
          <w:rStyle w:val="normaltextrun"/>
          <w:rFonts w:cs="Calibri"/>
          <w:b/>
          <w:bCs/>
        </w:rPr>
        <w:t>Claimant Service and Experience Survey</w:t>
      </w:r>
      <w:r w:rsidRPr="004B6E56">
        <w:rPr>
          <w:rStyle w:val="normaltextrun"/>
          <w:rFonts w:ascii="Times New Roman" w:hAnsi="Times New Roman" w:cs="Times New Roman"/>
        </w:rPr>
        <w:t> </w:t>
      </w:r>
      <w:r w:rsidRPr="004B6E56">
        <w:rPr>
          <w:rStyle w:val="normaltextrun"/>
          <w:rFonts w:cs="Calibri"/>
        </w:rPr>
        <w:t>(CSES) was last published in 2019 and shows a decrease in satisfaction for ESA and PIP claimants</w:t>
      </w:r>
      <w:r w:rsidRPr="004B6E56">
        <w:rPr>
          <w:rStyle w:val="normaltextrun"/>
          <w:rFonts w:ascii="Times New Roman" w:hAnsi="Times New Roman" w:cs="Times New Roman"/>
        </w:rPr>
        <w:t> </w:t>
      </w:r>
      <w:hyperlink r:id="rId97" w:tgtFrame="_blank" w:history="1">
        <w:r w:rsidRPr="004B6E56">
          <w:rPr>
            <w:rStyle w:val="Hyperlink"/>
          </w:rPr>
          <w:t>https://www.gov.uk/government/publications/dwp-claimant-service-and-experience-survey-2018-to-2019--2/claimant-service-and-experience-survey-2018-to-2019</w:t>
        </w:r>
      </w:hyperlink>
      <w:r w:rsidRPr="004B6E56">
        <w:rPr>
          <w:rStyle w:val="eop"/>
          <w:rFonts w:cs="Calibri"/>
        </w:rPr>
        <w:t> </w:t>
      </w:r>
    </w:p>
    <w:p w14:paraId="1520BFF5" w14:textId="77777777" w:rsidR="00CB051C" w:rsidRPr="004434E7" w:rsidRDefault="00CB051C" w:rsidP="00E739BB">
      <w:pPr>
        <w:pStyle w:val="paragraph"/>
        <w:shd w:val="clear" w:color="auto" w:fill="FFFFFF"/>
        <w:spacing w:before="0" w:beforeAutospacing="0" w:after="0" w:afterAutospacing="0" w:line="300" w:lineRule="auto"/>
        <w:ind w:left="720"/>
        <w:textAlignment w:val="baseline"/>
        <w:rPr>
          <w:rFonts w:ascii="Calibri" w:hAnsi="Calibri" w:cs="Calibri"/>
          <w:sz w:val="28"/>
          <w:szCs w:val="28"/>
        </w:rPr>
      </w:pPr>
    </w:p>
    <w:p w14:paraId="6337A06F" w14:textId="5C0F405F" w:rsidR="00600EF9" w:rsidRPr="00275905" w:rsidRDefault="00275905" w:rsidP="00275905">
      <w:pPr>
        <w:pStyle w:val="Heading3"/>
        <w:rPr>
          <w:rStyle w:val="normaltextrun"/>
        </w:rPr>
      </w:pPr>
      <w:bookmarkStart w:id="140" w:name="_Toc98504958"/>
      <w:r w:rsidRPr="00275905">
        <w:rPr>
          <w:rStyle w:val="normaltextrun"/>
        </w:rPr>
        <w:lastRenderedPageBreak/>
        <w:t>Equalities</w:t>
      </w:r>
      <w:bookmarkEnd w:id="140"/>
    </w:p>
    <w:p w14:paraId="5A2F5961" w14:textId="6D7708AA" w:rsidR="00600EF9" w:rsidRPr="006D457B" w:rsidRDefault="004434E7" w:rsidP="00794060">
      <w:pPr>
        <w:pStyle w:val="Bullets"/>
        <w:rPr>
          <w:rStyle w:val="normaltextrun"/>
        </w:rPr>
      </w:pPr>
      <w:r w:rsidRPr="006D457B">
        <w:rPr>
          <w:rStyle w:val="normaltextrun"/>
          <w:rFonts w:cs="Calibri"/>
          <w:b/>
          <w:bCs/>
        </w:rPr>
        <w:t>Life Opportunity Survey Data</w:t>
      </w:r>
      <w:r w:rsidRPr="006D457B">
        <w:rPr>
          <w:rStyle w:val="normaltextrun"/>
          <w:rFonts w:ascii="Times New Roman" w:hAnsi="Times New Roman" w:cs="Times New Roman"/>
        </w:rPr>
        <w:t> </w:t>
      </w:r>
      <w:r w:rsidRPr="006D457B">
        <w:rPr>
          <w:rStyle w:val="normaltextrun"/>
          <w:rFonts w:cs="Calibri"/>
        </w:rPr>
        <w:t>on how disabled and non-disabled people participate in society. Was discontinued in 2015</w:t>
      </w:r>
      <w:r w:rsidRPr="006D457B">
        <w:rPr>
          <w:rStyle w:val="eop"/>
          <w:rFonts w:cs="Calibri"/>
        </w:rPr>
        <w:t> </w:t>
      </w:r>
    </w:p>
    <w:p w14:paraId="79473399" w14:textId="63139359" w:rsidR="004434E7" w:rsidRPr="006D457B" w:rsidRDefault="004434E7" w:rsidP="00275905">
      <w:pPr>
        <w:pStyle w:val="Bullets"/>
        <w:rPr>
          <w:rStyle w:val="eop"/>
          <w:rFonts w:cs="Calibri"/>
        </w:rPr>
      </w:pPr>
      <w:r w:rsidRPr="006D457B">
        <w:rPr>
          <w:rStyle w:val="normaltextrun"/>
          <w:rFonts w:cs="Calibri"/>
          <w:b/>
          <w:bCs/>
        </w:rPr>
        <w:t>Fulfi</w:t>
      </w:r>
      <w:r w:rsidR="00CB051C" w:rsidRPr="006D457B">
        <w:rPr>
          <w:rStyle w:val="normaltextrun"/>
          <w:rFonts w:cs="Calibri"/>
          <w:b/>
          <w:bCs/>
        </w:rPr>
        <w:t>l</w:t>
      </w:r>
      <w:r w:rsidRPr="006D457B">
        <w:rPr>
          <w:rStyle w:val="normaltextrun"/>
          <w:rFonts w:cs="Calibri"/>
          <w:b/>
          <w:bCs/>
        </w:rPr>
        <w:t>ling Potential Outcomes and Indicators</w:t>
      </w:r>
      <w:r w:rsidRPr="006D457B">
        <w:rPr>
          <w:rStyle w:val="normaltextrun"/>
          <w:rFonts w:ascii="Times New Roman" w:hAnsi="Times New Roman" w:cs="Times New Roman"/>
          <w:b/>
          <w:bCs/>
        </w:rPr>
        <w:t> </w:t>
      </w:r>
      <w:r w:rsidRPr="006D457B">
        <w:rPr>
          <w:rStyle w:val="normaltextrun"/>
          <w:rFonts w:cs="Calibri"/>
        </w:rPr>
        <w:t>Data measuring indicators in the Fulfilling Potential disability strategy outcomes and indicators framework. Discontinued 2015</w:t>
      </w:r>
      <w:r w:rsidRPr="006D457B">
        <w:rPr>
          <w:rStyle w:val="eop"/>
          <w:rFonts w:cs="Calibri"/>
        </w:rPr>
        <w:t> </w:t>
      </w:r>
    </w:p>
    <w:p w14:paraId="01089DFE" w14:textId="560A5E79" w:rsidR="00CB051C" w:rsidRDefault="00CB051C" w:rsidP="00E739BB">
      <w:pPr>
        <w:pStyle w:val="paragraph"/>
        <w:shd w:val="clear" w:color="auto" w:fill="FFFFFF"/>
        <w:spacing w:before="0" w:beforeAutospacing="0" w:after="0" w:afterAutospacing="0" w:line="300" w:lineRule="auto"/>
        <w:textAlignment w:val="baseline"/>
        <w:rPr>
          <w:rFonts w:ascii="Calibri" w:hAnsi="Calibri" w:cs="Calibri"/>
          <w:sz w:val="28"/>
          <w:szCs w:val="28"/>
        </w:rPr>
      </w:pPr>
    </w:p>
    <w:p w14:paraId="66D71D60" w14:textId="22BB0473" w:rsidR="00CB051C" w:rsidRPr="005B26AF" w:rsidRDefault="00CB051C" w:rsidP="00275905">
      <w:pPr>
        <w:pStyle w:val="Heading3"/>
      </w:pPr>
      <w:bookmarkStart w:id="141" w:name="_Toc98504959"/>
      <w:r w:rsidRPr="005B26AF">
        <w:t>D</w:t>
      </w:r>
      <w:r w:rsidR="00275905">
        <w:t>ata Gaps Identified in Evidence Received</w:t>
      </w:r>
      <w:bookmarkEnd w:id="141"/>
    </w:p>
    <w:p w14:paraId="3B9367D3" w14:textId="5BE2A032" w:rsidR="004434E7" w:rsidRPr="006D457B" w:rsidRDefault="005B26AF" w:rsidP="00275905">
      <w:pPr>
        <w:pStyle w:val="Bullets"/>
        <w:rPr>
          <w:rStyle w:val="normaltextrun"/>
          <w:rFonts w:cs="Calibri"/>
        </w:rPr>
      </w:pPr>
      <w:r w:rsidRPr="006D457B">
        <w:rPr>
          <w:rStyle w:val="normaltextrun"/>
          <w:rFonts w:cs="Calibri"/>
        </w:rPr>
        <w:t xml:space="preserve">Available numbers of specialist </w:t>
      </w:r>
      <w:r w:rsidR="00983B40" w:rsidRPr="006D457B">
        <w:rPr>
          <w:rStyle w:val="normaltextrun"/>
          <w:rFonts w:cs="Calibri"/>
        </w:rPr>
        <w:t>vision</w:t>
      </w:r>
      <w:r w:rsidRPr="006D457B">
        <w:rPr>
          <w:rStyle w:val="normaltextrun"/>
          <w:rFonts w:cs="Calibri"/>
        </w:rPr>
        <w:t xml:space="preserve"> rehabilitation workers and impact of cuts. Information is held by individual Local Authorities with no central collation or monitoring</w:t>
      </w:r>
      <w:r w:rsidRPr="006D457B">
        <w:rPr>
          <w:rStyle w:val="FootnoteReference"/>
          <w:rFonts w:cs="Calibri"/>
        </w:rPr>
        <w:footnoteReference w:id="526"/>
      </w:r>
      <w:r w:rsidRPr="006D457B">
        <w:rPr>
          <w:rStyle w:val="normaltextrun"/>
          <w:rFonts w:cs="Calibri"/>
        </w:rPr>
        <w:t>.</w:t>
      </w:r>
    </w:p>
    <w:p w14:paraId="0D2BDC34" w14:textId="14D67E26" w:rsidR="005B26AF" w:rsidRPr="006D457B" w:rsidRDefault="005B26AF" w:rsidP="00F43544">
      <w:pPr>
        <w:pStyle w:val="Bullets"/>
        <w:spacing w:after="120"/>
        <w:rPr>
          <w:rStyle w:val="normaltextrun"/>
          <w:rFonts w:eastAsia="Times New Roman" w:cs="Calibri"/>
          <w:lang w:eastAsia="en-GB"/>
        </w:rPr>
      </w:pPr>
      <w:r w:rsidRPr="006D457B">
        <w:rPr>
          <w:rStyle w:val="normaltextrun"/>
          <w:rFonts w:eastAsia="Times New Roman" w:cs="Calibri"/>
          <w:lang w:eastAsia="en-GB"/>
        </w:rPr>
        <w:t>Disaggregated disability data on</w:t>
      </w:r>
      <w:r w:rsidRPr="006D457B">
        <w:rPr>
          <w:rStyle w:val="FootnoteReference"/>
          <w:rFonts w:eastAsia="Times New Roman" w:cs="Calibri"/>
          <w:lang w:eastAsia="en-GB"/>
        </w:rPr>
        <w:footnoteReference w:id="527"/>
      </w:r>
      <w:r w:rsidRPr="006D457B">
        <w:rPr>
          <w:rStyle w:val="normaltextrun"/>
          <w:rFonts w:eastAsia="Times New Roman" w:cs="Calibri"/>
          <w:lang w:eastAsia="en-GB"/>
        </w:rPr>
        <w:t xml:space="preserve">: </w:t>
      </w:r>
    </w:p>
    <w:p w14:paraId="2CCF8E51" w14:textId="02E96E9E" w:rsidR="005B26AF" w:rsidRPr="006D457B" w:rsidRDefault="005B26AF" w:rsidP="00794060">
      <w:pPr>
        <w:pStyle w:val="Bullets"/>
        <w:numPr>
          <w:ilvl w:val="1"/>
          <w:numId w:val="6"/>
        </w:numPr>
        <w:spacing w:after="120" w:line="276" w:lineRule="auto"/>
        <w:ind w:hanging="357"/>
        <w:rPr>
          <w:rStyle w:val="normaltextrun"/>
          <w:rFonts w:eastAsia="Times New Roman" w:cs="Calibri"/>
          <w:lang w:eastAsia="en-GB"/>
        </w:rPr>
      </w:pPr>
      <w:r w:rsidRPr="006D457B">
        <w:rPr>
          <w:rStyle w:val="normaltextrun"/>
          <w:rFonts w:eastAsia="Times New Roman" w:cs="Calibri"/>
          <w:lang w:eastAsia="en-GB"/>
        </w:rPr>
        <w:t>sexual violence experienced by women and girls who are Deaf and/or Disabled;</w:t>
      </w:r>
    </w:p>
    <w:p w14:paraId="0186176B" w14:textId="52DD6C6A" w:rsidR="005B26AF" w:rsidRPr="006D457B" w:rsidRDefault="005B26AF" w:rsidP="00794060">
      <w:pPr>
        <w:pStyle w:val="Bullets"/>
        <w:numPr>
          <w:ilvl w:val="1"/>
          <w:numId w:val="6"/>
        </w:numPr>
        <w:spacing w:after="120" w:line="276" w:lineRule="auto"/>
        <w:ind w:hanging="357"/>
        <w:rPr>
          <w:rStyle w:val="normaltextrun"/>
          <w:rFonts w:eastAsia="Times New Roman" w:cs="Calibri"/>
          <w:lang w:eastAsia="en-GB"/>
        </w:rPr>
      </w:pPr>
      <w:r w:rsidRPr="006D457B">
        <w:rPr>
          <w:rStyle w:val="normaltextrun"/>
          <w:rFonts w:eastAsia="Times New Roman" w:cs="Calibri"/>
          <w:lang w:eastAsia="en-GB"/>
        </w:rPr>
        <w:t xml:space="preserve">numbers of DDP affected by other forms of hate crime; </w:t>
      </w:r>
    </w:p>
    <w:p w14:paraId="29D577EC" w14:textId="4553769C" w:rsidR="005B26AF" w:rsidRPr="006D457B" w:rsidRDefault="005B26AF" w:rsidP="00794060">
      <w:pPr>
        <w:pStyle w:val="Bullets"/>
        <w:numPr>
          <w:ilvl w:val="1"/>
          <w:numId w:val="6"/>
        </w:numPr>
        <w:spacing w:after="120" w:line="276" w:lineRule="auto"/>
        <w:ind w:hanging="357"/>
        <w:rPr>
          <w:rStyle w:val="normaltextrun"/>
          <w:rFonts w:eastAsia="Times New Roman" w:cs="Calibri"/>
          <w:lang w:eastAsia="en-GB"/>
        </w:rPr>
      </w:pPr>
      <w:r w:rsidRPr="006D457B">
        <w:rPr>
          <w:rStyle w:val="normaltextrun"/>
          <w:rFonts w:eastAsia="Times New Roman" w:cs="Calibri"/>
          <w:lang w:eastAsia="en-GB"/>
        </w:rPr>
        <w:t xml:space="preserve">unmet social care needs among </w:t>
      </w:r>
      <w:proofErr w:type="spellStart"/>
      <w:r w:rsidR="001E49EB" w:rsidRPr="001E49EB">
        <w:rPr>
          <w:rStyle w:val="normaltextrun"/>
          <w:rFonts w:eastAsia="Times New Roman" w:cs="Calibri"/>
          <w:lang w:eastAsia="en-GB"/>
        </w:rPr>
        <w:t>among</w:t>
      </w:r>
      <w:proofErr w:type="spellEnd"/>
      <w:r w:rsidR="001E49EB" w:rsidRPr="001E49EB">
        <w:rPr>
          <w:rStyle w:val="normaltextrun"/>
          <w:rFonts w:eastAsia="Times New Roman" w:cs="Calibri"/>
          <w:lang w:eastAsia="en-GB"/>
        </w:rPr>
        <w:t xml:space="preserve"> Black people and </w:t>
      </w:r>
      <w:proofErr w:type="spellStart"/>
      <w:r w:rsidR="001E49EB" w:rsidRPr="001E49EB">
        <w:rPr>
          <w:rStyle w:val="normaltextrun"/>
          <w:rFonts w:eastAsia="Times New Roman" w:cs="Calibri"/>
          <w:lang w:eastAsia="en-GB"/>
        </w:rPr>
        <w:t>racialised</w:t>
      </w:r>
      <w:proofErr w:type="spellEnd"/>
      <w:r w:rsidR="001E49EB" w:rsidRPr="001E49EB">
        <w:rPr>
          <w:rStyle w:val="normaltextrun"/>
          <w:rFonts w:eastAsia="Times New Roman" w:cs="Calibri"/>
          <w:lang w:eastAsia="en-GB"/>
        </w:rPr>
        <w:t xml:space="preserve"> minorities </w:t>
      </w:r>
      <w:r w:rsidRPr="006D457B">
        <w:rPr>
          <w:rStyle w:val="normaltextrun"/>
          <w:rFonts w:eastAsia="Times New Roman" w:cs="Calibri"/>
          <w:lang w:eastAsia="en-GB"/>
        </w:rPr>
        <w:t xml:space="preserve">and LGBTQ+ communities; </w:t>
      </w:r>
    </w:p>
    <w:p w14:paraId="5A1EB2EC" w14:textId="78712D96" w:rsidR="005B26AF" w:rsidRPr="006D457B" w:rsidRDefault="005B26AF" w:rsidP="00794060">
      <w:pPr>
        <w:pStyle w:val="Bullets"/>
        <w:numPr>
          <w:ilvl w:val="1"/>
          <w:numId w:val="6"/>
        </w:numPr>
        <w:spacing w:after="120" w:line="276" w:lineRule="auto"/>
        <w:ind w:hanging="357"/>
        <w:rPr>
          <w:rStyle w:val="normaltextrun"/>
          <w:rFonts w:eastAsia="Times New Roman" w:cs="Calibri"/>
          <w:lang w:eastAsia="en-GB"/>
        </w:rPr>
      </w:pPr>
      <w:r w:rsidRPr="006D457B">
        <w:rPr>
          <w:rStyle w:val="normaltextrun"/>
          <w:rFonts w:eastAsia="Times New Roman" w:cs="Calibri"/>
          <w:lang w:eastAsia="en-GB"/>
        </w:rPr>
        <w:t xml:space="preserve">Disabled parents and child protection proceedings; </w:t>
      </w:r>
    </w:p>
    <w:p w14:paraId="3DDE58E6" w14:textId="2347CED5" w:rsidR="005B26AF" w:rsidRPr="006D457B" w:rsidRDefault="005B26AF" w:rsidP="00794060">
      <w:pPr>
        <w:pStyle w:val="Bullets"/>
        <w:numPr>
          <w:ilvl w:val="1"/>
          <w:numId w:val="6"/>
        </w:numPr>
        <w:spacing w:line="276" w:lineRule="auto"/>
        <w:ind w:hanging="357"/>
        <w:rPr>
          <w:rStyle w:val="normaltextrun"/>
          <w:rFonts w:eastAsia="Times New Roman" w:cs="Calibri"/>
          <w:lang w:eastAsia="en-GB"/>
        </w:rPr>
      </w:pPr>
      <w:r w:rsidRPr="006D457B">
        <w:rPr>
          <w:rStyle w:val="normaltextrun"/>
          <w:rFonts w:eastAsia="Times New Roman" w:cs="Calibri"/>
          <w:lang w:eastAsia="en-GB"/>
        </w:rPr>
        <w:t>DDP who are/have been victims of modern slavery</w:t>
      </w:r>
    </w:p>
    <w:p w14:paraId="7532B850" w14:textId="4E884E89" w:rsidR="005B26AF" w:rsidRPr="006D457B" w:rsidRDefault="00414279" w:rsidP="00275905">
      <w:pPr>
        <w:pStyle w:val="Bullets"/>
        <w:rPr>
          <w:rStyle w:val="normaltextrun"/>
          <w:rFonts w:cs="Calibri"/>
        </w:rPr>
      </w:pPr>
      <w:r w:rsidRPr="006D457B">
        <w:rPr>
          <w:rStyle w:val="normaltextrun"/>
          <w:rFonts w:cs="Calibri"/>
        </w:rPr>
        <w:t>Figures on funding for people who require access to AAC</w:t>
      </w:r>
      <w:r w:rsidRPr="006D457B">
        <w:rPr>
          <w:rStyle w:val="FootnoteReference"/>
          <w:rFonts w:cs="Calibri"/>
        </w:rPr>
        <w:footnoteReference w:id="528"/>
      </w:r>
    </w:p>
    <w:p w14:paraId="610CAE0C" w14:textId="4D2E46F1" w:rsidR="00517E6D" w:rsidRPr="00C17543" w:rsidRDefault="00414279" w:rsidP="0001702F">
      <w:pPr>
        <w:pStyle w:val="Heading2"/>
      </w:pPr>
      <w:r>
        <w:br w:type="page"/>
      </w:r>
      <w:bookmarkStart w:id="142" w:name="_Toc98504960"/>
      <w:bookmarkStart w:id="143" w:name="_Toc98506567"/>
      <w:r w:rsidR="00C17543" w:rsidRPr="004434E7">
        <w:lastRenderedPageBreak/>
        <w:t xml:space="preserve">Appendix </w:t>
      </w:r>
      <w:r w:rsidR="00095DF7" w:rsidRPr="004434E7">
        <w:t>9</w:t>
      </w:r>
      <w:bookmarkEnd w:id="142"/>
      <w:r w:rsidR="00BF3588">
        <w:t>:</w:t>
      </w:r>
      <w:r w:rsidR="00BF3588">
        <w:br/>
      </w:r>
      <w:r w:rsidR="00C17543" w:rsidRPr="00C17543">
        <w:t xml:space="preserve">List of </w:t>
      </w:r>
      <w:r w:rsidR="006C3616">
        <w:t xml:space="preserve">24 </w:t>
      </w:r>
      <w:r w:rsidR="00C17543" w:rsidRPr="00C17543">
        <w:t>Breaches of DDP’s Rights in first 12 months of COVID-19 Pandemic</w:t>
      </w:r>
      <w:r w:rsidR="00C17543">
        <w:rPr>
          <w:rStyle w:val="FootnoteReference"/>
          <w:b/>
          <w:bCs/>
          <w:sz w:val="28"/>
          <w:szCs w:val="28"/>
        </w:rPr>
        <w:footnoteReference w:id="529"/>
      </w:r>
      <w:bookmarkEnd w:id="143"/>
    </w:p>
    <w:p w14:paraId="6629C9E5" w14:textId="56EE02F0" w:rsidR="00C17543" w:rsidRPr="00A924C4" w:rsidRDefault="00C17543" w:rsidP="00A924C4">
      <w:pPr>
        <w:pStyle w:val="Numberlist"/>
        <w:numPr>
          <w:ilvl w:val="0"/>
          <w:numId w:val="8"/>
        </w:numPr>
        <w:ind w:left="1134" w:hanging="567"/>
      </w:pPr>
      <w:r w:rsidRPr="00A924C4">
        <w:rPr>
          <w:rStyle w:val="Emphasis"/>
          <w:i w:val="0"/>
          <w:iCs w:val="0"/>
        </w:rPr>
        <w:t>Ministers failed to offer recipients of so-called legacy benefits such as ESA the same £20-a-week benefit increase </w:t>
      </w:r>
      <w:hyperlink r:id="rId98" w:history="1">
        <w:r w:rsidRPr="00A924C4">
          <w:rPr>
            <w:rStyle w:val="Hyperlink"/>
          </w:rPr>
          <w:t>given to those on universal credit</w:t>
        </w:r>
      </w:hyperlink>
      <w:r w:rsidRPr="00A924C4">
        <w:rPr>
          <w:rStyle w:val="Emphasis"/>
          <w:i w:val="0"/>
          <w:iCs w:val="0"/>
        </w:rPr>
        <w:t>.</w:t>
      </w:r>
    </w:p>
    <w:p w14:paraId="6C334250" w14:textId="307FC4D9" w:rsidR="00C17543" w:rsidRPr="006D457B" w:rsidRDefault="00C17543" w:rsidP="00794060">
      <w:pPr>
        <w:pStyle w:val="NormalWeb"/>
        <w:numPr>
          <w:ilvl w:val="0"/>
          <w:numId w:val="7"/>
        </w:numPr>
        <w:shd w:val="clear" w:color="auto" w:fill="FFFFFF"/>
        <w:spacing w:before="0" w:beforeAutospacing="0" w:after="390" w:afterAutospacing="0" w:line="300" w:lineRule="auto"/>
        <w:ind w:left="1134" w:hanging="567"/>
        <w:rPr>
          <w:rFonts w:ascii="Proxima Nova" w:hAnsi="Proxima Nova" w:cstheme="minorHAnsi"/>
          <w:color w:val="222222"/>
          <w:sz w:val="28"/>
          <w:szCs w:val="28"/>
        </w:rPr>
      </w:pPr>
      <w:r w:rsidRPr="006D457B">
        <w:rPr>
          <w:rStyle w:val="Emphasis"/>
          <w:rFonts w:ascii="Proxima Nova" w:hAnsi="Proxima Nova" w:cstheme="minorHAnsi"/>
          <w:i w:val="0"/>
          <w:iCs w:val="0"/>
          <w:color w:val="222222"/>
          <w:sz w:val="28"/>
          <w:szCs w:val="28"/>
        </w:rPr>
        <w:t>The Department of Health and Social Care </w:t>
      </w:r>
      <w:hyperlink r:id="rId99" w:history="1">
        <w:r w:rsidRPr="006D457B">
          <w:rPr>
            <w:rStyle w:val="Hyperlink"/>
            <w:sz w:val="28"/>
            <w:szCs w:val="28"/>
          </w:rPr>
          <w:t>took five months to produce guidance</w:t>
        </w:r>
      </w:hyperlink>
      <w:r w:rsidRPr="006D457B">
        <w:rPr>
          <w:rStyle w:val="Emphasis"/>
          <w:rFonts w:ascii="Proxima Nova" w:hAnsi="Proxima Nova" w:cstheme="minorHAnsi"/>
          <w:i w:val="0"/>
          <w:iCs w:val="0"/>
          <w:color w:val="222222"/>
          <w:sz w:val="28"/>
          <w:szCs w:val="28"/>
        </w:rPr>
        <w:t> that aims to protect disabled people in supported living services during the pandemic.</w:t>
      </w:r>
    </w:p>
    <w:p w14:paraId="0583D507" w14:textId="56BAEEC6" w:rsidR="00C17543" w:rsidRPr="006D457B" w:rsidRDefault="00C17543" w:rsidP="00794060">
      <w:pPr>
        <w:pStyle w:val="NormalWeb"/>
        <w:numPr>
          <w:ilvl w:val="0"/>
          <w:numId w:val="7"/>
        </w:numPr>
        <w:shd w:val="clear" w:color="auto" w:fill="FFFFFF"/>
        <w:spacing w:before="0" w:beforeAutospacing="0" w:after="390" w:afterAutospacing="0" w:line="300" w:lineRule="auto"/>
        <w:ind w:left="1134" w:hanging="567"/>
        <w:rPr>
          <w:rFonts w:ascii="Proxima Nova" w:hAnsi="Proxima Nova" w:cstheme="minorHAnsi"/>
          <w:color w:val="222222"/>
          <w:sz w:val="28"/>
          <w:szCs w:val="28"/>
        </w:rPr>
      </w:pPr>
      <w:r w:rsidRPr="006D457B">
        <w:rPr>
          <w:rStyle w:val="Emphasis"/>
          <w:rFonts w:ascii="Proxima Nova" w:hAnsi="Proxima Nova" w:cstheme="minorHAnsi"/>
          <w:i w:val="0"/>
          <w:iCs w:val="0"/>
          <w:color w:val="222222"/>
          <w:sz w:val="28"/>
          <w:szCs w:val="28"/>
        </w:rPr>
        <w:t>Justin Tomlinson, the minister for disabled people, </w:t>
      </w:r>
      <w:hyperlink r:id="rId100" w:history="1">
        <w:r w:rsidRPr="006D457B">
          <w:rPr>
            <w:rStyle w:val="Hyperlink"/>
            <w:sz w:val="28"/>
            <w:szCs w:val="28"/>
          </w:rPr>
          <w:t>failed to carry out meaningful engagement</w:t>
        </w:r>
      </w:hyperlink>
      <w:r w:rsidRPr="006D457B">
        <w:rPr>
          <w:rStyle w:val="Emphasis"/>
          <w:rFonts w:ascii="Proxima Nova" w:hAnsi="Proxima Nova" w:cstheme="minorHAnsi"/>
          <w:i w:val="0"/>
          <w:iCs w:val="0"/>
          <w:color w:val="222222"/>
          <w:sz w:val="28"/>
          <w:szCs w:val="28"/>
        </w:rPr>
        <w:t> with disabled people’s organisations during the early months of the pandemic.</w:t>
      </w:r>
    </w:p>
    <w:p w14:paraId="2D9018A1" w14:textId="761D6301" w:rsidR="00C17543" w:rsidRPr="006D457B" w:rsidRDefault="00C17543" w:rsidP="00794060">
      <w:pPr>
        <w:pStyle w:val="NormalWeb"/>
        <w:numPr>
          <w:ilvl w:val="0"/>
          <w:numId w:val="7"/>
        </w:numPr>
        <w:shd w:val="clear" w:color="auto" w:fill="FFFFFF"/>
        <w:spacing w:before="0" w:beforeAutospacing="0" w:after="390" w:afterAutospacing="0" w:line="300" w:lineRule="auto"/>
        <w:ind w:left="1134" w:hanging="567"/>
        <w:rPr>
          <w:rFonts w:ascii="Proxima Nova" w:hAnsi="Proxima Nova" w:cstheme="minorHAnsi"/>
          <w:color w:val="222222"/>
          <w:sz w:val="28"/>
          <w:szCs w:val="28"/>
        </w:rPr>
      </w:pPr>
      <w:r w:rsidRPr="006D457B">
        <w:rPr>
          <w:rStyle w:val="Emphasis"/>
          <w:rFonts w:ascii="Proxima Nova" w:hAnsi="Proxima Nova" w:cstheme="minorHAnsi"/>
          <w:i w:val="0"/>
          <w:iCs w:val="0"/>
          <w:color w:val="222222"/>
          <w:sz w:val="28"/>
          <w:szCs w:val="28"/>
        </w:rPr>
        <w:t>DHSC drew up a strategy that allowed patients infected with COVID </w:t>
      </w:r>
      <w:hyperlink r:id="rId101" w:history="1">
        <w:r w:rsidRPr="006D457B">
          <w:rPr>
            <w:rStyle w:val="Hyperlink"/>
            <w:sz w:val="28"/>
            <w:szCs w:val="28"/>
          </w:rPr>
          <w:t>to be discharged from hospitals into residential homes</w:t>
        </w:r>
      </w:hyperlink>
      <w:r w:rsidRPr="006D457B">
        <w:rPr>
          <w:rStyle w:val="Emphasis"/>
          <w:rFonts w:ascii="Proxima Nova" w:hAnsi="Proxima Nova" w:cstheme="minorHAnsi"/>
          <w:i w:val="0"/>
          <w:iCs w:val="0"/>
          <w:color w:val="222222"/>
          <w:sz w:val="28"/>
          <w:szCs w:val="28"/>
        </w:rPr>
        <w:t>, as part of a so-called “safe discharge” scheme regulated by the Care Quality Commission.</w:t>
      </w:r>
    </w:p>
    <w:p w14:paraId="0C0D9CFA" w14:textId="2AB4E3AB" w:rsidR="00C17543" w:rsidRPr="006D457B" w:rsidRDefault="00C17543" w:rsidP="00794060">
      <w:pPr>
        <w:pStyle w:val="NormalWeb"/>
        <w:numPr>
          <w:ilvl w:val="0"/>
          <w:numId w:val="7"/>
        </w:numPr>
        <w:shd w:val="clear" w:color="auto" w:fill="FFFFFF"/>
        <w:spacing w:before="0" w:beforeAutospacing="0" w:after="390" w:afterAutospacing="0" w:line="300" w:lineRule="auto"/>
        <w:ind w:left="1134" w:hanging="567"/>
        <w:rPr>
          <w:rFonts w:ascii="Proxima Nova" w:hAnsi="Proxima Nova" w:cstheme="minorHAnsi"/>
          <w:color w:val="222222"/>
          <w:sz w:val="28"/>
          <w:szCs w:val="28"/>
        </w:rPr>
      </w:pPr>
      <w:r w:rsidRPr="006D457B">
        <w:rPr>
          <w:rStyle w:val="Emphasis"/>
          <w:rFonts w:ascii="Proxima Nova" w:hAnsi="Proxima Nova" w:cstheme="minorHAnsi"/>
          <w:i w:val="0"/>
          <w:iCs w:val="0"/>
          <w:color w:val="222222"/>
          <w:sz w:val="28"/>
          <w:szCs w:val="28"/>
        </w:rPr>
        <w:lastRenderedPageBreak/>
        <w:t>DHSC </w:t>
      </w:r>
      <w:hyperlink r:id="rId102" w:history="1">
        <w:r w:rsidRPr="006D457B">
          <w:rPr>
            <w:rStyle w:val="Hyperlink"/>
            <w:sz w:val="28"/>
            <w:szCs w:val="28"/>
          </w:rPr>
          <w:t>released new guidance</w:t>
        </w:r>
      </w:hyperlink>
      <w:r w:rsidRPr="006D457B">
        <w:rPr>
          <w:rStyle w:val="Emphasis"/>
          <w:rFonts w:ascii="Proxima Nova" w:hAnsi="Proxima Nova" w:cstheme="minorHAnsi"/>
          <w:i w:val="0"/>
          <w:iCs w:val="0"/>
          <w:color w:val="222222"/>
          <w:sz w:val="28"/>
          <w:szCs w:val="28"/>
        </w:rPr>
        <w:t> for those seen as clinically extremely vulnerable to the virus, less than 24 hours before the England-wide lockdown that began in November.</w:t>
      </w:r>
    </w:p>
    <w:p w14:paraId="014BD70D" w14:textId="1D0712D4" w:rsidR="00C17543" w:rsidRPr="006D457B" w:rsidRDefault="00C17543" w:rsidP="00794060">
      <w:pPr>
        <w:pStyle w:val="NormalWeb"/>
        <w:numPr>
          <w:ilvl w:val="0"/>
          <w:numId w:val="7"/>
        </w:numPr>
        <w:shd w:val="clear" w:color="auto" w:fill="FFFFFF"/>
        <w:spacing w:before="0" w:beforeAutospacing="0" w:after="390" w:afterAutospacing="0" w:line="300" w:lineRule="auto"/>
        <w:ind w:left="1134" w:hanging="567"/>
        <w:rPr>
          <w:rFonts w:ascii="Proxima Nova" w:hAnsi="Proxima Nova" w:cstheme="minorHAnsi"/>
          <w:color w:val="222222"/>
          <w:sz w:val="28"/>
          <w:szCs w:val="28"/>
        </w:rPr>
      </w:pPr>
      <w:r w:rsidRPr="006D457B">
        <w:rPr>
          <w:rStyle w:val="Emphasis"/>
          <w:rFonts w:ascii="Proxima Nova" w:hAnsi="Proxima Nova" w:cstheme="minorHAnsi"/>
          <w:i w:val="0"/>
          <w:iCs w:val="0"/>
          <w:color w:val="222222"/>
          <w:sz w:val="28"/>
          <w:szCs w:val="28"/>
        </w:rPr>
        <w:t>Disabled people seen as extremely vulnerable to coronavirus were initially only placed </w:t>
      </w:r>
      <w:hyperlink r:id="rId103" w:history="1">
        <w:r w:rsidRPr="006D457B">
          <w:rPr>
            <w:rStyle w:val="Hyperlink"/>
            <w:sz w:val="28"/>
            <w:szCs w:val="28"/>
          </w:rPr>
          <w:t>sixth in the priority list</w:t>
        </w:r>
      </w:hyperlink>
      <w:r w:rsidRPr="006D457B">
        <w:rPr>
          <w:rStyle w:val="Hyperlink"/>
          <w:sz w:val="28"/>
          <w:szCs w:val="28"/>
        </w:rPr>
        <w:t> </w:t>
      </w:r>
      <w:r w:rsidRPr="006D457B">
        <w:rPr>
          <w:rStyle w:val="Emphasis"/>
          <w:rFonts w:ascii="Proxima Nova" w:hAnsi="Proxima Nova" w:cstheme="minorHAnsi"/>
          <w:i w:val="0"/>
          <w:iCs w:val="0"/>
          <w:color w:val="222222"/>
          <w:sz w:val="28"/>
          <w:szCs w:val="28"/>
        </w:rPr>
        <w:t>for a COVID-19 vaccine when it was first published in November.</w:t>
      </w:r>
    </w:p>
    <w:p w14:paraId="5585B1FD" w14:textId="07611142" w:rsidR="00C17543" w:rsidRPr="006D457B" w:rsidRDefault="00C17543" w:rsidP="00794060">
      <w:pPr>
        <w:pStyle w:val="NormalWeb"/>
        <w:numPr>
          <w:ilvl w:val="0"/>
          <w:numId w:val="7"/>
        </w:numPr>
        <w:shd w:val="clear" w:color="auto" w:fill="FFFFFF"/>
        <w:spacing w:before="0" w:beforeAutospacing="0" w:after="390" w:afterAutospacing="0" w:line="300" w:lineRule="auto"/>
        <w:ind w:left="1134" w:hanging="567"/>
        <w:rPr>
          <w:rFonts w:ascii="Proxima Nova" w:hAnsi="Proxima Nova" w:cstheme="minorHAnsi"/>
          <w:color w:val="222222"/>
          <w:sz w:val="28"/>
          <w:szCs w:val="28"/>
        </w:rPr>
      </w:pPr>
      <w:r w:rsidRPr="006D457B">
        <w:rPr>
          <w:rStyle w:val="Emphasis"/>
          <w:rFonts w:ascii="Proxima Nova" w:hAnsi="Proxima Nova" w:cstheme="minorHAnsi"/>
          <w:i w:val="0"/>
          <w:iCs w:val="0"/>
          <w:color w:val="222222"/>
          <w:sz w:val="28"/>
          <w:szCs w:val="28"/>
        </w:rPr>
        <w:t>After the priority list was altered, following pressure from disabled campaigners, </w:t>
      </w:r>
      <w:hyperlink r:id="rId104" w:history="1">
        <w:r w:rsidRPr="006D457B">
          <w:rPr>
            <w:rStyle w:val="Hyperlink"/>
            <w:sz w:val="28"/>
            <w:szCs w:val="28"/>
          </w:rPr>
          <w:t>there were further concerns</w:t>
        </w:r>
      </w:hyperlink>
      <w:r w:rsidRPr="006D457B">
        <w:rPr>
          <w:rStyle w:val="Emphasis"/>
          <w:rFonts w:ascii="Proxima Nova" w:hAnsi="Proxima Nova" w:cstheme="minorHAnsi"/>
          <w:i w:val="0"/>
          <w:iCs w:val="0"/>
          <w:color w:val="222222"/>
          <w:sz w:val="28"/>
          <w:szCs w:val="28"/>
        </w:rPr>
        <w:t> that hundreds of thousands of disabled people with underlying health conditions were still not being treated as a priority for the vaccine.</w:t>
      </w:r>
    </w:p>
    <w:p w14:paraId="050A0D75" w14:textId="6E080443" w:rsidR="00C17543" w:rsidRPr="006D457B" w:rsidRDefault="00C17543" w:rsidP="00794060">
      <w:pPr>
        <w:pStyle w:val="NormalWeb"/>
        <w:numPr>
          <w:ilvl w:val="0"/>
          <w:numId w:val="7"/>
        </w:numPr>
        <w:shd w:val="clear" w:color="auto" w:fill="FFFFFF"/>
        <w:spacing w:before="0" w:beforeAutospacing="0" w:after="390" w:afterAutospacing="0" w:line="300" w:lineRule="auto"/>
        <w:ind w:left="1134" w:hanging="567"/>
        <w:rPr>
          <w:rFonts w:ascii="Proxima Nova" w:hAnsi="Proxima Nova" w:cstheme="minorHAnsi"/>
          <w:color w:val="222222"/>
          <w:sz w:val="28"/>
          <w:szCs w:val="28"/>
        </w:rPr>
      </w:pPr>
      <w:r w:rsidRPr="006D457B">
        <w:rPr>
          <w:rStyle w:val="Emphasis"/>
          <w:rFonts w:ascii="Proxima Nova" w:hAnsi="Proxima Nova" w:cstheme="minorHAnsi"/>
          <w:i w:val="0"/>
          <w:iCs w:val="0"/>
          <w:color w:val="222222"/>
          <w:sz w:val="28"/>
          <w:szCs w:val="28"/>
        </w:rPr>
        <w:t>The government failed to provide shielding information in an accessible format to visually-impaired people, as well as failing to provide other information and guidance in an accessible format, </w:t>
      </w:r>
      <w:hyperlink r:id="rId105" w:history="1">
        <w:r w:rsidRPr="006D457B">
          <w:rPr>
            <w:rStyle w:val="Hyperlink"/>
            <w:sz w:val="28"/>
            <w:szCs w:val="28"/>
          </w:rPr>
          <w:t>including for BSL-users</w:t>
        </w:r>
      </w:hyperlink>
      <w:r w:rsidRPr="006D457B">
        <w:rPr>
          <w:rStyle w:val="Emphasis"/>
          <w:rFonts w:ascii="Proxima Nova" w:hAnsi="Proxima Nova" w:cstheme="minorHAnsi"/>
          <w:i w:val="0"/>
          <w:iCs w:val="0"/>
          <w:color w:val="222222"/>
          <w:sz w:val="28"/>
          <w:szCs w:val="28"/>
        </w:rPr>
        <w:t>.</w:t>
      </w:r>
    </w:p>
    <w:p w14:paraId="6DB2F893" w14:textId="270DC555" w:rsidR="00C17543" w:rsidRPr="006D457B" w:rsidRDefault="00C17543" w:rsidP="00794060">
      <w:pPr>
        <w:pStyle w:val="NormalWeb"/>
        <w:numPr>
          <w:ilvl w:val="0"/>
          <w:numId w:val="7"/>
        </w:numPr>
        <w:shd w:val="clear" w:color="auto" w:fill="FFFFFF"/>
        <w:spacing w:before="0" w:beforeAutospacing="0" w:after="390" w:afterAutospacing="0" w:line="300" w:lineRule="auto"/>
        <w:ind w:left="1134" w:hanging="567"/>
        <w:rPr>
          <w:rFonts w:ascii="Proxima Nova" w:hAnsi="Proxima Nova" w:cstheme="minorHAnsi"/>
          <w:color w:val="222222"/>
          <w:sz w:val="28"/>
          <w:szCs w:val="28"/>
        </w:rPr>
      </w:pPr>
      <w:r w:rsidRPr="006D457B">
        <w:rPr>
          <w:rStyle w:val="Emphasis"/>
          <w:rFonts w:ascii="Proxima Nova" w:hAnsi="Proxima Nova" w:cstheme="minorHAnsi"/>
          <w:i w:val="0"/>
          <w:iCs w:val="0"/>
          <w:color w:val="222222"/>
          <w:sz w:val="28"/>
          <w:szCs w:val="28"/>
        </w:rPr>
        <w:t>Government departments, including the Ministry of Justice and the Department for Work and Pensions (DWP), refused to allow many disabled staff to work from home, </w:t>
      </w:r>
      <w:hyperlink r:id="rId106" w:history="1">
        <w:r w:rsidRPr="006D457B">
          <w:rPr>
            <w:rStyle w:val="Hyperlink"/>
            <w:sz w:val="28"/>
            <w:szCs w:val="28"/>
          </w:rPr>
          <w:t>forcing them to go into work</w:t>
        </w:r>
      </w:hyperlink>
      <w:r w:rsidRPr="006D457B">
        <w:rPr>
          <w:rStyle w:val="Emphasis"/>
          <w:rFonts w:ascii="Proxima Nova" w:hAnsi="Proxima Nova" w:cstheme="minorHAnsi"/>
          <w:i w:val="0"/>
          <w:iCs w:val="0"/>
          <w:color w:val="222222"/>
          <w:sz w:val="28"/>
          <w:szCs w:val="28"/>
        </w:rPr>
        <w:t>, and also refused other reasonable adjustments.</w:t>
      </w:r>
    </w:p>
    <w:p w14:paraId="05F70CA7" w14:textId="1806A5CC" w:rsidR="00C17543" w:rsidRPr="006D457B" w:rsidRDefault="004F0A16" w:rsidP="00794060">
      <w:pPr>
        <w:pStyle w:val="NormalWeb"/>
        <w:numPr>
          <w:ilvl w:val="0"/>
          <w:numId w:val="7"/>
        </w:numPr>
        <w:shd w:val="clear" w:color="auto" w:fill="FFFFFF"/>
        <w:spacing w:before="0" w:beforeAutospacing="0" w:after="390" w:afterAutospacing="0" w:line="300" w:lineRule="auto"/>
        <w:ind w:left="1134" w:hanging="567"/>
        <w:rPr>
          <w:rFonts w:ascii="Proxima Nova" w:hAnsi="Proxima Nova" w:cstheme="minorHAnsi"/>
          <w:color w:val="222222"/>
          <w:sz w:val="28"/>
          <w:szCs w:val="28"/>
        </w:rPr>
      </w:pPr>
      <w:hyperlink r:id="rId107" w:history="1">
        <w:r w:rsidR="00C17543" w:rsidRPr="006D457B">
          <w:rPr>
            <w:rStyle w:val="Hyperlink"/>
            <w:sz w:val="28"/>
            <w:szCs w:val="28"/>
          </w:rPr>
          <w:t>The emergency Coronavirus Act</w:t>
        </w:r>
      </w:hyperlink>
      <w:r w:rsidR="00C17543" w:rsidRPr="006D457B">
        <w:rPr>
          <w:rStyle w:val="Emphasis"/>
          <w:rFonts w:ascii="Proxima Nova" w:hAnsi="Proxima Nova" w:cstheme="minorHAnsi"/>
          <w:i w:val="0"/>
          <w:iCs w:val="0"/>
          <w:color w:val="222222"/>
          <w:sz w:val="28"/>
          <w:szCs w:val="28"/>
        </w:rPr>
        <w:t> restricted rights to care and education and the rights of people in mental distress.</w:t>
      </w:r>
    </w:p>
    <w:p w14:paraId="71AD0FD9" w14:textId="2B3328E2" w:rsidR="00C17543" w:rsidRPr="006D457B" w:rsidRDefault="00C17543" w:rsidP="00794060">
      <w:pPr>
        <w:pStyle w:val="NormalWeb"/>
        <w:numPr>
          <w:ilvl w:val="0"/>
          <w:numId w:val="7"/>
        </w:numPr>
        <w:shd w:val="clear" w:color="auto" w:fill="FFFFFF"/>
        <w:spacing w:before="0" w:beforeAutospacing="0" w:after="390" w:afterAutospacing="0" w:line="300" w:lineRule="auto"/>
        <w:ind w:left="1134" w:hanging="567"/>
        <w:rPr>
          <w:rFonts w:ascii="Proxima Nova" w:hAnsi="Proxima Nova" w:cstheme="minorHAnsi"/>
          <w:color w:val="222222"/>
          <w:sz w:val="28"/>
          <w:szCs w:val="28"/>
        </w:rPr>
      </w:pPr>
      <w:r w:rsidRPr="006D457B">
        <w:rPr>
          <w:rStyle w:val="Emphasis"/>
          <w:rFonts w:ascii="Proxima Nova" w:hAnsi="Proxima Nova" w:cstheme="minorHAnsi"/>
          <w:i w:val="0"/>
          <w:iCs w:val="0"/>
          <w:color w:val="222222"/>
          <w:sz w:val="28"/>
          <w:szCs w:val="28"/>
        </w:rPr>
        <w:t>The first official statistics showing how many disabled people were dying with coronavirus </w:t>
      </w:r>
      <w:hyperlink r:id="rId108" w:history="1">
        <w:r w:rsidRPr="006D457B">
          <w:rPr>
            <w:rStyle w:val="Hyperlink"/>
            <w:sz w:val="28"/>
            <w:szCs w:val="28"/>
          </w:rPr>
          <w:t>were not published until late June</w:t>
        </w:r>
      </w:hyperlink>
      <w:r w:rsidRPr="006D457B">
        <w:rPr>
          <w:rStyle w:val="Emphasis"/>
          <w:rFonts w:ascii="Proxima Nova" w:hAnsi="Proxima Nova" w:cstheme="minorHAnsi"/>
          <w:i w:val="0"/>
          <w:iCs w:val="0"/>
          <w:color w:val="222222"/>
          <w:sz w:val="28"/>
          <w:szCs w:val="28"/>
        </w:rPr>
        <w:t>, even though disabled people were being disproportionately affected by the pandemic.</w:t>
      </w:r>
    </w:p>
    <w:p w14:paraId="1745E5FB" w14:textId="2DC77C22" w:rsidR="00C17543" w:rsidRPr="006D457B" w:rsidRDefault="00C17543" w:rsidP="00794060">
      <w:pPr>
        <w:pStyle w:val="NormalWeb"/>
        <w:numPr>
          <w:ilvl w:val="0"/>
          <w:numId w:val="7"/>
        </w:numPr>
        <w:shd w:val="clear" w:color="auto" w:fill="FFFFFF"/>
        <w:spacing w:before="0" w:beforeAutospacing="0" w:after="390" w:afterAutospacing="0" w:line="300" w:lineRule="auto"/>
        <w:ind w:left="1134" w:hanging="567"/>
        <w:rPr>
          <w:rFonts w:ascii="Proxima Nova" w:hAnsi="Proxima Nova" w:cstheme="minorHAnsi"/>
          <w:color w:val="222222"/>
          <w:sz w:val="28"/>
          <w:szCs w:val="28"/>
        </w:rPr>
      </w:pPr>
      <w:r w:rsidRPr="006D457B">
        <w:rPr>
          <w:rStyle w:val="Emphasis"/>
          <w:rFonts w:ascii="Proxima Nova" w:hAnsi="Proxima Nova" w:cstheme="minorHAnsi"/>
          <w:i w:val="0"/>
          <w:iCs w:val="0"/>
          <w:color w:val="222222"/>
          <w:sz w:val="28"/>
          <w:szCs w:val="28"/>
        </w:rPr>
        <w:lastRenderedPageBreak/>
        <w:t>Many disabled people who receive direct payments to pay for their personal assistants </w:t>
      </w:r>
      <w:hyperlink r:id="rId109" w:history="1">
        <w:r w:rsidRPr="006D457B">
          <w:rPr>
            <w:rStyle w:val="Hyperlink"/>
            <w:sz w:val="28"/>
            <w:szCs w:val="28"/>
          </w:rPr>
          <w:t>were unable to access personal protective equipment</w:t>
        </w:r>
      </w:hyperlink>
      <w:r w:rsidRPr="006D457B">
        <w:rPr>
          <w:rStyle w:val="Hyperlink"/>
          <w:sz w:val="28"/>
          <w:szCs w:val="28"/>
        </w:rPr>
        <w:t> in the early months of the pandemic</w:t>
      </w:r>
      <w:r w:rsidRPr="006D457B">
        <w:rPr>
          <w:rStyle w:val="Emphasis"/>
          <w:rFonts w:ascii="Proxima Nova" w:hAnsi="Proxima Nova" w:cstheme="minorHAnsi"/>
          <w:i w:val="0"/>
          <w:iCs w:val="0"/>
          <w:color w:val="222222"/>
          <w:sz w:val="28"/>
          <w:szCs w:val="28"/>
        </w:rPr>
        <w:t>.</w:t>
      </w:r>
    </w:p>
    <w:p w14:paraId="6F948242" w14:textId="40F38F88" w:rsidR="00C17543" w:rsidRPr="006D457B" w:rsidRDefault="00C17543" w:rsidP="00794060">
      <w:pPr>
        <w:pStyle w:val="NormalWeb"/>
        <w:numPr>
          <w:ilvl w:val="0"/>
          <w:numId w:val="7"/>
        </w:numPr>
        <w:shd w:val="clear" w:color="auto" w:fill="FFFFFF"/>
        <w:spacing w:before="0" w:beforeAutospacing="0" w:after="390" w:afterAutospacing="0" w:line="300" w:lineRule="auto"/>
        <w:ind w:left="1134" w:hanging="567"/>
        <w:rPr>
          <w:rFonts w:ascii="Proxima Nova" w:hAnsi="Proxima Nova" w:cstheme="minorHAnsi"/>
          <w:color w:val="222222"/>
          <w:sz w:val="28"/>
          <w:szCs w:val="28"/>
        </w:rPr>
      </w:pPr>
      <w:r w:rsidRPr="006D457B">
        <w:rPr>
          <w:rStyle w:val="Emphasis"/>
          <w:rFonts w:ascii="Proxima Nova" w:hAnsi="Proxima Nova" w:cstheme="minorHAnsi"/>
          <w:i w:val="0"/>
          <w:iCs w:val="0"/>
          <w:color w:val="222222"/>
          <w:sz w:val="28"/>
          <w:szCs w:val="28"/>
        </w:rPr>
        <w:t>The government only published guidance to help </w:t>
      </w:r>
      <w:hyperlink r:id="rId110" w:history="1">
        <w:r w:rsidRPr="006D457B">
          <w:rPr>
            <w:rStyle w:val="Hyperlink"/>
            <w:sz w:val="28"/>
            <w:szCs w:val="28"/>
          </w:rPr>
          <w:t>people on direct payments more than five weeks after</w:t>
        </w:r>
      </w:hyperlink>
      <w:r w:rsidRPr="006D457B">
        <w:rPr>
          <w:rStyle w:val="Emphasis"/>
          <w:rFonts w:ascii="Proxima Nova" w:hAnsi="Proxima Nova" w:cstheme="minorHAnsi"/>
          <w:i w:val="0"/>
          <w:iCs w:val="0"/>
          <w:color w:val="222222"/>
          <w:sz w:val="28"/>
          <w:szCs w:val="28"/>
        </w:rPr>
        <w:t> it had published guidance for the wider social care sector.</w:t>
      </w:r>
    </w:p>
    <w:p w14:paraId="2F560108" w14:textId="01A90BAE" w:rsidR="00C17543" w:rsidRPr="006D457B" w:rsidRDefault="00C17543" w:rsidP="00794060">
      <w:pPr>
        <w:pStyle w:val="NormalWeb"/>
        <w:numPr>
          <w:ilvl w:val="0"/>
          <w:numId w:val="7"/>
        </w:numPr>
        <w:shd w:val="clear" w:color="auto" w:fill="FFFFFF"/>
        <w:spacing w:before="0" w:beforeAutospacing="0" w:after="390" w:afterAutospacing="0" w:line="300" w:lineRule="auto"/>
        <w:ind w:left="1134" w:hanging="567"/>
        <w:rPr>
          <w:rFonts w:ascii="Proxima Nova" w:hAnsi="Proxima Nova" w:cstheme="minorHAnsi"/>
          <w:color w:val="222222"/>
          <w:sz w:val="28"/>
          <w:szCs w:val="28"/>
        </w:rPr>
      </w:pPr>
      <w:r w:rsidRPr="006D457B">
        <w:rPr>
          <w:rStyle w:val="Emphasis"/>
          <w:rFonts w:ascii="Proxima Nova" w:hAnsi="Proxima Nova" w:cstheme="minorHAnsi"/>
          <w:i w:val="0"/>
          <w:iCs w:val="0"/>
          <w:color w:val="222222"/>
          <w:sz w:val="28"/>
          <w:szCs w:val="28"/>
        </w:rPr>
        <w:t>NHS England guidance on banning visitors to</w:t>
      </w:r>
      <w:r w:rsidR="006D457B" w:rsidRPr="006D457B">
        <w:rPr>
          <w:rStyle w:val="Emphasis"/>
          <w:rFonts w:ascii="Proxima Nova" w:hAnsi="Proxima Nova" w:cstheme="minorHAnsi"/>
          <w:i w:val="0"/>
          <w:iCs w:val="0"/>
          <w:color w:val="222222"/>
          <w:sz w:val="28"/>
          <w:szCs w:val="28"/>
        </w:rPr>
        <w:t xml:space="preserve"> </w:t>
      </w:r>
      <w:r w:rsidRPr="006D457B">
        <w:rPr>
          <w:rStyle w:val="Emphasis"/>
          <w:rFonts w:ascii="Proxima Nova" w:hAnsi="Proxima Nova" w:cstheme="minorHAnsi"/>
          <w:i w:val="0"/>
          <w:iCs w:val="0"/>
          <w:color w:val="222222"/>
          <w:sz w:val="28"/>
          <w:szCs w:val="28"/>
        </w:rPr>
        <w:t>patients</w:t>
      </w:r>
      <w:r w:rsidR="006D457B" w:rsidRPr="006D457B">
        <w:rPr>
          <w:rStyle w:val="Emphasis"/>
          <w:rFonts w:ascii="Proxima Nova" w:hAnsi="Proxima Nova" w:cstheme="minorHAnsi"/>
          <w:i w:val="0"/>
          <w:iCs w:val="0"/>
          <w:color w:val="222222"/>
          <w:sz w:val="28"/>
          <w:szCs w:val="28"/>
        </w:rPr>
        <w:t xml:space="preserve"> </w:t>
      </w:r>
      <w:hyperlink r:id="rId111" w:history="1">
        <w:r w:rsidRPr="006D457B">
          <w:rPr>
            <w:rStyle w:val="Hyperlink"/>
            <w:sz w:val="28"/>
            <w:szCs w:val="28"/>
          </w:rPr>
          <w:t>discriminated against disabled people</w:t>
        </w:r>
      </w:hyperlink>
      <w:r w:rsidRPr="006D457B">
        <w:rPr>
          <w:rStyle w:val="Emphasis"/>
          <w:rFonts w:ascii="Proxima Nova" w:hAnsi="Proxima Nova" w:cstheme="minorHAnsi"/>
          <w:i w:val="0"/>
          <w:iCs w:val="0"/>
          <w:color w:val="222222"/>
          <w:sz w:val="28"/>
          <w:szCs w:val="28"/>
        </w:rPr>
        <w:t> with high support needs, while NHS England then failed to consult disabled people </w:t>
      </w:r>
      <w:hyperlink r:id="rId112" w:history="1">
        <w:r w:rsidRPr="006D457B">
          <w:rPr>
            <w:rStyle w:val="Hyperlink"/>
            <w:sz w:val="28"/>
            <w:szCs w:val="28"/>
          </w:rPr>
          <w:t>on a new version</w:t>
        </w:r>
      </w:hyperlink>
      <w:r w:rsidRPr="006D457B">
        <w:rPr>
          <w:rStyle w:val="Emphasis"/>
          <w:rFonts w:ascii="Proxima Nova" w:hAnsi="Proxima Nova" w:cstheme="minorHAnsi"/>
          <w:i w:val="0"/>
          <w:iCs w:val="0"/>
          <w:color w:val="222222"/>
          <w:sz w:val="28"/>
          <w:szCs w:val="28"/>
        </w:rPr>
        <w:t> of the guidance.</w:t>
      </w:r>
    </w:p>
    <w:p w14:paraId="11726ED8" w14:textId="5C429239" w:rsidR="00C17543" w:rsidRPr="006D457B" w:rsidRDefault="00C17543" w:rsidP="00794060">
      <w:pPr>
        <w:pStyle w:val="NormalWeb"/>
        <w:numPr>
          <w:ilvl w:val="0"/>
          <w:numId w:val="7"/>
        </w:numPr>
        <w:shd w:val="clear" w:color="auto" w:fill="FFFFFF"/>
        <w:spacing w:before="0" w:beforeAutospacing="0" w:after="390" w:afterAutospacing="0" w:line="300" w:lineRule="auto"/>
        <w:ind w:left="1134" w:hanging="567"/>
        <w:rPr>
          <w:rFonts w:ascii="Proxima Nova" w:hAnsi="Proxima Nova" w:cstheme="minorHAnsi"/>
          <w:color w:val="222222"/>
          <w:sz w:val="28"/>
          <w:szCs w:val="28"/>
        </w:rPr>
      </w:pPr>
      <w:r w:rsidRPr="006D457B">
        <w:rPr>
          <w:rStyle w:val="Emphasis"/>
          <w:rFonts w:ascii="Proxima Nova" w:hAnsi="Proxima Nova" w:cstheme="minorHAnsi"/>
          <w:i w:val="0"/>
          <w:iCs w:val="0"/>
          <w:color w:val="222222"/>
          <w:sz w:val="28"/>
          <w:szCs w:val="28"/>
        </w:rPr>
        <w:t>The government’s test and trace programme </w:t>
      </w:r>
      <w:hyperlink r:id="rId113" w:history="1">
        <w:r w:rsidRPr="006D457B">
          <w:rPr>
            <w:rStyle w:val="Hyperlink"/>
            <w:sz w:val="28"/>
            <w:szCs w:val="28"/>
          </w:rPr>
          <w:t>was not accessible to many disabled people</w:t>
        </w:r>
      </w:hyperlink>
      <w:r w:rsidRPr="006D457B">
        <w:rPr>
          <w:rStyle w:val="Emphasis"/>
          <w:rFonts w:ascii="Proxima Nova" w:hAnsi="Proxima Nova" w:cstheme="minorHAnsi"/>
          <w:i w:val="0"/>
          <w:iCs w:val="0"/>
          <w:color w:val="222222"/>
          <w:sz w:val="28"/>
          <w:szCs w:val="28"/>
        </w:rPr>
        <w:t>.</w:t>
      </w:r>
    </w:p>
    <w:p w14:paraId="6E130D43" w14:textId="7BCD74C8" w:rsidR="00C17543" w:rsidRPr="006D457B" w:rsidRDefault="00C17543" w:rsidP="00794060">
      <w:pPr>
        <w:pStyle w:val="NormalWeb"/>
        <w:numPr>
          <w:ilvl w:val="0"/>
          <w:numId w:val="7"/>
        </w:numPr>
        <w:shd w:val="clear" w:color="auto" w:fill="FFFFFF"/>
        <w:spacing w:before="0" w:beforeAutospacing="0" w:after="390" w:afterAutospacing="0" w:line="300" w:lineRule="auto"/>
        <w:ind w:left="1134" w:hanging="567"/>
        <w:rPr>
          <w:rFonts w:ascii="Proxima Nova" w:hAnsi="Proxima Nova" w:cstheme="minorHAnsi"/>
          <w:color w:val="222222"/>
          <w:sz w:val="28"/>
          <w:szCs w:val="28"/>
        </w:rPr>
      </w:pPr>
      <w:r w:rsidRPr="006D457B">
        <w:rPr>
          <w:rStyle w:val="Emphasis"/>
          <w:rFonts w:ascii="Proxima Nova" w:hAnsi="Proxima Nova" w:cstheme="minorHAnsi"/>
          <w:i w:val="0"/>
          <w:iCs w:val="0"/>
          <w:color w:val="222222"/>
          <w:sz w:val="28"/>
          <w:szCs w:val="28"/>
        </w:rPr>
        <w:t>Direct payments users </w:t>
      </w:r>
      <w:hyperlink r:id="rId114" w:history="1">
        <w:r w:rsidRPr="006D457B">
          <w:rPr>
            <w:rStyle w:val="Hyperlink"/>
            <w:sz w:val="28"/>
            <w:szCs w:val="28"/>
          </w:rPr>
          <w:t>were given only two days</w:t>
        </w:r>
      </w:hyperlink>
      <w:r w:rsidRPr="006D457B">
        <w:rPr>
          <w:rStyle w:val="Emphasis"/>
          <w:rFonts w:ascii="Proxima Nova" w:hAnsi="Proxima Nova" w:cstheme="minorHAnsi"/>
          <w:i w:val="0"/>
          <w:iCs w:val="0"/>
          <w:color w:val="222222"/>
          <w:sz w:val="28"/>
          <w:szCs w:val="28"/>
        </w:rPr>
        <w:t> to digest new government guidance if they wanted to take advantage of the government’s COVID-19 job scheme for their personal assistants.</w:t>
      </w:r>
    </w:p>
    <w:p w14:paraId="6BF0B767" w14:textId="297E4A7E" w:rsidR="00C17543" w:rsidRPr="006D457B" w:rsidRDefault="00C17543" w:rsidP="00794060">
      <w:pPr>
        <w:pStyle w:val="NormalWeb"/>
        <w:numPr>
          <w:ilvl w:val="0"/>
          <w:numId w:val="7"/>
        </w:numPr>
        <w:shd w:val="clear" w:color="auto" w:fill="FFFFFF"/>
        <w:spacing w:before="0" w:beforeAutospacing="0" w:after="390" w:afterAutospacing="0" w:line="300" w:lineRule="auto"/>
        <w:ind w:left="1134" w:hanging="567"/>
        <w:rPr>
          <w:rFonts w:ascii="Proxima Nova" w:hAnsi="Proxima Nova" w:cstheme="minorHAnsi"/>
          <w:color w:val="222222"/>
          <w:sz w:val="28"/>
          <w:szCs w:val="28"/>
        </w:rPr>
      </w:pPr>
      <w:r w:rsidRPr="006D457B">
        <w:rPr>
          <w:rStyle w:val="Emphasis"/>
          <w:rFonts w:ascii="Proxima Nova" w:hAnsi="Proxima Nova" w:cstheme="minorHAnsi"/>
          <w:i w:val="0"/>
          <w:iCs w:val="0"/>
          <w:color w:val="222222"/>
          <w:sz w:val="28"/>
          <w:szCs w:val="28"/>
        </w:rPr>
        <w:t>Shielding MPs were </w:t>
      </w:r>
      <w:hyperlink r:id="rId115" w:history="1">
        <w:r w:rsidRPr="006D457B">
          <w:rPr>
            <w:rStyle w:val="Hyperlink"/>
            <w:sz w:val="28"/>
            <w:szCs w:val="28"/>
          </w:rPr>
          <w:t>not able to take part remotely</w:t>
        </w:r>
      </w:hyperlink>
      <w:r w:rsidRPr="006D457B">
        <w:rPr>
          <w:rStyle w:val="Emphasis"/>
          <w:rFonts w:ascii="Proxima Nova" w:hAnsi="Proxima Nova" w:cstheme="minorHAnsi"/>
          <w:i w:val="0"/>
          <w:iCs w:val="0"/>
          <w:color w:val="222222"/>
          <w:sz w:val="28"/>
          <w:szCs w:val="28"/>
        </w:rPr>
        <w:t> in House of Commons debates.</w:t>
      </w:r>
    </w:p>
    <w:p w14:paraId="0CB8D232" w14:textId="746A2A8A" w:rsidR="00C17543" w:rsidRPr="006D457B" w:rsidRDefault="004F0A16" w:rsidP="00794060">
      <w:pPr>
        <w:pStyle w:val="NormalWeb"/>
        <w:numPr>
          <w:ilvl w:val="0"/>
          <w:numId w:val="7"/>
        </w:numPr>
        <w:shd w:val="clear" w:color="auto" w:fill="FFFFFF"/>
        <w:spacing w:before="0" w:beforeAutospacing="0" w:after="390" w:afterAutospacing="0" w:line="300" w:lineRule="auto"/>
        <w:ind w:left="1134" w:hanging="567"/>
        <w:rPr>
          <w:rFonts w:ascii="Proxima Nova" w:hAnsi="Proxima Nova" w:cstheme="minorHAnsi"/>
          <w:color w:val="222222"/>
          <w:sz w:val="28"/>
          <w:szCs w:val="28"/>
        </w:rPr>
      </w:pPr>
      <w:hyperlink r:id="rId116" w:history="1">
        <w:r w:rsidR="00C17543" w:rsidRPr="006D457B">
          <w:rPr>
            <w:rStyle w:val="Hyperlink"/>
            <w:sz w:val="28"/>
            <w:szCs w:val="28"/>
          </w:rPr>
          <w:t>Delays in testing social care staff</w:t>
        </w:r>
      </w:hyperlink>
      <w:r w:rsidR="00C17543" w:rsidRPr="006D457B">
        <w:rPr>
          <w:rStyle w:val="Emphasis"/>
          <w:rFonts w:ascii="Proxima Nova" w:hAnsi="Proxima Nova" w:cstheme="minorHAnsi"/>
          <w:i w:val="0"/>
          <w:iCs w:val="0"/>
          <w:color w:val="222222"/>
          <w:sz w:val="28"/>
          <w:szCs w:val="28"/>
        </w:rPr>
        <w:t> led to thousands of disabled and older residents of care homes becoming infected with COVID-19 and losing their lives.</w:t>
      </w:r>
    </w:p>
    <w:p w14:paraId="296491AC" w14:textId="58C9B720" w:rsidR="00C17543" w:rsidRPr="006D457B" w:rsidRDefault="00C17543" w:rsidP="00794060">
      <w:pPr>
        <w:pStyle w:val="NormalWeb"/>
        <w:numPr>
          <w:ilvl w:val="0"/>
          <w:numId w:val="7"/>
        </w:numPr>
        <w:shd w:val="clear" w:color="auto" w:fill="FFFFFF"/>
        <w:spacing w:before="0" w:beforeAutospacing="0" w:after="390" w:afterAutospacing="0" w:line="300" w:lineRule="auto"/>
        <w:ind w:left="1134" w:hanging="567"/>
        <w:rPr>
          <w:rFonts w:ascii="Proxima Nova" w:hAnsi="Proxima Nova" w:cstheme="minorHAnsi"/>
          <w:color w:val="222222"/>
          <w:sz w:val="28"/>
          <w:szCs w:val="28"/>
        </w:rPr>
      </w:pPr>
      <w:r w:rsidRPr="006D457B">
        <w:rPr>
          <w:rStyle w:val="Emphasis"/>
          <w:rFonts w:ascii="Proxima Nova" w:hAnsi="Proxima Nova" w:cstheme="minorHAnsi"/>
          <w:i w:val="0"/>
          <w:iCs w:val="0"/>
          <w:color w:val="222222"/>
          <w:sz w:val="28"/>
          <w:szCs w:val="28"/>
        </w:rPr>
        <w:t>Hospital patients were </w:t>
      </w:r>
      <w:hyperlink r:id="rId117" w:history="1">
        <w:r w:rsidRPr="006D457B">
          <w:rPr>
            <w:rStyle w:val="Hyperlink"/>
            <w:sz w:val="28"/>
            <w:szCs w:val="28"/>
          </w:rPr>
          <w:t>discharged into care homes without being tested</w:t>
        </w:r>
      </w:hyperlink>
      <w:r w:rsidRPr="006D457B">
        <w:rPr>
          <w:rStyle w:val="Emphasis"/>
          <w:rFonts w:ascii="Proxima Nova" w:hAnsi="Proxima Nova" w:cstheme="minorHAnsi"/>
          <w:i w:val="0"/>
          <w:iCs w:val="0"/>
          <w:color w:val="222222"/>
          <w:sz w:val="28"/>
          <w:szCs w:val="28"/>
        </w:rPr>
        <w:t> for COVID-19, causing the loss of thousands of lives.</w:t>
      </w:r>
    </w:p>
    <w:p w14:paraId="12352E3B" w14:textId="334E653A" w:rsidR="00C17543" w:rsidRPr="006D457B" w:rsidRDefault="00C17543" w:rsidP="00794060">
      <w:pPr>
        <w:pStyle w:val="NormalWeb"/>
        <w:numPr>
          <w:ilvl w:val="0"/>
          <w:numId w:val="7"/>
        </w:numPr>
        <w:shd w:val="clear" w:color="auto" w:fill="FFFFFF"/>
        <w:spacing w:before="0" w:beforeAutospacing="0" w:after="390" w:afterAutospacing="0" w:line="300" w:lineRule="auto"/>
        <w:ind w:left="1134" w:hanging="567"/>
        <w:rPr>
          <w:rFonts w:ascii="Proxima Nova" w:hAnsi="Proxima Nova" w:cstheme="minorHAnsi"/>
          <w:color w:val="222222"/>
          <w:sz w:val="28"/>
          <w:szCs w:val="28"/>
        </w:rPr>
      </w:pPr>
      <w:r w:rsidRPr="006D457B">
        <w:rPr>
          <w:rStyle w:val="Emphasis"/>
          <w:rFonts w:ascii="Proxima Nova" w:hAnsi="Proxima Nova" w:cstheme="minorHAnsi"/>
          <w:i w:val="0"/>
          <w:iCs w:val="0"/>
          <w:color w:val="222222"/>
          <w:sz w:val="28"/>
          <w:szCs w:val="28"/>
        </w:rPr>
        <w:lastRenderedPageBreak/>
        <w:t>The government’s Disability Unit </w:t>
      </w:r>
      <w:hyperlink r:id="rId118" w:history="1">
        <w:r w:rsidRPr="006D457B">
          <w:rPr>
            <w:rStyle w:val="Hyperlink"/>
            <w:sz w:val="28"/>
            <w:szCs w:val="28"/>
          </w:rPr>
          <w:t>stayed silent on its web page</w:t>
        </w:r>
      </w:hyperlink>
      <w:r w:rsidRPr="006D457B">
        <w:rPr>
          <w:rStyle w:val="Emphasis"/>
          <w:rFonts w:ascii="Proxima Nova" w:hAnsi="Proxima Nova" w:cstheme="minorHAnsi"/>
          <w:i w:val="0"/>
          <w:iCs w:val="0"/>
          <w:color w:val="222222"/>
          <w:sz w:val="28"/>
          <w:szCs w:val="28"/>
        </w:rPr>
        <w:t> from 2 April to 20 July, while thousands of disabled people were dying from COVID-19.</w:t>
      </w:r>
    </w:p>
    <w:p w14:paraId="1D3B507F" w14:textId="074CA64D" w:rsidR="00C17543" w:rsidRPr="006D457B" w:rsidRDefault="00C17543" w:rsidP="00794060">
      <w:pPr>
        <w:pStyle w:val="NormalWeb"/>
        <w:numPr>
          <w:ilvl w:val="0"/>
          <w:numId w:val="7"/>
        </w:numPr>
        <w:shd w:val="clear" w:color="auto" w:fill="FFFFFF"/>
        <w:spacing w:before="0" w:beforeAutospacing="0" w:after="390" w:afterAutospacing="0" w:line="300" w:lineRule="auto"/>
        <w:ind w:left="1134" w:hanging="567"/>
        <w:rPr>
          <w:rFonts w:ascii="Proxima Nova" w:hAnsi="Proxima Nova" w:cstheme="minorHAnsi"/>
          <w:color w:val="222222"/>
          <w:sz w:val="28"/>
          <w:szCs w:val="28"/>
        </w:rPr>
      </w:pPr>
      <w:r w:rsidRPr="006D457B">
        <w:rPr>
          <w:rStyle w:val="Emphasis"/>
          <w:rFonts w:ascii="Proxima Nova" w:hAnsi="Proxima Nova" w:cstheme="minorHAnsi"/>
          <w:i w:val="0"/>
          <w:iCs w:val="0"/>
          <w:color w:val="222222"/>
          <w:sz w:val="28"/>
          <w:szCs w:val="28"/>
        </w:rPr>
        <w:t>DWP </w:t>
      </w:r>
      <w:hyperlink r:id="rId119" w:history="1">
        <w:r w:rsidRPr="006D457B">
          <w:rPr>
            <w:rStyle w:val="Hyperlink"/>
            <w:sz w:val="28"/>
            <w:szCs w:val="28"/>
          </w:rPr>
          <w:t>re-introduced benefit sanctions</w:t>
        </w:r>
      </w:hyperlink>
      <w:r w:rsidRPr="006D457B">
        <w:rPr>
          <w:rStyle w:val="Emphasis"/>
          <w:rFonts w:ascii="Proxima Nova" w:hAnsi="Proxima Nova" w:cstheme="minorHAnsi"/>
          <w:i w:val="0"/>
          <w:iCs w:val="0"/>
          <w:color w:val="222222"/>
          <w:sz w:val="28"/>
          <w:szCs w:val="28"/>
        </w:rPr>
        <w:t> in early July, while millions of disabled people were shielding from the virus.</w:t>
      </w:r>
    </w:p>
    <w:p w14:paraId="078BE16C" w14:textId="6B05D08C" w:rsidR="00C17543" w:rsidRPr="006D457B" w:rsidRDefault="00C17543" w:rsidP="00794060">
      <w:pPr>
        <w:pStyle w:val="NormalWeb"/>
        <w:numPr>
          <w:ilvl w:val="0"/>
          <w:numId w:val="7"/>
        </w:numPr>
        <w:shd w:val="clear" w:color="auto" w:fill="FFFFFF"/>
        <w:spacing w:before="0" w:beforeAutospacing="0" w:after="390" w:afterAutospacing="0" w:line="300" w:lineRule="auto"/>
        <w:ind w:left="1134" w:hanging="567"/>
        <w:rPr>
          <w:rFonts w:ascii="Proxima Nova" w:hAnsi="Proxima Nova" w:cstheme="minorHAnsi"/>
          <w:color w:val="222222"/>
          <w:sz w:val="28"/>
          <w:szCs w:val="28"/>
        </w:rPr>
      </w:pPr>
      <w:r w:rsidRPr="006D457B">
        <w:rPr>
          <w:rStyle w:val="Emphasis"/>
          <w:rFonts w:ascii="Proxima Nova" w:hAnsi="Proxima Nova" w:cstheme="minorHAnsi"/>
          <w:i w:val="0"/>
          <w:iCs w:val="0"/>
          <w:color w:val="222222"/>
          <w:sz w:val="28"/>
          <w:szCs w:val="28"/>
        </w:rPr>
        <w:t>Social care workers </w:t>
      </w:r>
      <w:hyperlink r:id="rId120" w:history="1">
        <w:r w:rsidRPr="006D457B">
          <w:rPr>
            <w:rStyle w:val="Hyperlink"/>
            <w:sz w:val="28"/>
            <w:szCs w:val="28"/>
          </w:rPr>
          <w:t>were omitted from a list of workers</w:t>
        </w:r>
      </w:hyperlink>
      <w:r w:rsidRPr="006D457B">
        <w:rPr>
          <w:rStyle w:val="Emphasis"/>
          <w:rFonts w:ascii="Proxima Nova" w:hAnsi="Proxima Nova" w:cstheme="minorHAnsi"/>
          <w:i w:val="0"/>
          <w:iCs w:val="0"/>
          <w:color w:val="222222"/>
          <w:sz w:val="28"/>
          <w:szCs w:val="28"/>
        </w:rPr>
        <w:t> exempt from having to self-isolate for two weeks after entering the country, ignoring the support needs of disabled people.</w:t>
      </w:r>
    </w:p>
    <w:p w14:paraId="1C539213" w14:textId="6F2B3C3F" w:rsidR="00C17543" w:rsidRPr="006D457B" w:rsidRDefault="00C17543" w:rsidP="00794060">
      <w:pPr>
        <w:pStyle w:val="NormalWeb"/>
        <w:numPr>
          <w:ilvl w:val="0"/>
          <w:numId w:val="7"/>
        </w:numPr>
        <w:shd w:val="clear" w:color="auto" w:fill="FFFFFF"/>
        <w:spacing w:before="0" w:beforeAutospacing="0" w:after="390" w:afterAutospacing="0" w:line="300" w:lineRule="auto"/>
        <w:ind w:left="1134" w:hanging="567"/>
        <w:rPr>
          <w:rFonts w:ascii="Proxima Nova" w:hAnsi="Proxima Nova" w:cstheme="minorHAnsi"/>
          <w:color w:val="222222"/>
          <w:sz w:val="28"/>
          <w:szCs w:val="28"/>
        </w:rPr>
      </w:pPr>
      <w:r w:rsidRPr="006D457B">
        <w:rPr>
          <w:rStyle w:val="Emphasis"/>
          <w:rFonts w:ascii="Proxima Nova" w:hAnsi="Proxima Nova" w:cstheme="minorHAnsi"/>
          <w:i w:val="0"/>
          <w:iCs w:val="0"/>
          <w:color w:val="222222"/>
          <w:sz w:val="28"/>
          <w:szCs w:val="28"/>
        </w:rPr>
        <w:t>Health and social care secretary Matt Hancock </w:t>
      </w:r>
      <w:hyperlink r:id="rId121" w:history="1">
        <w:r w:rsidRPr="006D457B">
          <w:rPr>
            <w:rStyle w:val="Hyperlink"/>
            <w:sz w:val="28"/>
            <w:szCs w:val="28"/>
          </w:rPr>
          <w:t>refused to provide guidance</w:t>
        </w:r>
      </w:hyperlink>
      <w:r w:rsidRPr="006D457B">
        <w:rPr>
          <w:rStyle w:val="Emphasis"/>
          <w:rFonts w:ascii="Proxima Nova" w:hAnsi="Proxima Nova" w:cstheme="minorHAnsi"/>
          <w:i w:val="0"/>
          <w:iCs w:val="0"/>
          <w:color w:val="222222"/>
          <w:sz w:val="28"/>
          <w:szCs w:val="28"/>
        </w:rPr>
        <w:t> that would ensure disabled people had the same rights as non-disabled people to life-sustaining treatment if they contracted COVID-19.</w:t>
      </w:r>
    </w:p>
    <w:p w14:paraId="11E83CE7" w14:textId="3ED2A4AC" w:rsidR="00C17543" w:rsidRPr="006D457B" w:rsidRDefault="00C17543" w:rsidP="00794060">
      <w:pPr>
        <w:pStyle w:val="NormalWeb"/>
        <w:numPr>
          <w:ilvl w:val="0"/>
          <w:numId w:val="7"/>
        </w:numPr>
        <w:shd w:val="clear" w:color="auto" w:fill="FFFFFF"/>
        <w:spacing w:before="0" w:beforeAutospacing="0" w:after="390" w:afterAutospacing="0" w:line="300" w:lineRule="auto"/>
        <w:ind w:left="1134" w:hanging="567"/>
        <w:rPr>
          <w:rFonts w:ascii="Proxima Nova" w:hAnsi="Proxima Nova" w:cstheme="minorHAnsi"/>
          <w:color w:val="222222"/>
          <w:sz w:val="28"/>
          <w:szCs w:val="28"/>
        </w:rPr>
      </w:pPr>
      <w:r w:rsidRPr="006D457B">
        <w:rPr>
          <w:rStyle w:val="Emphasis"/>
          <w:rFonts w:ascii="Proxima Nova" w:hAnsi="Proxima Nova" w:cstheme="minorHAnsi"/>
          <w:i w:val="0"/>
          <w:iCs w:val="0"/>
          <w:color w:val="222222"/>
          <w:sz w:val="28"/>
          <w:szCs w:val="28"/>
        </w:rPr>
        <w:t>The government </w:t>
      </w:r>
      <w:hyperlink r:id="rId122" w:history="1">
        <w:r w:rsidRPr="006D457B">
          <w:rPr>
            <w:rStyle w:val="Hyperlink"/>
            <w:sz w:val="28"/>
            <w:szCs w:val="28"/>
          </w:rPr>
          <w:t>introduced lockdown guidance</w:t>
        </w:r>
      </w:hyperlink>
      <w:r w:rsidRPr="006D457B">
        <w:rPr>
          <w:rStyle w:val="Emphasis"/>
          <w:rFonts w:ascii="Proxima Nova" w:hAnsi="Proxima Nova" w:cstheme="minorHAnsi"/>
          <w:i w:val="0"/>
          <w:iCs w:val="0"/>
          <w:color w:val="222222"/>
          <w:sz w:val="28"/>
          <w:szCs w:val="28"/>
        </w:rPr>
        <w:t> (PDF) that discriminated against many disabled people who needed to exercise more than once-a-day.</w:t>
      </w:r>
    </w:p>
    <w:p w14:paraId="6364C134" w14:textId="650E43BF" w:rsidR="00AC0B92" w:rsidRDefault="00AC0B92" w:rsidP="00E739BB">
      <w:pPr>
        <w:rPr>
          <w:b/>
          <w:bCs/>
          <w:szCs w:val="28"/>
        </w:rPr>
      </w:pPr>
    </w:p>
    <w:p w14:paraId="7F0789CB" w14:textId="5F3E293B" w:rsidR="000C6674" w:rsidRDefault="000C6674">
      <w:pPr>
        <w:spacing w:after="160" w:line="259" w:lineRule="auto"/>
        <w:rPr>
          <w:b/>
          <w:bCs/>
          <w:szCs w:val="28"/>
        </w:rPr>
      </w:pPr>
      <w:r>
        <w:rPr>
          <w:b/>
          <w:bCs/>
          <w:szCs w:val="28"/>
        </w:rPr>
        <w:br w:type="page"/>
      </w:r>
    </w:p>
    <w:p w14:paraId="22C45B7E" w14:textId="036466BE" w:rsidR="000C6674" w:rsidRPr="0001702F" w:rsidRDefault="000C6674" w:rsidP="0001702F">
      <w:pPr>
        <w:pStyle w:val="Heading1"/>
      </w:pPr>
      <w:bookmarkStart w:id="144" w:name="_Toc98505554"/>
      <w:bookmarkStart w:id="145" w:name="_Toc98506568"/>
      <w:r w:rsidRPr="00BB6A41">
        <w:lastRenderedPageBreak/>
        <w:t>Annexes</w:t>
      </w:r>
      <w:bookmarkEnd w:id="144"/>
      <w:bookmarkEnd w:id="145"/>
    </w:p>
    <w:p w14:paraId="079276A1" w14:textId="40F35A88" w:rsidR="000C6674" w:rsidRDefault="000C6674" w:rsidP="00BB6A41">
      <w:pPr>
        <w:pStyle w:val="Heading2"/>
      </w:pPr>
      <w:bookmarkStart w:id="146" w:name="AnnexA"/>
      <w:bookmarkStart w:id="147" w:name="_Toc98504961"/>
      <w:bookmarkStart w:id="148" w:name="_Toc98506569"/>
      <w:bookmarkEnd w:id="146"/>
      <w:r>
        <w:t>Annex A</w:t>
      </w:r>
      <w:bookmarkEnd w:id="147"/>
      <w:r w:rsidR="00BF3588">
        <w:t>:</w:t>
      </w:r>
      <w:r w:rsidR="00BF3588">
        <w:br/>
      </w:r>
      <w:r w:rsidRPr="000C6674">
        <w:t>Our Voices – extracts from personal testimonies and evidence submissions</w:t>
      </w:r>
      <w:bookmarkEnd w:id="148"/>
    </w:p>
    <w:p w14:paraId="221B882B" w14:textId="4F0D6599" w:rsidR="00FC4E53" w:rsidRDefault="00FC4E53" w:rsidP="00D23768">
      <w:r>
        <w:t xml:space="preserve">Check </w:t>
      </w:r>
      <w:hyperlink r:id="rId123" w:history="1">
        <w:r w:rsidR="004F0A16">
          <w:rPr>
            <w:rStyle w:val="Hyperlink"/>
          </w:rPr>
          <w:t>www.inclusionlondon.org.uk/uncrdp/shadow-report/annex-a/</w:t>
        </w:r>
      </w:hyperlink>
    </w:p>
    <w:p w14:paraId="52E4E59A" w14:textId="77777777" w:rsidR="00D23768" w:rsidRPr="00D23768" w:rsidRDefault="00D23768" w:rsidP="00D23768">
      <w:pPr>
        <w:rPr>
          <w:lang w:val="en-US"/>
        </w:rPr>
      </w:pPr>
    </w:p>
    <w:p w14:paraId="4CE6DDB3" w14:textId="77777777" w:rsidR="000C6674" w:rsidRPr="000C6674" w:rsidRDefault="000C6674" w:rsidP="000C6674">
      <w:pPr>
        <w:spacing w:after="0"/>
        <w:rPr>
          <w:szCs w:val="28"/>
        </w:rPr>
      </w:pPr>
    </w:p>
    <w:p w14:paraId="52AFBADD" w14:textId="77777777" w:rsidR="000C6674" w:rsidRDefault="000C6674">
      <w:pPr>
        <w:spacing w:after="160" w:line="259" w:lineRule="auto"/>
        <w:rPr>
          <w:rFonts w:eastAsiaTheme="majorEastAsia" w:cstheme="majorBidi"/>
          <w:color w:val="003B3A"/>
          <w:sz w:val="52"/>
          <w:szCs w:val="26"/>
        </w:rPr>
      </w:pPr>
      <w:r>
        <w:br w:type="page"/>
      </w:r>
    </w:p>
    <w:p w14:paraId="7CC2CB49" w14:textId="3DC63CAC" w:rsidR="000C6674" w:rsidRPr="00F359B3" w:rsidRDefault="000C6674" w:rsidP="0001702F">
      <w:pPr>
        <w:pStyle w:val="Heading2"/>
      </w:pPr>
      <w:bookmarkStart w:id="149" w:name="_Toc98504962"/>
      <w:bookmarkStart w:id="150" w:name="_Toc98506570"/>
      <w:r>
        <w:lastRenderedPageBreak/>
        <w:t>Annex B</w:t>
      </w:r>
      <w:bookmarkEnd w:id="149"/>
      <w:r w:rsidR="00BF3588">
        <w:t>:</w:t>
      </w:r>
      <w:r w:rsidR="00BF3588">
        <w:br/>
      </w:r>
      <w:r w:rsidRPr="000C6674">
        <w:t>Progress Tracker of 2016 and 2017 Recommendations</w:t>
      </w:r>
      <w:bookmarkEnd w:id="150"/>
    </w:p>
    <w:p w14:paraId="56C9305D" w14:textId="0768F78E" w:rsidR="00CC67DD" w:rsidRDefault="00CC67DD" w:rsidP="00CC67DD">
      <w:r>
        <w:t xml:space="preserve">Check </w:t>
      </w:r>
      <w:hyperlink r:id="rId124" w:history="1">
        <w:r w:rsidR="004F0A16">
          <w:rPr>
            <w:rStyle w:val="Hyperlink"/>
          </w:rPr>
          <w:t>www.inclusionlondon.org.uk/uncrdp/shadow-report/annex-b/</w:t>
        </w:r>
      </w:hyperlink>
      <w:r>
        <w:t xml:space="preserve"> </w:t>
      </w:r>
    </w:p>
    <w:p w14:paraId="3B196839" w14:textId="77777777" w:rsidR="000C6674" w:rsidRDefault="000C6674">
      <w:pPr>
        <w:spacing w:after="160" w:line="259" w:lineRule="auto"/>
        <w:rPr>
          <w:rFonts w:eastAsiaTheme="majorEastAsia" w:cstheme="majorBidi"/>
          <w:color w:val="003B3A"/>
          <w:sz w:val="52"/>
          <w:szCs w:val="26"/>
        </w:rPr>
      </w:pPr>
      <w:r>
        <w:br w:type="page"/>
      </w:r>
    </w:p>
    <w:p w14:paraId="09AB3D4E" w14:textId="786559D6" w:rsidR="000C6674" w:rsidRPr="000C6674" w:rsidRDefault="000C6674" w:rsidP="00BB6A41">
      <w:pPr>
        <w:pStyle w:val="Heading2"/>
      </w:pPr>
      <w:bookmarkStart w:id="151" w:name="_Toc98504964"/>
      <w:bookmarkStart w:id="152" w:name="_Toc98506571"/>
      <w:r>
        <w:lastRenderedPageBreak/>
        <w:t>Annex C</w:t>
      </w:r>
      <w:bookmarkEnd w:id="151"/>
      <w:r w:rsidR="00BB6A41">
        <w:t>:</w:t>
      </w:r>
      <w:r w:rsidR="00BB6A41">
        <w:br/>
      </w:r>
      <w:r w:rsidRPr="000C6674">
        <w:t>Evidence analysis</w:t>
      </w:r>
      <w:bookmarkEnd w:id="152"/>
    </w:p>
    <w:p w14:paraId="7F514CCD" w14:textId="74D5AD18" w:rsidR="00CC67DD" w:rsidRDefault="00CC67DD" w:rsidP="00CC67DD">
      <w:bookmarkStart w:id="153" w:name="_Toc98504971"/>
      <w:r>
        <w:t xml:space="preserve">Check </w:t>
      </w:r>
      <w:hyperlink r:id="rId125" w:history="1">
        <w:r w:rsidR="004F0A16">
          <w:rPr>
            <w:rStyle w:val="Hyperlink"/>
          </w:rPr>
          <w:t>www.inclusionlondon.org.uk/uncrdp/shadow-report/annex-c/</w:t>
        </w:r>
      </w:hyperlink>
      <w:r>
        <w:t xml:space="preserve">  </w:t>
      </w:r>
    </w:p>
    <w:p w14:paraId="299F24B4" w14:textId="77777777" w:rsidR="00BF3588" w:rsidRDefault="00BF3588">
      <w:pPr>
        <w:spacing w:after="160" w:line="259" w:lineRule="auto"/>
        <w:rPr>
          <w:rFonts w:cs="Proxima Nova"/>
          <w:color w:val="004346"/>
          <w:sz w:val="52"/>
          <w:szCs w:val="52"/>
          <w:lang w:val="en-US"/>
        </w:rPr>
      </w:pPr>
      <w:r>
        <w:br w:type="page"/>
      </w:r>
    </w:p>
    <w:p w14:paraId="6DEAB508" w14:textId="72D4BB87" w:rsidR="006D009E" w:rsidRDefault="000C6674" w:rsidP="006D009E">
      <w:pPr>
        <w:pStyle w:val="Heading2"/>
      </w:pPr>
      <w:bookmarkStart w:id="154" w:name="AnnexD"/>
      <w:bookmarkStart w:id="155" w:name="_Toc98506572"/>
      <w:bookmarkEnd w:id="154"/>
      <w:r>
        <w:lastRenderedPageBreak/>
        <w:t>Annex D</w:t>
      </w:r>
      <w:bookmarkEnd w:id="153"/>
      <w:r w:rsidR="00BF3588">
        <w:t>:</w:t>
      </w:r>
      <w:r w:rsidR="00BF3588">
        <w:br/>
      </w:r>
      <w:r w:rsidRPr="000C6674">
        <w:t>Survey Findings</w:t>
      </w:r>
      <w:bookmarkEnd w:id="155"/>
    </w:p>
    <w:p w14:paraId="6CFC5FB0" w14:textId="51D03A80" w:rsidR="00CC67DD" w:rsidRDefault="00CC67DD" w:rsidP="00CC67DD">
      <w:r>
        <w:t xml:space="preserve">Check </w:t>
      </w:r>
      <w:hyperlink r:id="rId126" w:history="1">
        <w:r w:rsidR="004F0A16">
          <w:rPr>
            <w:rStyle w:val="Hyperlink"/>
          </w:rPr>
          <w:t>www.inclusionlondon.org.uk/uncrdp/shadow-report/annex-d/</w:t>
        </w:r>
      </w:hyperlink>
      <w:r>
        <w:t xml:space="preserve">  </w:t>
      </w:r>
    </w:p>
    <w:p w14:paraId="5ECBAD17" w14:textId="2A734FD0" w:rsidR="006D009E" w:rsidRPr="00637AE4" w:rsidRDefault="006D009E" w:rsidP="00637AE4">
      <w:pPr>
        <w:spacing w:after="160" w:line="259" w:lineRule="auto"/>
        <w:rPr>
          <w:rFonts w:eastAsiaTheme="majorEastAsia" w:cstheme="majorBidi"/>
          <w:color w:val="003B3A"/>
          <w:sz w:val="100"/>
          <w:szCs w:val="100"/>
        </w:rPr>
      </w:pPr>
    </w:p>
    <w:sectPr w:rsidR="006D009E" w:rsidRPr="00637AE4" w:rsidSect="00110333">
      <w:footerReference w:type="default" r:id="rId127"/>
      <w:pgSz w:w="11906" w:h="16838"/>
      <w:pgMar w:top="1474" w:right="1361" w:bottom="147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3DD7D" w14:textId="77777777" w:rsidR="009958F4" w:rsidRDefault="009958F4" w:rsidP="00983036">
      <w:pPr>
        <w:spacing w:after="0" w:line="240" w:lineRule="auto"/>
      </w:pPr>
      <w:r>
        <w:separator/>
      </w:r>
    </w:p>
    <w:p w14:paraId="1D44EDD6" w14:textId="77777777" w:rsidR="009958F4" w:rsidRDefault="009958F4"/>
    <w:p w14:paraId="7864F405" w14:textId="77777777" w:rsidR="009958F4" w:rsidRDefault="009958F4" w:rsidP="002347D0"/>
  </w:endnote>
  <w:endnote w:type="continuationSeparator" w:id="0">
    <w:p w14:paraId="12E8BD1B" w14:textId="77777777" w:rsidR="009958F4" w:rsidRDefault="009958F4" w:rsidP="00983036">
      <w:pPr>
        <w:spacing w:after="0" w:line="240" w:lineRule="auto"/>
      </w:pPr>
      <w:r>
        <w:continuationSeparator/>
      </w:r>
    </w:p>
    <w:p w14:paraId="05AB5D93" w14:textId="77777777" w:rsidR="009958F4" w:rsidRDefault="009958F4"/>
    <w:p w14:paraId="1A317CB0" w14:textId="77777777" w:rsidR="009958F4" w:rsidRDefault="009958F4" w:rsidP="00234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Proxima Nova">
    <w:altName w:val="Tahoma"/>
    <w:panose1 w:val="020B0604020202020204"/>
    <w:charset w:val="00"/>
    <w:family w:val="auto"/>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Proxima Nova Semibold">
    <w:panose1 w:val="020B0604020202020204"/>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ato">
    <w:altName w:val="Lato"/>
    <w:panose1 w:val="020B0604020202020204"/>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885221912"/>
      <w:docPartObj>
        <w:docPartGallery w:val="Page Numbers (Bottom of Page)"/>
        <w:docPartUnique/>
      </w:docPartObj>
    </w:sdtPr>
    <w:sdtEndPr>
      <w:rPr>
        <w:noProof/>
      </w:rPr>
    </w:sdtEndPr>
    <w:sdtContent>
      <w:p w14:paraId="7676A69E" w14:textId="6E23D3F6" w:rsidR="00DF3AC9" w:rsidRPr="009F7A1F" w:rsidRDefault="00DA5AF2" w:rsidP="006D457B">
        <w:pPr>
          <w:pStyle w:val="Footer"/>
          <w:jc w:val="both"/>
          <w:rPr>
            <w:noProof/>
            <w:sz w:val="24"/>
            <w:szCs w:val="24"/>
          </w:rPr>
        </w:pPr>
        <w:r w:rsidRPr="009F7A1F">
          <w:rPr>
            <w:sz w:val="24"/>
            <w:szCs w:val="24"/>
          </w:rPr>
          <w:fldChar w:fldCharType="begin"/>
        </w:r>
        <w:r w:rsidRPr="009F7A1F">
          <w:rPr>
            <w:sz w:val="24"/>
            <w:szCs w:val="24"/>
          </w:rPr>
          <w:instrText xml:space="preserve"> PAGE   \* MERGEFORMAT </w:instrText>
        </w:r>
        <w:r w:rsidRPr="009F7A1F">
          <w:rPr>
            <w:sz w:val="24"/>
            <w:szCs w:val="24"/>
          </w:rPr>
          <w:fldChar w:fldCharType="separate"/>
        </w:r>
        <w:r w:rsidRPr="009F7A1F">
          <w:rPr>
            <w:noProof/>
            <w:sz w:val="24"/>
            <w:szCs w:val="24"/>
          </w:rPr>
          <w:t>2</w:t>
        </w:r>
        <w:r w:rsidRPr="009F7A1F">
          <w:rPr>
            <w:noProof/>
            <w:sz w:val="24"/>
            <w:szCs w:val="24"/>
          </w:rPr>
          <w:fldChar w:fldCharType="end"/>
        </w:r>
        <w:r w:rsidR="009F7A1F" w:rsidRPr="009F7A1F">
          <w:rPr>
            <w:noProof/>
            <w:sz w:val="24"/>
            <w:szCs w:val="24"/>
          </w:rPr>
          <w:t xml:space="preserve">  |  Westminster Government Civil Society Shadow Report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46B40" w14:textId="77777777" w:rsidR="009958F4" w:rsidRDefault="009958F4" w:rsidP="00A85AF5">
      <w:pPr>
        <w:spacing w:after="0" w:line="240" w:lineRule="auto"/>
      </w:pPr>
    </w:p>
    <w:p w14:paraId="3D13594E" w14:textId="77777777" w:rsidR="009958F4" w:rsidRDefault="009958F4" w:rsidP="00A85AF5">
      <w:pPr>
        <w:spacing w:after="0" w:line="240" w:lineRule="auto"/>
      </w:pPr>
      <w:r>
        <w:separator/>
      </w:r>
    </w:p>
  </w:footnote>
  <w:footnote w:type="continuationSeparator" w:id="0">
    <w:p w14:paraId="3C1D4A7C" w14:textId="77777777" w:rsidR="009958F4" w:rsidRDefault="009958F4" w:rsidP="00983036">
      <w:pPr>
        <w:spacing w:after="0" w:line="240" w:lineRule="auto"/>
      </w:pPr>
      <w:r>
        <w:continuationSeparator/>
      </w:r>
    </w:p>
    <w:p w14:paraId="4ABF4CFD" w14:textId="77777777" w:rsidR="009958F4" w:rsidRDefault="009958F4"/>
    <w:p w14:paraId="27F96CDD" w14:textId="77777777" w:rsidR="009958F4" w:rsidRDefault="009958F4" w:rsidP="002347D0"/>
  </w:footnote>
  <w:footnote w:id="1">
    <w:p w14:paraId="69A73D71" w14:textId="70D1C4DC" w:rsidR="00E25BA6" w:rsidRDefault="00E25BA6">
      <w:pPr>
        <w:pStyle w:val="FootnoteText"/>
      </w:pPr>
      <w:r>
        <w:rPr>
          <w:rStyle w:val="FootnoteReference"/>
        </w:rPr>
        <w:footnoteRef/>
      </w:r>
      <w:r>
        <w:t xml:space="preserve"> </w:t>
      </w:r>
      <w:r w:rsidRPr="00A811C3">
        <w:t>p.</w:t>
      </w:r>
      <w:r w:rsidR="00A811C3">
        <w:t xml:space="preserve"> </w:t>
      </w:r>
      <w:fldSimple w:instr=" PAGEREF Appendix2 ">
        <w:r w:rsidR="00A811C3">
          <w:rPr>
            <w:noProof/>
          </w:rPr>
          <w:t>112</w:t>
        </w:r>
      </w:fldSimple>
    </w:p>
  </w:footnote>
  <w:footnote w:id="2">
    <w:p w14:paraId="74139215" w14:textId="2D69686C" w:rsidR="00AA388E" w:rsidRDefault="00AA388E">
      <w:pPr>
        <w:pStyle w:val="FootnoteText"/>
      </w:pPr>
      <w:r>
        <w:rPr>
          <w:rStyle w:val="FootnoteReference"/>
        </w:rPr>
        <w:footnoteRef/>
      </w:r>
      <w:r>
        <w:t xml:space="preserve"> </w:t>
      </w:r>
      <w:r w:rsidRPr="00AA388E">
        <w:t xml:space="preserve">p. </w:t>
      </w:r>
      <w:fldSimple w:instr=" PAGEREF Appendix1 ">
        <w:r w:rsidR="00E145A8">
          <w:rPr>
            <w:noProof/>
          </w:rPr>
          <w:t>109</w:t>
        </w:r>
      </w:fldSimple>
    </w:p>
  </w:footnote>
  <w:footnote w:id="3">
    <w:p w14:paraId="29A973FA" w14:textId="5C185AEB" w:rsidR="00AA388E" w:rsidRDefault="00AA388E">
      <w:pPr>
        <w:pStyle w:val="FootnoteText"/>
      </w:pPr>
      <w:r>
        <w:rPr>
          <w:rStyle w:val="FootnoteReference"/>
        </w:rPr>
        <w:footnoteRef/>
      </w:r>
      <w:r>
        <w:t xml:space="preserve"> p.</w:t>
      </w:r>
      <w:r w:rsidR="00CE1701">
        <w:t xml:space="preserve"> </w:t>
      </w:r>
      <w:fldSimple w:instr=" PAGEREF Appendix2 ">
        <w:r w:rsidR="00CE1701">
          <w:rPr>
            <w:noProof/>
          </w:rPr>
          <w:t>112</w:t>
        </w:r>
      </w:fldSimple>
      <w:r>
        <w:t xml:space="preserve"> </w:t>
      </w:r>
    </w:p>
  </w:footnote>
  <w:footnote w:id="4">
    <w:p w14:paraId="04022FE2" w14:textId="5ABF4F41" w:rsidR="009C6A92" w:rsidRDefault="009C6A92">
      <w:pPr>
        <w:pStyle w:val="FootnoteText"/>
      </w:pPr>
      <w:r w:rsidRPr="00875562">
        <w:rPr>
          <w:rStyle w:val="FootnoteReference"/>
        </w:rPr>
        <w:footnoteRef/>
      </w:r>
      <w:r w:rsidRPr="00875562">
        <w:t xml:space="preserve"> </w:t>
      </w:r>
      <w:r w:rsidR="00CA0F70" w:rsidRPr="00875562">
        <w:t>Figures</w:t>
      </w:r>
      <w:r w:rsidR="00CA0F70">
        <w:t xml:space="preserve"> for 2019/20. </w:t>
      </w:r>
      <w:r w:rsidR="00BF20C0">
        <w:t xml:space="preserve">DWP (2021). </w:t>
      </w:r>
      <w:r w:rsidR="00BF20C0" w:rsidRPr="00BF20C0">
        <w:rPr>
          <w:i/>
          <w:iCs/>
        </w:rPr>
        <w:t>Family Resources Survey: financial year 2019 to 2020</w:t>
      </w:r>
      <w:r w:rsidR="00BF20C0">
        <w:t xml:space="preserve">. [online] 25 March. Available at: </w:t>
      </w:r>
      <w:hyperlink r:id="rId1" w:anchor="disability-1" w:history="1">
        <w:r w:rsidR="00BF20C0" w:rsidRPr="00414B28">
          <w:rPr>
            <w:rStyle w:val="Hyperlink"/>
          </w:rPr>
          <w:t>https://www.gov.uk/government/statistics/family-resources-survey-financial-year-2019-to-2020/family-resources-survey-financial-year-2019-to-2020#disability-1</w:t>
        </w:r>
      </w:hyperlink>
      <w:r w:rsidR="00BF20C0">
        <w:t xml:space="preserve"> </w:t>
      </w:r>
    </w:p>
  </w:footnote>
  <w:footnote w:id="5">
    <w:p w14:paraId="274E1D56" w14:textId="1492E1C5" w:rsidR="009C6A92" w:rsidRDefault="009C6A92">
      <w:pPr>
        <w:pStyle w:val="FootnoteText"/>
      </w:pPr>
      <w:r>
        <w:rPr>
          <w:rStyle w:val="FootnoteReference"/>
        </w:rPr>
        <w:footnoteRef/>
      </w:r>
      <w:r>
        <w:t xml:space="preserve"> </w:t>
      </w:r>
      <w:r w:rsidR="00BF20C0">
        <w:t>DWP 2021</w:t>
      </w:r>
    </w:p>
  </w:footnote>
  <w:footnote w:id="6">
    <w:p w14:paraId="2B255F47" w14:textId="4A53B1EC" w:rsidR="00C649DF" w:rsidRPr="00DA1725" w:rsidRDefault="00C649DF" w:rsidP="00C649DF">
      <w:pPr>
        <w:pStyle w:val="FootnoteText"/>
      </w:pPr>
      <w:r w:rsidRPr="00DA1725">
        <w:rPr>
          <w:rStyle w:val="FootnoteReference"/>
        </w:rPr>
        <w:footnoteRef/>
      </w:r>
      <w:r w:rsidRPr="00DA1725">
        <w:t xml:space="preserve"> </w:t>
      </w:r>
      <w:r w:rsidR="00246EA9" w:rsidRPr="004717A7">
        <w:t>See</w:t>
      </w:r>
      <w:r w:rsidR="00246EA9">
        <w:t xml:space="preserve"> Annex A, p.</w:t>
      </w:r>
      <w:r w:rsidR="00B61D9E">
        <w:t xml:space="preserve"> </w:t>
      </w:r>
      <w:fldSimple w:instr=" PAGEREF AnnexA ">
        <w:r w:rsidR="00B61D9E">
          <w:rPr>
            <w:noProof/>
          </w:rPr>
          <w:t>147</w:t>
        </w:r>
      </w:fldSimple>
    </w:p>
  </w:footnote>
  <w:footnote w:id="7">
    <w:p w14:paraId="60365D13" w14:textId="77777777" w:rsidR="00E25BA6" w:rsidRDefault="00E25BA6" w:rsidP="00E25BA6">
      <w:pPr>
        <w:pStyle w:val="FootnoteText"/>
      </w:pPr>
      <w:r w:rsidRPr="009036C7">
        <w:rPr>
          <w:rStyle w:val="FootnoteReference"/>
        </w:rPr>
        <w:footnoteRef/>
      </w:r>
      <w:r w:rsidRPr="009036C7">
        <w:t xml:space="preserve"> DDPO30</w:t>
      </w:r>
    </w:p>
  </w:footnote>
  <w:footnote w:id="8">
    <w:p w14:paraId="209D7932" w14:textId="77777777" w:rsidR="00E25BA6" w:rsidRPr="0035572C" w:rsidRDefault="00E25BA6" w:rsidP="00E25BA6">
      <w:pPr>
        <w:pStyle w:val="FootnoteText"/>
      </w:pPr>
      <w:r w:rsidRPr="0035572C">
        <w:rPr>
          <w:rStyle w:val="FootnoteReference"/>
        </w:rPr>
        <w:footnoteRef/>
      </w:r>
      <w:r w:rsidRPr="0035572C">
        <w:t xml:space="preserve"> DDPO33</w:t>
      </w:r>
      <w:r>
        <w:t xml:space="preserve"> </w:t>
      </w:r>
    </w:p>
  </w:footnote>
  <w:footnote w:id="9">
    <w:p w14:paraId="194E16A1" w14:textId="28CB3920" w:rsidR="00D728BC" w:rsidRDefault="00D728BC">
      <w:pPr>
        <w:pStyle w:val="FootnoteText"/>
      </w:pPr>
      <w:r>
        <w:rPr>
          <w:rStyle w:val="FootnoteReference"/>
        </w:rPr>
        <w:footnoteRef/>
      </w:r>
      <w:r>
        <w:t xml:space="preserve"> </w:t>
      </w:r>
      <w:r w:rsidRPr="00D728BC">
        <w:t>Consultation on the introduction of tenant satisfaction measures</w:t>
      </w:r>
      <w:r>
        <w:t xml:space="preserve"> published on 9 December 2021. Easy read version added 19 January 2022. Regulator of Social Housing (2022). </w:t>
      </w:r>
      <w:r w:rsidRPr="00D728BC">
        <w:rPr>
          <w:i/>
          <w:iCs/>
        </w:rPr>
        <w:t>Consultation on the introduction of tenant satisfaction measures</w:t>
      </w:r>
      <w:r>
        <w:t xml:space="preserve">. [online] Available at: </w:t>
      </w:r>
      <w:hyperlink r:id="rId2" w:anchor="full-publication-update-history" w:history="1">
        <w:r w:rsidRPr="00A4243C">
          <w:rPr>
            <w:rStyle w:val="Hyperlink"/>
          </w:rPr>
          <w:t>https://www.gov.uk/government/consultations/consultation-on-the-introduction-of-tenant-satisfaction-measures#full-publication-update-history</w:t>
        </w:r>
      </w:hyperlink>
      <w:r>
        <w:t xml:space="preserve"> Accessed on: </w:t>
      </w:r>
      <w:r w:rsidR="00977ED5">
        <w:t>15.03.22</w:t>
      </w:r>
    </w:p>
  </w:footnote>
  <w:footnote w:id="10">
    <w:p w14:paraId="193DEAC6" w14:textId="0B97F2B2" w:rsidR="00E25BA6" w:rsidRDefault="00E25BA6" w:rsidP="00E25BA6">
      <w:pPr>
        <w:pStyle w:val="FootnoteText"/>
      </w:pPr>
      <w:r>
        <w:rPr>
          <w:rStyle w:val="FootnoteReference"/>
        </w:rPr>
        <w:footnoteRef/>
      </w:r>
      <w:r>
        <w:t xml:space="preserve"> </w:t>
      </w:r>
      <w:r>
        <w:t xml:space="preserve">MoJ (2021). </w:t>
      </w:r>
      <w:r w:rsidRPr="00E3194F">
        <w:t xml:space="preserve">Human Rights Act Reform: </w:t>
      </w:r>
      <w:r w:rsidRPr="00E3194F">
        <w:t>a Modern Bill of Rights</w:t>
      </w:r>
      <w:r>
        <w:t xml:space="preserve">. </w:t>
      </w:r>
      <w:r w:rsidRPr="00E3194F">
        <w:rPr>
          <w:i/>
          <w:iCs/>
        </w:rPr>
        <w:t>consult.justice.gov.uk</w:t>
      </w:r>
      <w:r>
        <w:t xml:space="preserve">, [online] 14 December. Available at: </w:t>
      </w:r>
      <w:hyperlink r:id="rId3" w:history="1">
        <w:r w:rsidRPr="00054B02">
          <w:rPr>
            <w:rStyle w:val="Hyperlink"/>
          </w:rPr>
          <w:t>https://consult.justice.gov.uk/human-rights/human-rights-act-reform/</w:t>
        </w:r>
      </w:hyperlink>
      <w:r>
        <w:t xml:space="preserve"> </w:t>
      </w:r>
      <w:r w:rsidR="00C005B5">
        <w:t>Accessed on: 15.03.22</w:t>
      </w:r>
    </w:p>
  </w:footnote>
  <w:footnote w:id="11">
    <w:p w14:paraId="79AD0825" w14:textId="6A274792" w:rsidR="00E25BA6" w:rsidRDefault="00E25BA6">
      <w:pPr>
        <w:pStyle w:val="FootnoteText"/>
      </w:pPr>
      <w:r>
        <w:rPr>
          <w:rStyle w:val="FootnoteReference"/>
        </w:rPr>
        <w:footnoteRef/>
      </w:r>
      <w:r>
        <w:t xml:space="preserve"> </w:t>
      </w:r>
      <w:r w:rsidR="00246EA9">
        <w:t>OO6; CBCE27</w:t>
      </w:r>
    </w:p>
  </w:footnote>
  <w:footnote w:id="12">
    <w:p w14:paraId="77646F6A" w14:textId="77777777" w:rsidR="00E25BA6" w:rsidRDefault="00E25BA6" w:rsidP="00E25BA6">
      <w:pPr>
        <w:pStyle w:val="FootnoteText"/>
      </w:pPr>
      <w:r>
        <w:rPr>
          <w:rStyle w:val="FootnoteReference"/>
        </w:rPr>
        <w:footnoteRef/>
      </w:r>
      <w:r>
        <w:t xml:space="preserve"> As identified by t</w:t>
      </w:r>
      <w:r w:rsidRPr="007D7639">
        <w:t>he UN Expert Group on Disability Date and Statistics, Monitoring and Evaluatio</w:t>
      </w:r>
      <w:r>
        <w:t>n</w:t>
      </w:r>
    </w:p>
  </w:footnote>
  <w:footnote w:id="13">
    <w:p w14:paraId="63132C44" w14:textId="77777777" w:rsidR="00E25BA6" w:rsidRDefault="00E25BA6" w:rsidP="00E25BA6">
      <w:pPr>
        <w:pStyle w:val="FootnoteText"/>
      </w:pPr>
      <w:r>
        <w:rPr>
          <w:rStyle w:val="FootnoteReference"/>
        </w:rPr>
        <w:footnoteRef/>
      </w:r>
      <w:r>
        <w:t xml:space="preserve"> DDPO30; DDPO33; OO1</w:t>
      </w:r>
    </w:p>
  </w:footnote>
  <w:footnote w:id="14">
    <w:p w14:paraId="71962928" w14:textId="68FE0BC4" w:rsidR="00E25BA6" w:rsidRDefault="00E25BA6" w:rsidP="00E25BA6">
      <w:pPr>
        <w:pStyle w:val="FootnoteText"/>
      </w:pPr>
      <w:r>
        <w:rPr>
          <w:rStyle w:val="FootnoteReference"/>
        </w:rPr>
        <w:footnoteRef/>
      </w:r>
      <w:r>
        <w:t xml:space="preserve"> </w:t>
      </w:r>
      <w:r w:rsidR="008A6DDE">
        <w:t xml:space="preserve">Lambert, M. (2021). </w:t>
      </w:r>
      <w:r w:rsidR="008A6DDE" w:rsidRPr="00E36805">
        <w:rPr>
          <w:i/>
          <w:iCs/>
        </w:rPr>
        <w:t>Does it matter that gangmasters are targeting people with disabilities?</w:t>
      </w:r>
      <w:r w:rsidR="008A6DDE">
        <w:t xml:space="preserve"> The </w:t>
      </w:r>
      <w:r w:rsidR="008A6DDE">
        <w:t xml:space="preserve">Clewer Initiative, [online] 4 June. Available at: </w:t>
      </w:r>
      <w:hyperlink r:id="rId4" w:history="1">
        <w:r w:rsidR="008A6DDE" w:rsidRPr="00054B02">
          <w:rPr>
            <w:rStyle w:val="Hyperlink"/>
          </w:rPr>
          <w:t>https://theclewerinitiative.org/blog/does-it-matter-that-gangmasters-are-targeting-people-with-disabilities</w:t>
        </w:r>
      </w:hyperlink>
      <w:r w:rsidR="008A6DDE">
        <w:t xml:space="preserve"> Accessed on: 15.03.22</w:t>
      </w:r>
    </w:p>
  </w:footnote>
  <w:footnote w:id="15">
    <w:p w14:paraId="0F5CEB2E" w14:textId="671BD7CB" w:rsidR="00AD7106" w:rsidRPr="00AD7106" w:rsidRDefault="00503C03">
      <w:pPr>
        <w:pStyle w:val="FootnoteText"/>
      </w:pPr>
      <w:r w:rsidRPr="00AD7106">
        <w:rPr>
          <w:rStyle w:val="FootnoteReference"/>
        </w:rPr>
        <w:footnoteRef/>
      </w:r>
      <w:r w:rsidRPr="00AD7106">
        <w:t xml:space="preserve"> </w:t>
      </w:r>
      <w:r w:rsidR="00875562">
        <w:t>P</w:t>
      </w:r>
      <w:r w:rsidR="00AD7106" w:rsidRPr="00AD7106">
        <w:t xml:space="preserve">aragraph 44 and recommendations 45 c). </w:t>
      </w:r>
    </w:p>
    <w:p w14:paraId="33D3F3BA" w14:textId="371F1E62" w:rsidR="00503C03" w:rsidRPr="00AD7106" w:rsidRDefault="00AD7106">
      <w:pPr>
        <w:pStyle w:val="FootnoteText"/>
        <w:rPr>
          <w:highlight w:val="yellow"/>
        </w:rPr>
      </w:pPr>
      <w:r w:rsidRPr="00AD7106">
        <w:t xml:space="preserve">CRDP Committee (2017). </w:t>
      </w:r>
      <w:r w:rsidRPr="00AD7106">
        <w:rPr>
          <w:i/>
          <w:iCs/>
        </w:rPr>
        <w:t xml:space="preserve">Concluding observations on the initial report of the United Kingdom of Great Britain and Northern Ireland. </w:t>
      </w:r>
      <w:r w:rsidRPr="00AD7106">
        <w:t>[online]. Available at:</w:t>
      </w:r>
      <w:r>
        <w:t xml:space="preserve"> </w:t>
      </w:r>
      <w:hyperlink r:id="rId5" w:history="1">
        <w:r w:rsidRPr="00002AC9">
          <w:rPr>
            <w:rStyle w:val="Hyperlink"/>
          </w:rPr>
          <w:t>https://docstore.ohchr.org/SelfServices/FilesHandler.ashx?enc=6QkG1d%2FPPRiCAqhKb7yhspCUnZhK1jU66fLQJyHIkqMIT3RDaLiqzhH8tVNxhro6S657eVNwuqlzu0xvsQUehREyYEQD%2BldQaLP31QDpRcmG35KYFtgGyAN%2BaB7cyky7</w:t>
        </w:r>
      </w:hyperlink>
      <w:r>
        <w:t xml:space="preserve">. Accessed on: </w:t>
      </w:r>
      <w:r w:rsidR="00446723">
        <w:t>1</w:t>
      </w:r>
      <w:r w:rsidR="00446723" w:rsidRPr="007540BB">
        <w:t>5:03:22</w:t>
      </w:r>
    </w:p>
  </w:footnote>
  <w:footnote w:id="16">
    <w:p w14:paraId="6517209F" w14:textId="683C96D3" w:rsidR="00245C35" w:rsidRDefault="00245C35" w:rsidP="00245C35">
      <w:pPr>
        <w:pStyle w:val="FootnoteText"/>
      </w:pPr>
      <w:r>
        <w:rPr>
          <w:rStyle w:val="FootnoteReference"/>
        </w:rPr>
        <w:footnoteRef/>
      </w:r>
      <w:r>
        <w:t xml:space="preserve"> </w:t>
      </w:r>
      <w:r>
        <w:t xml:space="preserve">Portes, J. and Reed, H. (2018). </w:t>
      </w:r>
      <w:r w:rsidRPr="00245C35">
        <w:rPr>
          <w:i/>
          <w:iCs/>
        </w:rPr>
        <w:t>The cumulative impact of tax and welfare reforms</w:t>
      </w:r>
      <w:r>
        <w:t xml:space="preserve">. [online], Equality and Human Rights Commission, p184. Available at: </w:t>
      </w:r>
      <w:r w:rsidRPr="00245C35">
        <w:t xml:space="preserve">https://www.equalityhumanrights.com/sites/default/files/cumulative-impact-assessment-report.pdf </w:t>
      </w:r>
      <w:r>
        <w:t xml:space="preserve">Accessed on: </w:t>
      </w:r>
      <w:r w:rsidR="006F6793" w:rsidRPr="007540BB">
        <w:t>15:03:22</w:t>
      </w:r>
    </w:p>
  </w:footnote>
  <w:footnote w:id="17">
    <w:p w14:paraId="54A2CC7F" w14:textId="7B176567" w:rsidR="009A7054" w:rsidRPr="006F6793" w:rsidRDefault="009A7054">
      <w:pPr>
        <w:pStyle w:val="FootnoteText"/>
      </w:pPr>
      <w:r w:rsidRPr="006F6793">
        <w:rPr>
          <w:rStyle w:val="FootnoteReference"/>
        </w:rPr>
        <w:footnoteRef/>
      </w:r>
      <w:r w:rsidRPr="006F6793">
        <w:t xml:space="preserve"> </w:t>
      </w:r>
      <w:r w:rsidR="006F6793" w:rsidRPr="006F6793">
        <w:t>SR131</w:t>
      </w:r>
    </w:p>
  </w:footnote>
  <w:footnote w:id="18">
    <w:p w14:paraId="34145C6E" w14:textId="69156DED" w:rsidR="009A7054" w:rsidRDefault="009A7054">
      <w:pPr>
        <w:pStyle w:val="FootnoteText"/>
      </w:pPr>
      <w:r w:rsidRPr="006F6793">
        <w:rPr>
          <w:rStyle w:val="FootnoteReference"/>
        </w:rPr>
        <w:footnoteRef/>
      </w:r>
      <w:r w:rsidRPr="006F6793">
        <w:t xml:space="preserve"> </w:t>
      </w:r>
      <w:r w:rsidR="006F6793" w:rsidRPr="00D07050">
        <w:t xml:space="preserve">WPC (2018). </w:t>
      </w:r>
      <w:r w:rsidR="006F6793" w:rsidRPr="00D07050">
        <w:rPr>
          <w:i/>
          <w:iCs/>
        </w:rPr>
        <w:t>Universal Credit and domestic abuse</w:t>
      </w:r>
      <w:r w:rsidR="006F6793" w:rsidRPr="00D07050">
        <w:t>. HC 1166, [online] 1 August. Available at:</w:t>
      </w:r>
      <w:r w:rsidR="006F6793">
        <w:t xml:space="preserve"> </w:t>
      </w:r>
      <w:hyperlink r:id="rId6" w:history="1">
        <w:r w:rsidR="006F6793" w:rsidRPr="00A97FBA">
          <w:rPr>
            <w:rStyle w:val="Hyperlink"/>
          </w:rPr>
          <w:t>https://publications.parliament.uk/pa/cm201719/cmselect/cmworpen/1166/1166.pdf</w:t>
        </w:r>
      </w:hyperlink>
      <w:r w:rsidR="006F6793" w:rsidRPr="00D07050">
        <w:t xml:space="preserve"> Accessed on: 15.03.22</w:t>
      </w:r>
    </w:p>
  </w:footnote>
  <w:footnote w:id="19">
    <w:p w14:paraId="64648F60" w14:textId="19F8F02C" w:rsidR="004B7A0C" w:rsidRDefault="004B7A0C">
      <w:pPr>
        <w:pStyle w:val="FootnoteText"/>
      </w:pPr>
      <w:r>
        <w:rPr>
          <w:rStyle w:val="FootnoteReference"/>
        </w:rPr>
        <w:footnoteRef/>
      </w:r>
      <w:r>
        <w:t xml:space="preserve"> HM Government (2021). </w:t>
      </w:r>
      <w:r w:rsidRPr="007A2EF5">
        <w:rPr>
          <w:i/>
          <w:iCs/>
        </w:rPr>
        <w:t>The end-to-end rape review report on findings and actions</w:t>
      </w:r>
      <w:r>
        <w:t xml:space="preserve">. CP 437, [online] June, p.4. Available at: </w:t>
      </w:r>
      <w:hyperlink r:id="rId7" w:history="1">
        <w:r w:rsidRPr="00002AC9">
          <w:rPr>
            <w:rStyle w:val="Hyperlink"/>
          </w:rPr>
          <w:t>https://assets.publishing.service.gov.uk/government/uploads/system/uploads/attachment_data/file/1001417/end-to-end-rape-review-report-with-correction-slip.pdf</w:t>
        </w:r>
      </w:hyperlink>
      <w:r>
        <w:t xml:space="preserve"> Accessed on: </w:t>
      </w:r>
      <w:r w:rsidR="006F6793">
        <w:t>15.03.22</w:t>
      </w:r>
    </w:p>
  </w:footnote>
  <w:footnote w:id="20">
    <w:p w14:paraId="55A69B1B" w14:textId="0B164FDF" w:rsidR="0020585C" w:rsidRPr="0020585C" w:rsidRDefault="0020585C">
      <w:pPr>
        <w:pStyle w:val="FootnoteText"/>
      </w:pPr>
      <w:r>
        <w:rPr>
          <w:rStyle w:val="FootnoteReference"/>
        </w:rPr>
        <w:footnoteRef/>
      </w:r>
      <w:r>
        <w:t xml:space="preserve"> ONS (2021). </w:t>
      </w:r>
      <w:r w:rsidRPr="0020585C">
        <w:rPr>
          <w:i/>
          <w:iCs/>
        </w:rPr>
        <w:t>Sexual offences victim characteristics, England and Wales: year ending March 2020</w:t>
      </w:r>
      <w:r>
        <w:t xml:space="preserve">. [online], 18 March. Available at: </w:t>
      </w:r>
      <w:hyperlink r:id="rId8" w:history="1">
        <w:r w:rsidRPr="00002AC9">
          <w:rPr>
            <w:rStyle w:val="Hyperlink"/>
          </w:rPr>
          <w:t>https://www.ons.gov.uk/peoplepopulationandcommunity/crimeandjustice/articles/sexualoffencesvictimcharacteristicsenglandandwales/march2020</w:t>
        </w:r>
      </w:hyperlink>
      <w:r>
        <w:t>. Accessed on</w:t>
      </w:r>
      <w:r w:rsidR="007A2EF5">
        <w:t>:</w:t>
      </w:r>
      <w:r>
        <w:t xml:space="preserve"> </w:t>
      </w:r>
      <w:r w:rsidR="00A2365B">
        <w:t>15.03.22</w:t>
      </w:r>
    </w:p>
  </w:footnote>
  <w:footnote w:id="21">
    <w:p w14:paraId="7736709B" w14:textId="46888B9A" w:rsidR="007A2EF5" w:rsidRDefault="007A2EF5">
      <w:pPr>
        <w:pStyle w:val="FootnoteText"/>
      </w:pPr>
      <w:r>
        <w:rPr>
          <w:rStyle w:val="FootnoteReference"/>
        </w:rPr>
        <w:footnoteRef/>
      </w:r>
      <w:r>
        <w:t xml:space="preserve"> HM Government (2021)</w:t>
      </w:r>
      <w:r w:rsidR="004B7A0C">
        <w:t>, p.3</w:t>
      </w:r>
      <w:r>
        <w:t xml:space="preserve"> </w:t>
      </w:r>
    </w:p>
  </w:footnote>
  <w:footnote w:id="22">
    <w:p w14:paraId="0CAC5691" w14:textId="5717D8EF" w:rsidR="007A2EF5" w:rsidRDefault="007A2EF5">
      <w:pPr>
        <w:pStyle w:val="FootnoteText"/>
      </w:pPr>
      <w:r>
        <w:rPr>
          <w:rStyle w:val="FootnoteReference"/>
        </w:rPr>
        <w:footnoteRef/>
      </w:r>
      <w:r>
        <w:t xml:space="preserve"> HM Government 2021</w:t>
      </w:r>
      <w:r w:rsidR="004B7A0C">
        <w:t>, p.4</w:t>
      </w:r>
    </w:p>
  </w:footnote>
  <w:footnote w:id="23">
    <w:p w14:paraId="00D5FF07" w14:textId="072C0A5F" w:rsidR="004B7A0C" w:rsidRDefault="004B7A0C">
      <w:pPr>
        <w:pStyle w:val="FootnoteText"/>
      </w:pPr>
      <w:r>
        <w:rPr>
          <w:rStyle w:val="FootnoteReference"/>
        </w:rPr>
        <w:footnoteRef/>
      </w:r>
      <w:r>
        <w:t xml:space="preserve"> DDPO33.</w:t>
      </w:r>
    </w:p>
  </w:footnote>
  <w:footnote w:id="24">
    <w:p w14:paraId="02278CA9" w14:textId="3EBAB599" w:rsidR="004B7A0C" w:rsidRPr="00E26D75" w:rsidRDefault="004B7A0C">
      <w:pPr>
        <w:pStyle w:val="FootnoteText"/>
      </w:pPr>
      <w:r>
        <w:rPr>
          <w:rStyle w:val="FootnoteReference"/>
        </w:rPr>
        <w:footnoteRef/>
      </w:r>
      <w:r>
        <w:t xml:space="preserve"> DDPO33. Also: </w:t>
      </w:r>
      <w:r w:rsidR="00E26D75">
        <w:t xml:space="preserve">Bateman, C. (2021). </w:t>
      </w:r>
      <w:r w:rsidR="00E26D75" w:rsidRPr="00E26D75">
        <w:t>Sexual violence allegations brought by disabled women 'not going to court', campaign group says</w:t>
      </w:r>
      <w:r w:rsidR="00E26D75">
        <w:t xml:space="preserve">. </w:t>
      </w:r>
      <w:r w:rsidR="00E26D75">
        <w:rPr>
          <w:i/>
          <w:iCs/>
        </w:rPr>
        <w:t>Sky News</w:t>
      </w:r>
      <w:r w:rsidR="00E26D75">
        <w:t xml:space="preserve">, [online] 1 August. Available at: </w:t>
      </w:r>
      <w:hyperlink r:id="rId9" w:history="1">
        <w:r w:rsidR="00E26D75" w:rsidRPr="00002AC9">
          <w:rPr>
            <w:rStyle w:val="Hyperlink"/>
          </w:rPr>
          <w:t>https://news.sky.com/story/sexual-violence-allegations-brought-by-disabled-women-not-going-to-court-charity-says-12368315</w:t>
        </w:r>
      </w:hyperlink>
      <w:r w:rsidR="00E26D75">
        <w:t xml:space="preserve"> Accessed on: </w:t>
      </w:r>
      <w:r w:rsidR="00CF520F">
        <w:t>15.03.22</w:t>
      </w:r>
    </w:p>
  </w:footnote>
  <w:footnote w:id="25">
    <w:p w14:paraId="339CE7DF" w14:textId="2D1EE023" w:rsidR="00E26D75" w:rsidRDefault="00E26D75">
      <w:pPr>
        <w:pStyle w:val="FootnoteText"/>
      </w:pPr>
      <w:r>
        <w:rPr>
          <w:rStyle w:val="FootnoteReference"/>
        </w:rPr>
        <w:footnoteRef/>
      </w:r>
      <w:r>
        <w:t xml:space="preserve"> HM Government 2021, p.38</w:t>
      </w:r>
    </w:p>
  </w:footnote>
  <w:footnote w:id="26">
    <w:p w14:paraId="53387D54" w14:textId="3EFB7DA3" w:rsidR="00DF1E0E" w:rsidRDefault="00DF1E0E">
      <w:pPr>
        <w:pStyle w:val="FootnoteText"/>
      </w:pPr>
      <w:r>
        <w:rPr>
          <w:rStyle w:val="FootnoteReference"/>
        </w:rPr>
        <w:footnoteRef/>
      </w:r>
      <w:r>
        <w:t xml:space="preserve"> ONS (2018). </w:t>
      </w:r>
      <w:r w:rsidRPr="00DF1E0E">
        <w:rPr>
          <w:i/>
          <w:iCs/>
        </w:rPr>
        <w:t>Domestic abuse: findings from the Crime Survey for England and Wales: year ending March 2018.</w:t>
      </w:r>
      <w:r>
        <w:t xml:space="preserve"> [online], 22 November. Available at: </w:t>
      </w:r>
      <w:hyperlink r:id="rId10" w:history="1">
        <w:r w:rsidR="000E2F03" w:rsidRPr="00A97FBA">
          <w:rPr>
            <w:rStyle w:val="Hyperlink"/>
          </w:rPr>
          <w:t>https://www.ons.gov.uk/peoplepopulationandcommunity/crimeandjustice/articles/domesticabusefindingsfromthecrimesurveyforenglandandwales/yearendingmarch2018</w:t>
        </w:r>
      </w:hyperlink>
      <w:r w:rsidR="000E2F03">
        <w:t xml:space="preserve"> </w:t>
      </w:r>
      <w:r>
        <w:t xml:space="preserve"> Accessed on</w:t>
      </w:r>
      <w:r w:rsidR="00CF520F">
        <w:t>: 15.03.22</w:t>
      </w:r>
    </w:p>
  </w:footnote>
  <w:footnote w:id="27">
    <w:p w14:paraId="6266EF00" w14:textId="4F2E144A" w:rsidR="009A7054" w:rsidRPr="00DF1E0E" w:rsidRDefault="009A7054">
      <w:pPr>
        <w:pStyle w:val="FootnoteText"/>
      </w:pPr>
      <w:r>
        <w:rPr>
          <w:rStyle w:val="FootnoteReference"/>
        </w:rPr>
        <w:footnoteRef/>
      </w:r>
      <w:r>
        <w:t xml:space="preserve"> </w:t>
      </w:r>
      <w:r w:rsidR="00DF1E0E">
        <w:t xml:space="preserve">DDPO33. Also: Ryan, F. (2019). </w:t>
      </w:r>
      <w:r w:rsidR="00DF1E0E" w:rsidRPr="00DF1E0E">
        <w:t>'I’m tired and desperate' – a disabled victim of domestic violence on her struggle to survive</w:t>
      </w:r>
      <w:r w:rsidR="00DF1E0E">
        <w:t xml:space="preserve">. </w:t>
      </w:r>
      <w:r w:rsidR="00DF1E0E">
        <w:rPr>
          <w:i/>
          <w:iCs/>
        </w:rPr>
        <w:t>The Guardian</w:t>
      </w:r>
      <w:r w:rsidR="00DF1E0E">
        <w:t xml:space="preserve">, [online] 19 September. Available at: </w:t>
      </w:r>
      <w:hyperlink r:id="rId11" w:history="1">
        <w:r w:rsidR="00DF1E0E" w:rsidRPr="00002AC9">
          <w:rPr>
            <w:rStyle w:val="Hyperlink"/>
          </w:rPr>
          <w:t>https://www.theguardian.com/lifeandstyle/2019/sep/19/disabled-victim-of-domestic-violence-on-her-struggle-to-survive</w:t>
        </w:r>
      </w:hyperlink>
      <w:r w:rsidR="00DF1E0E">
        <w:t xml:space="preserve"> Accessed on: </w:t>
      </w:r>
      <w:r w:rsidR="00CF520F">
        <w:t>15.03.22</w:t>
      </w:r>
    </w:p>
  </w:footnote>
  <w:footnote w:id="28">
    <w:p w14:paraId="2446CC71" w14:textId="37F769F6" w:rsidR="00DF1E0E" w:rsidRPr="00DF1E0E" w:rsidRDefault="00DF1E0E">
      <w:pPr>
        <w:pStyle w:val="FootnoteText"/>
      </w:pPr>
      <w:r>
        <w:rPr>
          <w:rStyle w:val="FootnoteReference"/>
        </w:rPr>
        <w:footnoteRef/>
      </w:r>
      <w:r>
        <w:t xml:space="preserve"> BBC News (2018). </w:t>
      </w:r>
      <w:r w:rsidRPr="00DF1E0E">
        <w:t>Why disabled women can't access all refuges</w:t>
      </w:r>
      <w:r>
        <w:t xml:space="preserve">. </w:t>
      </w:r>
      <w:r>
        <w:rPr>
          <w:i/>
          <w:iCs/>
        </w:rPr>
        <w:t>BBC.co.uk</w:t>
      </w:r>
      <w:r>
        <w:t xml:space="preserve">, [online] 28 November. Available at: </w:t>
      </w:r>
      <w:hyperlink r:id="rId12" w:history="1">
        <w:r w:rsidRPr="00002AC9">
          <w:rPr>
            <w:rStyle w:val="Hyperlink"/>
          </w:rPr>
          <w:t>https://www.bbc.co.uk/news/uk-46371441</w:t>
        </w:r>
      </w:hyperlink>
      <w:r>
        <w:t xml:space="preserve"> Accessed on: </w:t>
      </w:r>
      <w:r w:rsidR="00CF520F">
        <w:t>15.03.22</w:t>
      </w:r>
    </w:p>
  </w:footnote>
  <w:footnote w:id="29">
    <w:p w14:paraId="2B6A9006" w14:textId="50995DDB" w:rsidR="00E361B6" w:rsidRDefault="00E361B6">
      <w:pPr>
        <w:pStyle w:val="FootnoteText"/>
      </w:pPr>
      <w:r>
        <w:rPr>
          <w:rStyle w:val="FootnoteReference"/>
        </w:rPr>
        <w:footnoteRef/>
      </w:r>
      <w:r>
        <w:t xml:space="preserve"> Run by the charity ‘Pause’ which</w:t>
      </w:r>
      <w:r w:rsidRPr="00E361B6">
        <w:t xml:space="preserve"> aims to “encourage women to take responsibility for their actions”</w:t>
      </w:r>
      <w:r>
        <w:t xml:space="preserve">. See: </w:t>
      </w:r>
      <w:hyperlink r:id="rId13" w:history="1">
        <w:r w:rsidRPr="00CF520F">
          <w:rPr>
            <w:rStyle w:val="Hyperlink"/>
          </w:rPr>
          <w:t>https://www.pause.org.uk/</w:t>
        </w:r>
      </w:hyperlink>
    </w:p>
  </w:footnote>
  <w:footnote w:id="30">
    <w:p w14:paraId="4D2EE270" w14:textId="22210885" w:rsidR="002D4450" w:rsidRDefault="002D4450">
      <w:pPr>
        <w:pStyle w:val="FootnoteText"/>
      </w:pPr>
      <w:r>
        <w:rPr>
          <w:rStyle w:val="FootnoteReference"/>
        </w:rPr>
        <w:footnoteRef/>
      </w:r>
      <w:r>
        <w:t xml:space="preserve"> </w:t>
      </w:r>
      <w:r w:rsidR="0064665D">
        <w:t xml:space="preserve">DDPO33; OO8 </w:t>
      </w:r>
    </w:p>
  </w:footnote>
  <w:footnote w:id="31">
    <w:p w14:paraId="50F7914E" w14:textId="4E3C00E8" w:rsidR="003377E4" w:rsidRDefault="003377E4">
      <w:pPr>
        <w:pStyle w:val="FootnoteText"/>
      </w:pPr>
      <w:r>
        <w:rPr>
          <w:rStyle w:val="FootnoteReference"/>
        </w:rPr>
        <w:footnoteRef/>
      </w:r>
      <w:r>
        <w:t xml:space="preserve"> See: </w:t>
      </w:r>
      <w:hyperlink r:id="rId14" w:history="1">
        <w:r w:rsidRPr="00CF520F">
          <w:rPr>
            <w:rStyle w:val="Hyperlink"/>
          </w:rPr>
          <w:t>https://www.pause.org.uk/what-we-do/where-we-work/</w:t>
        </w:r>
      </w:hyperlink>
    </w:p>
  </w:footnote>
  <w:footnote w:id="32">
    <w:p w14:paraId="27809E01" w14:textId="01347346" w:rsidR="003377E4" w:rsidRDefault="003377E4">
      <w:pPr>
        <w:pStyle w:val="FootnoteText"/>
      </w:pPr>
      <w:r>
        <w:rPr>
          <w:rStyle w:val="FootnoteReference"/>
        </w:rPr>
        <w:footnoteRef/>
      </w:r>
      <w:r>
        <w:t xml:space="preserve"> See: </w:t>
      </w:r>
      <w:hyperlink r:id="rId15" w:history="1">
        <w:r w:rsidRPr="00CF520F">
          <w:rPr>
            <w:rStyle w:val="Hyperlink"/>
          </w:rPr>
          <w:t>https://www.pause.org.uk/what-we-do/the-pause-model/</w:t>
        </w:r>
      </w:hyperlink>
    </w:p>
  </w:footnote>
  <w:footnote w:id="33">
    <w:p w14:paraId="68AF23A2" w14:textId="5436ED57" w:rsidR="00E361B6" w:rsidRDefault="00E361B6">
      <w:pPr>
        <w:pStyle w:val="FootnoteText"/>
      </w:pPr>
      <w:r>
        <w:rPr>
          <w:rStyle w:val="FootnoteReference"/>
        </w:rPr>
        <w:footnoteRef/>
      </w:r>
      <w:r w:rsidR="00CF520F">
        <w:t xml:space="preserve"> </w:t>
      </w:r>
      <w:r>
        <w:t>DDPO33</w:t>
      </w:r>
    </w:p>
  </w:footnote>
  <w:footnote w:id="34">
    <w:p w14:paraId="6E72B929" w14:textId="7171B558" w:rsidR="0064665D" w:rsidRDefault="0064665D">
      <w:pPr>
        <w:pStyle w:val="FootnoteText"/>
      </w:pPr>
      <w:r>
        <w:rPr>
          <w:rStyle w:val="FootnoteReference"/>
        </w:rPr>
        <w:footnoteRef/>
      </w:r>
      <w:r>
        <w:t xml:space="preserve"> Logan, C. (2019). </w:t>
      </w:r>
      <w:r w:rsidRPr="0064665D">
        <w:t>Warning over Pause project that only supports women using contraception</w:t>
      </w:r>
      <w:r>
        <w:t xml:space="preserve">. </w:t>
      </w:r>
      <w:r>
        <w:rPr>
          <w:i/>
          <w:iCs/>
        </w:rPr>
        <w:t>The National</w:t>
      </w:r>
      <w:r>
        <w:t xml:space="preserve">, [online] 23 June. Available at: </w:t>
      </w:r>
      <w:hyperlink r:id="rId16" w:history="1">
        <w:r w:rsidRPr="00002AC9">
          <w:rPr>
            <w:rStyle w:val="Hyperlink"/>
          </w:rPr>
          <w:t>https://www.thenational.scot/news/17724137.warning-pause-project-supports-women-using-contraception/</w:t>
        </w:r>
      </w:hyperlink>
      <w:r>
        <w:t xml:space="preserve"> Accessed on: </w:t>
      </w:r>
      <w:r w:rsidR="00CF520F">
        <w:t>15.03.22</w:t>
      </w:r>
    </w:p>
  </w:footnote>
  <w:footnote w:id="35">
    <w:p w14:paraId="03151320" w14:textId="622DC2ED" w:rsidR="00FF046D" w:rsidRDefault="00FF046D" w:rsidP="00FF046D">
      <w:pPr>
        <w:pStyle w:val="FootnoteText"/>
      </w:pPr>
      <w:r>
        <w:rPr>
          <w:rStyle w:val="FootnoteReference"/>
        </w:rPr>
        <w:footnoteRef/>
      </w:r>
      <w:r>
        <w:t xml:space="preserve"> DDPO3</w:t>
      </w:r>
      <w:r w:rsidR="00BF778D">
        <w:t>3</w:t>
      </w:r>
    </w:p>
  </w:footnote>
  <w:footnote w:id="36">
    <w:p w14:paraId="2BCC56D2" w14:textId="3A97B2A9" w:rsidR="00F13A17" w:rsidRDefault="00F13A17">
      <w:pPr>
        <w:pStyle w:val="FootnoteText"/>
      </w:pPr>
      <w:r>
        <w:rPr>
          <w:rStyle w:val="FootnoteReference"/>
        </w:rPr>
        <w:footnoteRef/>
      </w:r>
      <w:r>
        <w:t xml:space="preserve"> OO4</w:t>
      </w:r>
    </w:p>
  </w:footnote>
  <w:footnote w:id="37">
    <w:p w14:paraId="0E3BE5BA" w14:textId="37C0CD92" w:rsidR="00F13A17" w:rsidRDefault="00F13A17">
      <w:pPr>
        <w:pStyle w:val="FootnoteText"/>
      </w:pPr>
      <w:r>
        <w:rPr>
          <w:rStyle w:val="FootnoteReference"/>
        </w:rPr>
        <w:footnoteRef/>
      </w:r>
      <w:r>
        <w:t xml:space="preserve"> OO13</w:t>
      </w:r>
    </w:p>
  </w:footnote>
  <w:footnote w:id="38">
    <w:p w14:paraId="0E050023" w14:textId="0E398741" w:rsidR="009B4DB4" w:rsidRDefault="009B4DB4">
      <w:pPr>
        <w:pStyle w:val="FootnoteText"/>
      </w:pPr>
      <w:r>
        <w:rPr>
          <w:rStyle w:val="FootnoteReference"/>
        </w:rPr>
        <w:footnoteRef/>
      </w:r>
      <w:r>
        <w:t xml:space="preserve"> DCP (2021). </w:t>
      </w:r>
      <w:r w:rsidR="00F13A17" w:rsidRPr="00F13A17">
        <w:rPr>
          <w:i/>
          <w:iCs/>
        </w:rPr>
        <w:t>The</w:t>
      </w:r>
      <w:r w:rsidR="00F13A17">
        <w:rPr>
          <w:i/>
          <w:iCs/>
        </w:rPr>
        <w:t>n</w:t>
      </w:r>
      <w:r w:rsidR="00F13A17" w:rsidRPr="00F13A17">
        <w:rPr>
          <w:i/>
          <w:iCs/>
        </w:rPr>
        <w:t xml:space="preserve"> There Was Silence</w:t>
      </w:r>
      <w:r w:rsidR="00F13A17">
        <w:t xml:space="preserve">. [online]. Available at: </w:t>
      </w:r>
      <w:hyperlink r:id="rId17" w:history="1">
        <w:r w:rsidR="00D65ECB" w:rsidRPr="00002AC9">
          <w:rPr>
            <w:rStyle w:val="Hyperlink"/>
          </w:rPr>
          <w:t>https://disabledchildrenspartnership.org.uk/wp-content/uploads/2021/10/Then-There-Was-Silence-Full-Policy-Report-10-September-2021.pdf</w:t>
        </w:r>
      </w:hyperlink>
      <w:r w:rsidR="00D65ECB">
        <w:t xml:space="preserve"> Accessed on: </w:t>
      </w:r>
      <w:r w:rsidR="00CF520F">
        <w:t>15.03.22</w:t>
      </w:r>
    </w:p>
  </w:footnote>
  <w:footnote w:id="39">
    <w:p w14:paraId="534239C5" w14:textId="76633874" w:rsidR="00B93278" w:rsidRDefault="00B93278">
      <w:pPr>
        <w:pStyle w:val="FootnoteText"/>
      </w:pPr>
      <w:r>
        <w:rPr>
          <w:rStyle w:val="FootnoteReference"/>
        </w:rPr>
        <w:footnoteRef/>
      </w:r>
      <w:r>
        <w:t xml:space="preserve"> </w:t>
      </w:r>
      <w:r w:rsidRPr="00D21BA8">
        <w:t>See p.</w:t>
      </w:r>
      <w:fldSimple w:instr=" PAGEREF Para88 ">
        <w:r w:rsidR="00D21BA8" w:rsidRPr="00D21BA8">
          <w:rPr>
            <w:noProof/>
          </w:rPr>
          <w:t>45</w:t>
        </w:r>
      </w:fldSimple>
      <w:r w:rsidRPr="00D21BA8">
        <w:t xml:space="preserve"> below</w:t>
      </w:r>
    </w:p>
  </w:footnote>
  <w:footnote w:id="40">
    <w:p w14:paraId="3CAEA84B" w14:textId="5F6243DE" w:rsidR="00E052E5" w:rsidRDefault="00E052E5">
      <w:pPr>
        <w:pStyle w:val="FootnoteText"/>
      </w:pPr>
      <w:r>
        <w:rPr>
          <w:rStyle w:val="FootnoteReference"/>
        </w:rPr>
        <w:footnoteRef/>
      </w:r>
      <w:r>
        <w:t xml:space="preserve"> OO4</w:t>
      </w:r>
    </w:p>
  </w:footnote>
  <w:footnote w:id="41">
    <w:p w14:paraId="0B22A2B0" w14:textId="6A56C5D2" w:rsidR="009A7286" w:rsidRDefault="009A7286">
      <w:pPr>
        <w:pStyle w:val="FootnoteText"/>
      </w:pPr>
      <w:r>
        <w:rPr>
          <w:rStyle w:val="FootnoteReference"/>
        </w:rPr>
        <w:footnoteRef/>
      </w:r>
      <w:r>
        <w:t xml:space="preserve"> </w:t>
      </w:r>
      <w:r w:rsidR="00CF520F" w:rsidRPr="00A04A8C">
        <w:t xml:space="preserve">CBCE6, CBCE7, CBCE13. CBCE17, CBCE27; DDPO43; </w:t>
      </w:r>
      <w:r w:rsidR="00CF520F" w:rsidRPr="00A04A8C">
        <w:t>D.DP36; OO6, OO9, OO11. SR331.</w:t>
      </w:r>
    </w:p>
  </w:footnote>
  <w:footnote w:id="42">
    <w:p w14:paraId="4508594D" w14:textId="7E773D51" w:rsidR="004E4AFC" w:rsidRDefault="004E4AFC">
      <w:pPr>
        <w:pStyle w:val="FootnoteText"/>
      </w:pPr>
      <w:r w:rsidRPr="00CF520F">
        <w:rPr>
          <w:rStyle w:val="FootnoteReference"/>
        </w:rPr>
        <w:footnoteRef/>
      </w:r>
      <w:r w:rsidRPr="00CF520F">
        <w:t xml:space="preserve"> </w:t>
      </w:r>
      <w:r w:rsidR="00CF520F">
        <w:t>As footnote above.</w:t>
      </w:r>
    </w:p>
  </w:footnote>
  <w:footnote w:id="43">
    <w:p w14:paraId="1917AC95" w14:textId="40792DB3" w:rsidR="009A7286" w:rsidRPr="00DB579C" w:rsidRDefault="009A7286">
      <w:pPr>
        <w:pStyle w:val="FootnoteText"/>
      </w:pPr>
      <w:r w:rsidRPr="00DB579C">
        <w:rPr>
          <w:rStyle w:val="FootnoteReference"/>
        </w:rPr>
        <w:footnoteRef/>
      </w:r>
      <w:r w:rsidRPr="00DB579C">
        <w:t xml:space="preserve"> Better </w:t>
      </w:r>
      <w:r w:rsidRPr="00DB579C">
        <w:t>ConNEcted (</w:t>
      </w:r>
      <w:r w:rsidR="00C4358E" w:rsidRPr="00DB579C">
        <w:t xml:space="preserve">n.d.) </w:t>
      </w:r>
      <w:r w:rsidR="00C4358E" w:rsidRPr="00DB579C">
        <w:rPr>
          <w:i/>
          <w:iCs/>
        </w:rPr>
        <w:t>Local Authority Briefing on Digital Exclusion</w:t>
      </w:r>
      <w:r w:rsidR="00C4358E" w:rsidRPr="00DB579C">
        <w:t xml:space="preserve">. [online]. Available at: </w:t>
      </w:r>
      <w:hyperlink r:id="rId18" w:history="1">
        <w:r w:rsidR="00C4358E" w:rsidRPr="00DB579C">
          <w:rPr>
            <w:rStyle w:val="Hyperlink"/>
          </w:rPr>
          <w:t>https://4a76708f-a1a4-410f-b467-4623329c3481.filesusr.com/ugd/a73b2d_6a663a8699d24e0898e890798c1275a2.pdf</w:t>
        </w:r>
      </w:hyperlink>
      <w:r w:rsidR="00C4358E" w:rsidRPr="00DB579C">
        <w:t xml:space="preserve"> Accessed on: </w:t>
      </w:r>
      <w:r w:rsidR="00CF520F">
        <w:t>15.03.22</w:t>
      </w:r>
    </w:p>
  </w:footnote>
  <w:footnote w:id="44">
    <w:p w14:paraId="41566991" w14:textId="77FD5B9B" w:rsidR="003C4231" w:rsidRDefault="003C4231">
      <w:pPr>
        <w:pStyle w:val="FootnoteText"/>
      </w:pPr>
      <w:r w:rsidRPr="00CF520F">
        <w:rPr>
          <w:rStyle w:val="FootnoteReference"/>
        </w:rPr>
        <w:footnoteRef/>
      </w:r>
      <w:r w:rsidRPr="00CF520F">
        <w:t xml:space="preserve"> </w:t>
      </w:r>
      <w:r w:rsidR="00CF520F" w:rsidRPr="00CF520F">
        <w:t>DDPO43</w:t>
      </w:r>
    </w:p>
  </w:footnote>
  <w:footnote w:id="45">
    <w:p w14:paraId="237DBDD2" w14:textId="4FFB856D" w:rsidR="004E4AFC" w:rsidRPr="00DB579C" w:rsidRDefault="004E4AFC" w:rsidP="00DB579C">
      <w:pPr>
        <w:pStyle w:val="FootnoteText"/>
        <w:rPr>
          <w:highlight w:val="magenta"/>
        </w:rPr>
      </w:pPr>
      <w:r w:rsidRPr="00DB579C">
        <w:rPr>
          <w:rStyle w:val="FootnoteReference"/>
        </w:rPr>
        <w:footnoteRef/>
      </w:r>
      <w:r w:rsidRPr="00DB579C">
        <w:t xml:space="preserve"> </w:t>
      </w:r>
      <w:r w:rsidR="00DB579C" w:rsidRPr="00DB579C">
        <w:t xml:space="preserve">Edmiston, D., </w:t>
      </w:r>
      <w:r w:rsidR="00DB579C" w:rsidRPr="00DB579C">
        <w:t xml:space="preserve">Baumberg Geiger, B., de Vries, R., Scullion, L., Summers, K., Ingold, J., Robertshaw, D., Gibbons, A., and Karagiannaki, E. (2020). </w:t>
      </w:r>
      <w:r w:rsidR="00DB579C" w:rsidRPr="00DB579C">
        <w:rPr>
          <w:i/>
          <w:iCs/>
        </w:rPr>
        <w:t xml:space="preserve">Who are the new COVID-19 cohort of benefit claimants? </w:t>
      </w:r>
      <w:r w:rsidR="00DB579C" w:rsidRPr="00DB579C">
        <w:t>Rapid Report</w:t>
      </w:r>
      <w:r w:rsidR="00DB579C">
        <w:t xml:space="preserve"> 2, Welfare – at a Social Distance, [online] September, p.2. Available at: </w:t>
      </w:r>
      <w:hyperlink r:id="rId19" w:history="1">
        <w:r w:rsidR="00DB579C" w:rsidRPr="00054B02">
          <w:rPr>
            <w:rStyle w:val="Hyperlink"/>
          </w:rPr>
          <w:t>https://hub.salford.ac.uk/welfare-at-a-social-distance/wp-content/uploads/sites/120/2020/09/WaSD-Rapid-Report-2-New-COVID-19-claimants.pdf</w:t>
        </w:r>
      </w:hyperlink>
      <w:r w:rsidR="00DB579C">
        <w:t xml:space="preserve"> Accessed on: </w:t>
      </w:r>
      <w:r w:rsidR="00CF520F">
        <w:t>15.03.22</w:t>
      </w:r>
    </w:p>
  </w:footnote>
  <w:footnote w:id="46">
    <w:p w14:paraId="3BC4CC09" w14:textId="77777777" w:rsidR="00DC1778" w:rsidRPr="00DC1778" w:rsidRDefault="004E4AFC">
      <w:pPr>
        <w:pStyle w:val="FootnoteText"/>
      </w:pPr>
      <w:r w:rsidRPr="00DC1778">
        <w:rPr>
          <w:rStyle w:val="FootnoteReference"/>
        </w:rPr>
        <w:footnoteRef/>
      </w:r>
      <w:r w:rsidRPr="00DC1778">
        <w:t xml:space="preserve"> </w:t>
      </w:r>
      <w:r w:rsidR="00DC1778" w:rsidRPr="00DC1778">
        <w:t xml:space="preserve">See lack of direct answer to Written Parliamentary Question on this subject. </w:t>
      </w:r>
    </w:p>
    <w:p w14:paraId="6A441A0D" w14:textId="51C8B868" w:rsidR="004E4AFC" w:rsidRPr="00DC1778" w:rsidRDefault="00DC1778">
      <w:pPr>
        <w:pStyle w:val="FootnoteText"/>
      </w:pPr>
      <w:r w:rsidRPr="00DC1778">
        <w:t xml:space="preserve">Cordova, M. (2018). Universal Credit: Disability. </w:t>
      </w:r>
      <w:r w:rsidRPr="00DC1778">
        <w:rPr>
          <w:i/>
          <w:iCs/>
        </w:rPr>
        <w:t>UK Parliament: Written Question</w:t>
      </w:r>
      <w:r w:rsidRPr="00DC1778">
        <w:t>, 3 September, UIN 169883</w:t>
      </w:r>
      <w:r>
        <w:t xml:space="preserve">. Available at: </w:t>
      </w:r>
      <w:hyperlink r:id="rId20" w:history="1">
        <w:r w:rsidRPr="00054B02">
          <w:rPr>
            <w:rStyle w:val="Hyperlink"/>
          </w:rPr>
          <w:t>https://questions-statements.parliament.uk/written-questions/detail/2018-09-03/169883/</w:t>
        </w:r>
      </w:hyperlink>
      <w:r>
        <w:t xml:space="preserve"> Accessed on</w:t>
      </w:r>
      <w:r w:rsidR="00CF520F">
        <w:t>: 15.03.22</w:t>
      </w:r>
    </w:p>
  </w:footnote>
  <w:footnote w:id="47">
    <w:p w14:paraId="6F0B2B5F" w14:textId="5CE1BF3B" w:rsidR="00347AB5" w:rsidRPr="00662F3B" w:rsidRDefault="00347AB5">
      <w:pPr>
        <w:pStyle w:val="FootnoteText"/>
      </w:pPr>
      <w:r>
        <w:rPr>
          <w:rStyle w:val="FootnoteReference"/>
        </w:rPr>
        <w:footnoteRef/>
      </w:r>
      <w:r>
        <w:t xml:space="preserve"> </w:t>
      </w:r>
      <w:r w:rsidRPr="00DB579C">
        <w:t xml:space="preserve">Alston, P. (2018). </w:t>
      </w:r>
      <w:r w:rsidRPr="00DB579C">
        <w:rPr>
          <w:i/>
          <w:iCs/>
        </w:rPr>
        <w:t>Statement on Visit to the United Kingdom</w:t>
      </w:r>
      <w:r w:rsidRPr="00DB579C">
        <w:t xml:space="preserve">. [online]. Available at: </w:t>
      </w:r>
      <w:hyperlink r:id="rId21" w:history="1">
        <w:r w:rsidRPr="00DB579C">
          <w:rPr>
            <w:rStyle w:val="Hyperlink"/>
          </w:rPr>
          <w:t>https://www.ohchr.org/Documents/Issues/Poverty/EOM_GB_16Nov2018.pdf</w:t>
        </w:r>
      </w:hyperlink>
      <w:r>
        <w:t xml:space="preserve"> Accessed </w:t>
      </w:r>
      <w:r w:rsidRPr="00662F3B">
        <w:t xml:space="preserve">on: </w:t>
      </w:r>
      <w:r w:rsidR="00CF520F" w:rsidRPr="00662F3B">
        <w:t>15.03.22</w:t>
      </w:r>
    </w:p>
  </w:footnote>
  <w:footnote w:id="48">
    <w:p w14:paraId="682141D2" w14:textId="4EDE17E9" w:rsidR="00826F6F" w:rsidRDefault="00826F6F">
      <w:pPr>
        <w:pStyle w:val="FootnoteText"/>
      </w:pPr>
      <w:r w:rsidRPr="00662F3B">
        <w:rPr>
          <w:rStyle w:val="FootnoteReference"/>
        </w:rPr>
        <w:footnoteRef/>
      </w:r>
      <w:r w:rsidRPr="00662F3B">
        <w:t xml:space="preserve"> </w:t>
      </w:r>
      <w:r w:rsidR="00662F3B">
        <w:t>p.</w:t>
      </w:r>
      <w:fldSimple w:instr=" PAGEREF Appendix7 ">
        <w:r w:rsidR="00662F3B">
          <w:rPr>
            <w:noProof/>
          </w:rPr>
          <w:t>137</w:t>
        </w:r>
      </w:fldSimple>
    </w:p>
  </w:footnote>
  <w:footnote w:id="49">
    <w:p w14:paraId="013341B8" w14:textId="24AF0101" w:rsidR="00705393" w:rsidRDefault="00705393">
      <w:pPr>
        <w:pStyle w:val="FootnoteText"/>
      </w:pPr>
      <w:r w:rsidRPr="00662F3B">
        <w:rPr>
          <w:rStyle w:val="FootnoteReference"/>
        </w:rPr>
        <w:footnoteRef/>
      </w:r>
      <w:r w:rsidRPr="00662F3B">
        <w:t xml:space="preserve"> </w:t>
      </w:r>
      <w:r w:rsidR="00CF520F" w:rsidRPr="00662F3B">
        <w:t>FG6</w:t>
      </w:r>
      <w:r w:rsidR="00CF520F" w:rsidRPr="00747A55">
        <w:t xml:space="preserve">. See Annex </w:t>
      </w:r>
      <w:r w:rsidR="00CF520F">
        <w:t>A</w:t>
      </w:r>
      <w:r w:rsidR="00CF520F" w:rsidRPr="00747A55">
        <w:t xml:space="preserve">, </w:t>
      </w:r>
      <w:r w:rsidR="00CF520F" w:rsidRPr="00662F3B">
        <w:t>p.</w:t>
      </w:r>
      <w:fldSimple w:instr=" PAGEREF AnnexA ">
        <w:r w:rsidR="00662F3B" w:rsidRPr="00662F3B">
          <w:rPr>
            <w:noProof/>
          </w:rPr>
          <w:t>147</w:t>
        </w:r>
      </w:fldSimple>
    </w:p>
  </w:footnote>
  <w:footnote w:id="50">
    <w:p w14:paraId="0F6303A2" w14:textId="1F5185E4" w:rsidR="00D83EA7" w:rsidRPr="00CF520F" w:rsidRDefault="00D83EA7">
      <w:pPr>
        <w:pStyle w:val="FootnoteText"/>
      </w:pPr>
      <w:r w:rsidRPr="00CF520F">
        <w:rPr>
          <w:rStyle w:val="FootnoteReference"/>
        </w:rPr>
        <w:footnoteRef/>
      </w:r>
      <w:r w:rsidRPr="00CF520F">
        <w:t xml:space="preserve"> </w:t>
      </w:r>
      <w:r w:rsidR="00CA6A29" w:rsidRPr="002B269E">
        <w:t>West, E. (2018). Why is there a shortage of Sign interpreters?</w:t>
      </w:r>
      <w:r w:rsidR="00CA6A29">
        <w:t xml:space="preserve"> </w:t>
      </w:r>
      <w:r w:rsidR="00CA6A29">
        <w:rPr>
          <w:i/>
          <w:iCs/>
        </w:rPr>
        <w:t>British Deaf News</w:t>
      </w:r>
      <w:r w:rsidR="00CA6A29">
        <w:t xml:space="preserve">, [online] 7 August. Available at: </w:t>
      </w:r>
      <w:hyperlink r:id="rId22" w:anchor=":~:text=A%20spokesman%20for%20SignHealth%20confirmed,forced%20down%20by%20government%20policy.Accessed" w:history="1">
        <w:r w:rsidR="00CA6A29" w:rsidRPr="009918C0">
          <w:rPr>
            <w:rStyle w:val="Hyperlink"/>
          </w:rPr>
          <w:t>https://www.britishdeafnews.co.uk/why-is-there-a-shortage-of-sign-interpreters/#:~:text=A%20spokesman%20for%20SignHealth%20confirmed,forced%20down%20by%20government%20policy.Accessed</w:t>
        </w:r>
      </w:hyperlink>
      <w:r w:rsidR="00CA6A29">
        <w:t xml:space="preserve"> on: 15.03.22</w:t>
      </w:r>
    </w:p>
  </w:footnote>
  <w:footnote w:id="51">
    <w:p w14:paraId="09F87C47" w14:textId="7608EAA9" w:rsidR="00CA6A29" w:rsidRDefault="00CA6A29">
      <w:pPr>
        <w:pStyle w:val="FootnoteText"/>
      </w:pPr>
      <w:r>
        <w:rPr>
          <w:rStyle w:val="FootnoteReference"/>
        </w:rPr>
        <w:footnoteRef/>
      </w:r>
      <w:r>
        <w:t xml:space="preserve"> </w:t>
      </w:r>
      <w:r w:rsidRPr="007E69CD">
        <w:t>OO7; OO11</w:t>
      </w:r>
    </w:p>
  </w:footnote>
  <w:footnote w:id="52">
    <w:p w14:paraId="64B62045" w14:textId="6B95AFCF" w:rsidR="0018316B" w:rsidRPr="00CF520F" w:rsidRDefault="0018316B">
      <w:pPr>
        <w:pStyle w:val="FootnoteText"/>
      </w:pPr>
      <w:r w:rsidRPr="00CF520F">
        <w:rPr>
          <w:rStyle w:val="FootnoteReference"/>
        </w:rPr>
        <w:footnoteRef/>
      </w:r>
      <w:r w:rsidRPr="00CF520F">
        <w:t xml:space="preserve"> </w:t>
      </w:r>
      <w:r w:rsidR="00CF520F" w:rsidRPr="00CF520F">
        <w:t xml:space="preserve">D.DP34, </w:t>
      </w:r>
      <w:r w:rsidR="00CF520F" w:rsidRPr="00CF520F">
        <w:t>D.DP35.</w:t>
      </w:r>
    </w:p>
  </w:footnote>
  <w:footnote w:id="53">
    <w:p w14:paraId="26B670F4" w14:textId="6339AEFC" w:rsidR="00F50FCD" w:rsidRDefault="00F50FCD">
      <w:pPr>
        <w:pStyle w:val="FootnoteText"/>
      </w:pPr>
      <w:r w:rsidRPr="00CF520F">
        <w:rPr>
          <w:rStyle w:val="FootnoteReference"/>
        </w:rPr>
        <w:footnoteRef/>
      </w:r>
      <w:r w:rsidRPr="00CF520F">
        <w:t xml:space="preserve"> </w:t>
      </w:r>
      <w:r w:rsidR="00CF520F" w:rsidRPr="00CF520F">
        <w:t xml:space="preserve">CBCE6, CBCE7, CBCE9, CBCE14, CBCE18, CBCE27, CBCE28, CBCE31, CBCE33; DDPO32, DDPO36, DDPO43; D.DP2, </w:t>
      </w:r>
      <w:r w:rsidR="00CF520F" w:rsidRPr="00CF520F">
        <w:t>D.DP14, D.DP28, D.DP31, D.DP35; OO9, FG1, FG4. SR35, SR36</w:t>
      </w:r>
      <w:r w:rsidR="00CF520F" w:rsidRPr="00B04C57">
        <w:t>, SR40, SR80, SR134, SR159, SR176</w:t>
      </w:r>
      <w:r w:rsidR="00CF520F">
        <w:t>, SR239, SR274, SR279, SR284, SR314, SR315, SR323, SR329.</w:t>
      </w:r>
    </w:p>
  </w:footnote>
  <w:footnote w:id="54">
    <w:p w14:paraId="1C3DAA8A" w14:textId="4BB1DD35" w:rsidR="00E215D0" w:rsidRPr="00327ABF" w:rsidRDefault="00E215D0">
      <w:pPr>
        <w:pStyle w:val="FootnoteText"/>
        <w:rPr>
          <w:highlight w:val="yellow"/>
        </w:rPr>
      </w:pPr>
      <w:r w:rsidRPr="00197DCB">
        <w:rPr>
          <w:rStyle w:val="FootnoteReference"/>
        </w:rPr>
        <w:footnoteRef/>
      </w:r>
      <w:r w:rsidRPr="00197DCB">
        <w:t xml:space="preserve"> </w:t>
      </w:r>
      <w:r w:rsidR="00197DCB" w:rsidRPr="00197DCB">
        <w:t>House of Lords Liaison Committee (2021)</w:t>
      </w:r>
      <w:r w:rsidR="00D65ECB">
        <w:t>.</w:t>
      </w:r>
      <w:r w:rsidR="00197DCB" w:rsidRPr="00197DCB">
        <w:t xml:space="preserve"> </w:t>
      </w:r>
      <w:r w:rsidR="00197DCB" w:rsidRPr="00D65ECB">
        <w:rPr>
          <w:i/>
          <w:iCs/>
        </w:rPr>
        <w:t>The Equality Act 2010: the impact on disabled people Follow-up report</w:t>
      </w:r>
      <w:r w:rsidR="00197DCB" w:rsidRPr="00197DCB">
        <w:t>.</w:t>
      </w:r>
      <w:r w:rsidR="00D65ECB">
        <w:t xml:space="preserve"> [press release], 9 September. </w:t>
      </w:r>
      <w:r w:rsidR="00197DCB" w:rsidRPr="00197DCB">
        <w:t xml:space="preserve">Available at: </w:t>
      </w:r>
      <w:hyperlink r:id="rId23" w:history="1">
        <w:r w:rsidR="00197DCB" w:rsidRPr="00CF520F">
          <w:rPr>
            <w:rStyle w:val="Hyperlink"/>
          </w:rPr>
          <w:t>https://committees.parliament.uk/committee/187/liaison-committee-lords/news/157367/key-provisions-in-equality-act-2010-not-implemented/</w:t>
        </w:r>
      </w:hyperlink>
      <w:r w:rsidR="00197DCB" w:rsidRPr="00197DCB">
        <w:t xml:space="preserve"> Accessed</w:t>
      </w:r>
      <w:r w:rsidR="00D65ECB">
        <w:t xml:space="preserve"> on: </w:t>
      </w:r>
      <w:r w:rsidR="00CF520F" w:rsidRPr="00B949D0">
        <w:t>15.03.22</w:t>
      </w:r>
    </w:p>
  </w:footnote>
  <w:footnote w:id="55">
    <w:p w14:paraId="77D98B45" w14:textId="5DB30725" w:rsidR="003277CB" w:rsidRPr="00CF520F" w:rsidRDefault="003277CB" w:rsidP="003277CB">
      <w:pPr>
        <w:pStyle w:val="FootnoteText"/>
      </w:pPr>
      <w:r w:rsidRPr="00CF520F">
        <w:rPr>
          <w:rStyle w:val="FootnoteReference"/>
        </w:rPr>
        <w:footnoteRef/>
      </w:r>
      <w:r w:rsidRPr="00CF520F">
        <w:t xml:space="preserve"> </w:t>
      </w:r>
      <w:r w:rsidR="00CF520F" w:rsidRPr="00CF520F">
        <w:t>DDPO32</w:t>
      </w:r>
    </w:p>
  </w:footnote>
  <w:footnote w:id="56">
    <w:p w14:paraId="6FC0BFCA" w14:textId="19A4A886" w:rsidR="003277CB" w:rsidRDefault="003277CB" w:rsidP="003277CB">
      <w:pPr>
        <w:pStyle w:val="FootnoteText"/>
      </w:pPr>
      <w:r w:rsidRPr="00CF520F">
        <w:rPr>
          <w:rStyle w:val="FootnoteReference"/>
        </w:rPr>
        <w:footnoteRef/>
      </w:r>
      <w:r w:rsidRPr="00CF520F">
        <w:t xml:space="preserve"> </w:t>
      </w:r>
      <w:r w:rsidR="00CF520F" w:rsidRPr="00CF520F">
        <w:t>As footnote</w:t>
      </w:r>
      <w:r w:rsidR="00CF520F" w:rsidRPr="00B949D0">
        <w:t xml:space="preserve"> above</w:t>
      </w:r>
    </w:p>
  </w:footnote>
  <w:footnote w:id="57">
    <w:p w14:paraId="0BED0CDB" w14:textId="64E7B2F5" w:rsidR="00653314" w:rsidRPr="00653314" w:rsidRDefault="00653314">
      <w:pPr>
        <w:pStyle w:val="FootnoteText"/>
      </w:pPr>
      <w:r>
        <w:rPr>
          <w:rStyle w:val="FootnoteReference"/>
        </w:rPr>
        <w:footnoteRef/>
      </w:r>
      <w:r>
        <w:t xml:space="preserve"> </w:t>
      </w:r>
      <w:r>
        <w:t xml:space="preserve">Pring, J. (2021). </w:t>
      </w:r>
      <w:r w:rsidRPr="00653314">
        <w:t>Regulator probes train ramp safety failings at rail operators across Britain</w:t>
      </w:r>
      <w:r>
        <w:t xml:space="preserve">. </w:t>
      </w:r>
      <w:r>
        <w:rPr>
          <w:i/>
          <w:iCs/>
        </w:rPr>
        <w:t>Disability News Service</w:t>
      </w:r>
      <w:r>
        <w:t xml:space="preserve">, 16 December. Available at: </w:t>
      </w:r>
      <w:hyperlink r:id="rId24" w:history="1">
        <w:r w:rsidR="00D65ECB" w:rsidRPr="00002AC9">
          <w:rPr>
            <w:rStyle w:val="Hyperlink"/>
          </w:rPr>
          <w:t>https://www.disabilitynewsservice.com/regulator-probes-train-ramp-safety-failings-at-rail-operators-across-britain/</w:t>
        </w:r>
      </w:hyperlink>
      <w:r w:rsidR="00D65ECB">
        <w:t xml:space="preserve"> Accessed on: </w:t>
      </w:r>
      <w:r w:rsidR="00CF520F" w:rsidRPr="00B949D0">
        <w:t>15.03.22</w:t>
      </w:r>
    </w:p>
  </w:footnote>
  <w:footnote w:id="58">
    <w:p w14:paraId="365D09A6" w14:textId="39624B1F" w:rsidR="00653314" w:rsidRPr="00653314" w:rsidRDefault="00653314" w:rsidP="0089028A">
      <w:pPr>
        <w:pStyle w:val="FootnoteText"/>
      </w:pPr>
      <w:r>
        <w:rPr>
          <w:rStyle w:val="FootnoteReference"/>
        </w:rPr>
        <w:footnoteRef/>
      </w:r>
      <w:r>
        <w:t xml:space="preserve"> </w:t>
      </w:r>
      <w:r w:rsidRPr="00653314">
        <w:t>Steen,</w:t>
      </w:r>
      <w:r>
        <w:t xml:space="preserve"> B.,</w:t>
      </w:r>
      <w:r w:rsidRPr="00653314">
        <w:t xml:space="preserve"> McCarthy,</w:t>
      </w:r>
      <w:r>
        <w:t xml:space="preserve"> H.,</w:t>
      </w:r>
      <w:r w:rsidRPr="00653314">
        <w:t xml:space="preserve"> </w:t>
      </w:r>
      <w:r w:rsidRPr="00653314">
        <w:t>Mhonda,</w:t>
      </w:r>
      <w:r>
        <w:t xml:space="preserve"> J.,</w:t>
      </w:r>
      <w:r w:rsidRPr="00653314">
        <w:t xml:space="preserve"> Lucey,</w:t>
      </w:r>
      <w:r>
        <w:t xml:space="preserve"> G.,</w:t>
      </w:r>
      <w:r w:rsidRPr="00653314">
        <w:t xml:space="preserve"> Vey,</w:t>
      </w:r>
      <w:r>
        <w:t xml:space="preserve"> J.,</w:t>
      </w:r>
      <w:r w:rsidRPr="00653314">
        <w:t xml:space="preserve"> Ilic</w:t>
      </w:r>
      <w:r>
        <w:t>, N. (2021</w:t>
      </w:r>
      <w:r w:rsidRPr="0089028A">
        <w:t xml:space="preserve">). </w:t>
      </w:r>
      <w:r w:rsidR="0089028A" w:rsidRPr="0089028A">
        <w:t>Inclusive Transport Strategy Evaluation: Baseline Report</w:t>
      </w:r>
      <w:r w:rsidR="0089028A">
        <w:t xml:space="preserve">. Department for Transport, [online]. Available at: </w:t>
      </w:r>
      <w:hyperlink r:id="rId25" w:history="1">
        <w:r w:rsidR="00D65ECB" w:rsidRPr="00002AC9">
          <w:rPr>
            <w:rStyle w:val="Hyperlink"/>
          </w:rPr>
          <w:t>https://assets.publishing.service.gov.uk/government/uploads/system/uploads/attachment_data/file/1042358/inclusive-transport-strategy-evaluation-baseline-report.odt</w:t>
        </w:r>
      </w:hyperlink>
      <w:r w:rsidR="00D65ECB">
        <w:t xml:space="preserve"> Accessed on: </w:t>
      </w:r>
      <w:r w:rsidR="00785F1B" w:rsidRPr="00B949D0">
        <w:t>15.03.22</w:t>
      </w:r>
    </w:p>
  </w:footnote>
  <w:footnote w:id="59">
    <w:p w14:paraId="6CB3CEFB" w14:textId="3F51D5FA" w:rsidR="00AE6D74" w:rsidRDefault="00AE6D74">
      <w:pPr>
        <w:pStyle w:val="FootnoteText"/>
      </w:pPr>
      <w:r>
        <w:rPr>
          <w:rStyle w:val="FootnoteReference"/>
        </w:rPr>
        <w:footnoteRef/>
      </w:r>
      <w:r>
        <w:t xml:space="preserve"> </w:t>
      </w:r>
      <w:r w:rsidRPr="00AE6D74">
        <w:t>DDDPO43</w:t>
      </w:r>
    </w:p>
  </w:footnote>
  <w:footnote w:id="60">
    <w:p w14:paraId="4316BFC1" w14:textId="360F8B70" w:rsidR="00CA6A29" w:rsidRDefault="00CA6A29">
      <w:pPr>
        <w:pStyle w:val="FootnoteText"/>
      </w:pPr>
      <w:r>
        <w:rPr>
          <w:rStyle w:val="FootnoteReference"/>
        </w:rPr>
        <w:footnoteRef/>
      </w:r>
      <w:r>
        <w:t xml:space="preserve"> CBCE18</w:t>
      </w:r>
    </w:p>
  </w:footnote>
  <w:footnote w:id="61">
    <w:p w14:paraId="1961AA53" w14:textId="33236588" w:rsidR="007C1E44" w:rsidRDefault="007C1E44">
      <w:pPr>
        <w:pStyle w:val="FootnoteText"/>
      </w:pPr>
      <w:r>
        <w:rPr>
          <w:rStyle w:val="FootnoteReference"/>
        </w:rPr>
        <w:footnoteRef/>
      </w:r>
      <w:r>
        <w:t xml:space="preserve"> </w:t>
      </w:r>
      <w:r w:rsidRPr="008F4330">
        <w:rPr>
          <w:i/>
          <w:iCs/>
        </w:rPr>
        <w:t xml:space="preserve">FirstGroup Plc (Respondent) v </w:t>
      </w:r>
      <w:r w:rsidRPr="008F4330">
        <w:rPr>
          <w:i/>
          <w:iCs/>
        </w:rPr>
        <w:t>Paulley (Appellant)</w:t>
      </w:r>
      <w:r>
        <w:t xml:space="preserve"> </w:t>
      </w:r>
      <w:r w:rsidRPr="007C1E44">
        <w:t>[2017] UKSC 4</w:t>
      </w:r>
      <w:r>
        <w:t xml:space="preserve">. Available at: </w:t>
      </w:r>
      <w:hyperlink r:id="rId26" w:history="1">
        <w:r w:rsidR="00785F1B" w:rsidRPr="00A97FBA">
          <w:rPr>
            <w:rStyle w:val="Hyperlink"/>
          </w:rPr>
          <w:t>https://www.supremecourt.uk/cases/docs/uksc-2015-0025-judgment.pdf</w:t>
        </w:r>
      </w:hyperlink>
      <w:r w:rsidR="00785F1B">
        <w:t xml:space="preserve">. </w:t>
      </w:r>
      <w:r>
        <w:t xml:space="preserve">Accessed on: </w:t>
      </w:r>
      <w:r w:rsidR="00CA6A29" w:rsidRPr="00D04362">
        <w:t>15.03.22</w:t>
      </w:r>
    </w:p>
  </w:footnote>
  <w:footnote w:id="62">
    <w:p w14:paraId="60E6280D" w14:textId="5CD81EAE" w:rsidR="007C1E44" w:rsidRPr="007C1E44" w:rsidRDefault="007C1E44">
      <w:pPr>
        <w:pStyle w:val="FootnoteText"/>
        <w:rPr>
          <w:highlight w:val="yellow"/>
        </w:rPr>
      </w:pPr>
      <w:r>
        <w:rPr>
          <w:rStyle w:val="FootnoteReference"/>
        </w:rPr>
        <w:footnoteRef/>
      </w:r>
      <w:r>
        <w:t xml:space="preserve"> </w:t>
      </w:r>
      <w:r w:rsidR="00785F1B" w:rsidRPr="00D04362">
        <w:t>CBCE6, CBCE18</w:t>
      </w:r>
    </w:p>
  </w:footnote>
  <w:footnote w:id="63">
    <w:p w14:paraId="15524C37" w14:textId="0819E394" w:rsidR="007C1E44" w:rsidRPr="00785F1B" w:rsidRDefault="007C1E44">
      <w:pPr>
        <w:pStyle w:val="FootnoteText"/>
      </w:pPr>
      <w:r w:rsidRPr="00785F1B">
        <w:rPr>
          <w:rStyle w:val="FootnoteReference"/>
        </w:rPr>
        <w:footnoteRef/>
      </w:r>
      <w:r w:rsidRPr="00785F1B">
        <w:t xml:space="preserve"> </w:t>
      </w:r>
      <w:r w:rsidR="00785F1B" w:rsidRPr="00785F1B">
        <w:t>CBCE18</w:t>
      </w:r>
    </w:p>
  </w:footnote>
  <w:footnote w:id="64">
    <w:p w14:paraId="55D22DFE" w14:textId="73B452C5" w:rsidR="007C1E44" w:rsidRPr="00785F1B" w:rsidRDefault="007C1E44">
      <w:pPr>
        <w:pStyle w:val="FootnoteText"/>
      </w:pPr>
      <w:r w:rsidRPr="00785F1B">
        <w:rPr>
          <w:rStyle w:val="FootnoteReference"/>
        </w:rPr>
        <w:footnoteRef/>
      </w:r>
      <w:r w:rsidRPr="00785F1B">
        <w:t xml:space="preserve"> </w:t>
      </w:r>
      <w:r w:rsidR="00785F1B" w:rsidRPr="00785F1B">
        <w:t>CBCE18</w:t>
      </w:r>
    </w:p>
  </w:footnote>
  <w:footnote w:id="65">
    <w:p w14:paraId="2FB74F49" w14:textId="21942319" w:rsidR="007C1E44" w:rsidRDefault="007C1E44">
      <w:pPr>
        <w:pStyle w:val="FootnoteText"/>
      </w:pPr>
      <w:r w:rsidRPr="00785F1B">
        <w:rPr>
          <w:rStyle w:val="FootnoteReference"/>
        </w:rPr>
        <w:footnoteRef/>
      </w:r>
      <w:r w:rsidRPr="00785F1B">
        <w:t xml:space="preserve"> </w:t>
      </w:r>
      <w:r w:rsidR="00785F1B" w:rsidRPr="00785F1B">
        <w:t>D.DP28</w:t>
      </w:r>
    </w:p>
  </w:footnote>
  <w:footnote w:id="66">
    <w:p w14:paraId="5CD4A66B" w14:textId="58BF1DB2" w:rsidR="00B02A1E" w:rsidRPr="00B02A1E" w:rsidRDefault="00B02A1E">
      <w:pPr>
        <w:pStyle w:val="FootnoteText"/>
      </w:pPr>
      <w:r>
        <w:rPr>
          <w:rStyle w:val="FootnoteReference"/>
        </w:rPr>
        <w:footnoteRef/>
      </w:r>
      <w:r>
        <w:t xml:space="preserve"> Society for Companion Animal Studies (2022). </w:t>
      </w:r>
      <w:r w:rsidRPr="00B02A1E">
        <w:t>Emotional Support Animals (ESAs) in the UK</w:t>
      </w:r>
      <w:r>
        <w:t xml:space="preserve">. </w:t>
      </w:r>
      <w:r>
        <w:rPr>
          <w:i/>
          <w:iCs/>
        </w:rPr>
        <w:t>scas.org.uk</w:t>
      </w:r>
      <w:r>
        <w:t xml:space="preserve">, [online] 19 January. Available at: </w:t>
      </w:r>
      <w:hyperlink r:id="rId27" w:anchor=":~:text=As%20it%20currently%20stands%2C%20Emotional,Animals%20do%20have%20additional%20rights" w:history="1">
        <w:r w:rsidR="000D2C4A" w:rsidRPr="00EB259E">
          <w:rPr>
            <w:rStyle w:val="Hyperlink"/>
          </w:rPr>
          <w:t>https://www.scas.org.uk/pets-and-mental-health/emotional-support-animals-esas-in-the-uk/#:~:text=As%20it%20currently%20stands%2C%20Emotional,Animals%20do%20have%20additional%20rights</w:t>
        </w:r>
      </w:hyperlink>
      <w:r w:rsidR="000D2C4A" w:rsidRPr="000D2C4A">
        <w:t>.</w:t>
      </w:r>
      <w:r w:rsidR="000D2C4A">
        <w:t xml:space="preserve"> Accessed on: </w:t>
      </w:r>
      <w:r w:rsidR="00785F1B" w:rsidRPr="00D04362">
        <w:t>15.03.22</w:t>
      </w:r>
    </w:p>
  </w:footnote>
  <w:footnote w:id="67">
    <w:p w14:paraId="24D25AC8" w14:textId="4A5D568C" w:rsidR="00B02A1E" w:rsidRDefault="00B02A1E">
      <w:pPr>
        <w:pStyle w:val="FootnoteText"/>
      </w:pPr>
      <w:r w:rsidRPr="00785F1B">
        <w:rPr>
          <w:rStyle w:val="FootnoteReference"/>
        </w:rPr>
        <w:footnoteRef/>
      </w:r>
      <w:r w:rsidRPr="00785F1B">
        <w:t xml:space="preserve"> </w:t>
      </w:r>
      <w:r w:rsidR="00785F1B" w:rsidRPr="00785F1B">
        <w:t>DDPO32</w:t>
      </w:r>
    </w:p>
  </w:footnote>
  <w:footnote w:id="68">
    <w:p w14:paraId="49F7A3B0" w14:textId="51BD1C72" w:rsidR="00F50FCD" w:rsidRPr="00327ABF" w:rsidRDefault="00F50FCD" w:rsidP="00F50FCD">
      <w:pPr>
        <w:pStyle w:val="FootnoteText"/>
        <w:rPr>
          <w:highlight w:val="yellow"/>
        </w:rPr>
      </w:pPr>
      <w:r w:rsidRPr="00785F1B">
        <w:rPr>
          <w:rStyle w:val="FootnoteReference"/>
        </w:rPr>
        <w:footnoteRef/>
      </w:r>
      <w:r w:rsidRPr="00785F1B">
        <w:t xml:space="preserve"> </w:t>
      </w:r>
      <w:r w:rsidR="00785F1B" w:rsidRPr="00785F1B">
        <w:t>CBCE13</w:t>
      </w:r>
      <w:r w:rsidR="00785F1B" w:rsidRPr="00D04362">
        <w:t>, CBCE16, CBCE28, FG2, DDPO36</w:t>
      </w:r>
    </w:p>
  </w:footnote>
  <w:footnote w:id="69">
    <w:p w14:paraId="3C4F695C" w14:textId="17D25144" w:rsidR="00F50FCD" w:rsidRDefault="00F50FCD" w:rsidP="00F50FCD">
      <w:pPr>
        <w:pStyle w:val="FootnoteText"/>
      </w:pPr>
      <w:r>
        <w:rPr>
          <w:rStyle w:val="FootnoteReference"/>
        </w:rPr>
        <w:footnoteRef/>
      </w:r>
      <w:r>
        <w:t xml:space="preserve"> </w:t>
      </w:r>
      <w:r w:rsidR="00785F1B">
        <w:t>CBCE31, DDPO36</w:t>
      </w:r>
    </w:p>
  </w:footnote>
  <w:footnote w:id="70">
    <w:p w14:paraId="35700571" w14:textId="6036AAE2" w:rsidR="003C4231" w:rsidRDefault="003C4231">
      <w:pPr>
        <w:pStyle w:val="FootnoteText"/>
      </w:pPr>
      <w:r w:rsidRPr="00785F1B">
        <w:rPr>
          <w:rStyle w:val="FootnoteReference"/>
        </w:rPr>
        <w:footnoteRef/>
      </w:r>
      <w:r w:rsidRPr="00785F1B">
        <w:t xml:space="preserve"> </w:t>
      </w:r>
      <w:r w:rsidR="00785F1B" w:rsidRPr="00785F1B">
        <w:t xml:space="preserve">CBCE11, CBCE27; DDPO26; </w:t>
      </w:r>
      <w:r w:rsidR="00785F1B" w:rsidRPr="00785F1B">
        <w:t>D.DP25; SR23, SR351</w:t>
      </w:r>
    </w:p>
  </w:footnote>
  <w:footnote w:id="71">
    <w:p w14:paraId="6AEA2301" w14:textId="77777777" w:rsidR="00C629F4" w:rsidRPr="006F10F9" w:rsidRDefault="00C629F4" w:rsidP="00C629F4">
      <w:pPr>
        <w:pStyle w:val="FootnoteText"/>
        <w:rPr>
          <w:highlight w:val="yellow"/>
        </w:rPr>
      </w:pPr>
      <w:r w:rsidRPr="00560B7A">
        <w:rPr>
          <w:rStyle w:val="FootnoteReference"/>
        </w:rPr>
        <w:footnoteRef/>
      </w:r>
      <w:r w:rsidRPr="00560B7A">
        <w:t xml:space="preserve"> FG1</w:t>
      </w:r>
    </w:p>
  </w:footnote>
  <w:footnote w:id="72">
    <w:p w14:paraId="14B2180D" w14:textId="1E0BBD13" w:rsidR="00321527" w:rsidRPr="00D85F6C" w:rsidRDefault="00321527" w:rsidP="00321527">
      <w:pPr>
        <w:pStyle w:val="FootnoteText"/>
      </w:pPr>
      <w:r w:rsidRPr="00D85F6C">
        <w:rPr>
          <w:rStyle w:val="FootnoteReference"/>
        </w:rPr>
        <w:footnoteRef/>
      </w:r>
      <w:r w:rsidRPr="00D85F6C">
        <w:t xml:space="preserve"> </w:t>
      </w:r>
      <w:r w:rsidR="00785F1B" w:rsidRPr="002B66A5">
        <w:t>CBCE10; SR346</w:t>
      </w:r>
    </w:p>
  </w:footnote>
  <w:footnote w:id="73">
    <w:p w14:paraId="334DCF55" w14:textId="058C9970" w:rsidR="00C629F4" w:rsidRPr="00D85F6C" w:rsidRDefault="00C629F4" w:rsidP="00C629F4">
      <w:pPr>
        <w:pStyle w:val="FootnoteText"/>
      </w:pPr>
      <w:r w:rsidRPr="002A4C8D">
        <w:rPr>
          <w:rStyle w:val="FootnoteReference"/>
        </w:rPr>
        <w:footnoteRef/>
      </w:r>
      <w:r w:rsidRPr="002A4C8D">
        <w:t xml:space="preserve"> </w:t>
      </w:r>
      <w:r w:rsidR="004D4DF8" w:rsidRPr="002B66A5">
        <w:t>D.DP13; SR195, SR329, SR331</w:t>
      </w:r>
    </w:p>
  </w:footnote>
  <w:footnote w:id="74">
    <w:p w14:paraId="5BFB9E3E" w14:textId="4384FFAF" w:rsidR="004D4DF8" w:rsidRDefault="004D4DF8">
      <w:pPr>
        <w:pStyle w:val="FootnoteText"/>
      </w:pPr>
      <w:r>
        <w:rPr>
          <w:rStyle w:val="FootnoteReference"/>
        </w:rPr>
        <w:footnoteRef/>
      </w:r>
      <w:r>
        <w:t xml:space="preserve"> </w:t>
      </w:r>
      <w:r w:rsidRPr="002B66A5">
        <w:t>SR183</w:t>
      </w:r>
    </w:p>
  </w:footnote>
  <w:footnote w:id="75">
    <w:p w14:paraId="4B17ADFE" w14:textId="77777777" w:rsidR="00C629F4" w:rsidRPr="00D85F6C" w:rsidRDefault="00C629F4" w:rsidP="00C629F4">
      <w:pPr>
        <w:pStyle w:val="FootnoteText"/>
      </w:pPr>
      <w:r w:rsidRPr="00D85F6C">
        <w:rPr>
          <w:rStyle w:val="FootnoteReference"/>
        </w:rPr>
        <w:footnoteRef/>
      </w:r>
      <w:r w:rsidRPr="00D85F6C">
        <w:t xml:space="preserve"> CBCE25</w:t>
      </w:r>
    </w:p>
  </w:footnote>
  <w:footnote w:id="76">
    <w:p w14:paraId="667AD95D" w14:textId="07466971" w:rsidR="00C629F4" w:rsidRPr="00D85F6C" w:rsidRDefault="00C629F4" w:rsidP="00C629F4">
      <w:pPr>
        <w:pStyle w:val="FootnoteText"/>
      </w:pPr>
      <w:r w:rsidRPr="00D85F6C">
        <w:rPr>
          <w:rStyle w:val="FootnoteReference"/>
        </w:rPr>
        <w:footnoteRef/>
      </w:r>
      <w:r w:rsidRPr="00D85F6C">
        <w:t xml:space="preserve"> </w:t>
      </w:r>
      <w:r w:rsidR="004D4DF8" w:rsidRPr="002B66A5">
        <w:t>DPPO15</w:t>
      </w:r>
    </w:p>
  </w:footnote>
  <w:footnote w:id="77">
    <w:p w14:paraId="75C5BF2E" w14:textId="1593A675" w:rsidR="005D11F8" w:rsidRDefault="005D11F8">
      <w:pPr>
        <w:pStyle w:val="FootnoteText"/>
      </w:pPr>
      <w:r w:rsidRPr="004D4DF8">
        <w:rPr>
          <w:rStyle w:val="FootnoteReference"/>
        </w:rPr>
        <w:footnoteRef/>
      </w:r>
      <w:r w:rsidRPr="004D4DF8">
        <w:t xml:space="preserve"> </w:t>
      </w:r>
      <w:r w:rsidR="004D4DF8" w:rsidRPr="004D4DF8">
        <w:t>DDPO15</w:t>
      </w:r>
    </w:p>
  </w:footnote>
  <w:footnote w:id="78">
    <w:p w14:paraId="0198012D" w14:textId="04BCB561" w:rsidR="00C629F4" w:rsidRDefault="00C629F4" w:rsidP="00C629F4">
      <w:pPr>
        <w:pStyle w:val="FootnoteText"/>
      </w:pPr>
      <w:r w:rsidRPr="00D85F6C">
        <w:rPr>
          <w:rStyle w:val="FootnoteReference"/>
        </w:rPr>
        <w:footnoteRef/>
      </w:r>
      <w:r w:rsidRPr="00D85F6C">
        <w:t xml:space="preserve"> </w:t>
      </w:r>
      <w:r w:rsidR="004D4DF8" w:rsidRPr="002B66A5">
        <w:t>FG1; DDPO15, DDPO36; SR74, SR331</w:t>
      </w:r>
    </w:p>
  </w:footnote>
  <w:footnote w:id="79">
    <w:p w14:paraId="07C90119" w14:textId="021D55FE" w:rsidR="00EA0839" w:rsidRDefault="00EA0839">
      <w:pPr>
        <w:pStyle w:val="FootnoteText"/>
      </w:pPr>
      <w:r>
        <w:rPr>
          <w:rStyle w:val="FootnoteReference"/>
        </w:rPr>
        <w:footnoteRef/>
      </w:r>
      <w:r>
        <w:t xml:space="preserve"> </w:t>
      </w:r>
      <w:r w:rsidR="004D4DF8" w:rsidRPr="002B66A5">
        <w:t>D.DP2</w:t>
      </w:r>
    </w:p>
  </w:footnote>
  <w:footnote w:id="80">
    <w:p w14:paraId="704B90C3" w14:textId="3804DB2A" w:rsidR="00EA0839" w:rsidRDefault="00EA0839">
      <w:pPr>
        <w:pStyle w:val="FootnoteText"/>
      </w:pPr>
      <w:r>
        <w:rPr>
          <w:rStyle w:val="FootnoteReference"/>
        </w:rPr>
        <w:footnoteRef/>
      </w:r>
      <w:r>
        <w:t xml:space="preserve"> Transport for All (2021). </w:t>
      </w:r>
      <w:r w:rsidRPr="00EA0839">
        <w:rPr>
          <w:i/>
          <w:iCs/>
        </w:rPr>
        <w:t>Success as Mayor of London agrees to “pause” installation of new Colourful Crossings</w:t>
      </w:r>
      <w:r>
        <w:t xml:space="preserve">. [press release] 3 November. Available at: </w:t>
      </w:r>
      <w:hyperlink r:id="rId28" w:history="1">
        <w:r w:rsidRPr="00A4243C">
          <w:rPr>
            <w:rStyle w:val="Hyperlink"/>
          </w:rPr>
          <w:t>https://www.transportforall.org.uk/news/success-as-mayor-of-london-agrees-to-pause-installation-of-new-colourful-crossings/</w:t>
        </w:r>
      </w:hyperlink>
      <w:r>
        <w:t xml:space="preserve"> Accessed on</w:t>
      </w:r>
      <w:r w:rsidR="004D4DF8">
        <w:t xml:space="preserve">: </w:t>
      </w:r>
      <w:r w:rsidR="004D4DF8" w:rsidRPr="00FA219D">
        <w:t>15.03.22</w:t>
      </w:r>
    </w:p>
  </w:footnote>
  <w:footnote w:id="81">
    <w:p w14:paraId="29B5AEDA" w14:textId="69B0F565" w:rsidR="00EA0839" w:rsidRDefault="00EA0839">
      <w:pPr>
        <w:pStyle w:val="FootnoteText"/>
      </w:pPr>
      <w:r>
        <w:rPr>
          <w:rStyle w:val="FootnoteReference"/>
        </w:rPr>
        <w:footnoteRef/>
      </w:r>
      <w:r>
        <w:t xml:space="preserve"> Pike, F. (2021). Letter to Pip Jackson of The Access Association, 4 October. Available at: </w:t>
      </w:r>
      <w:hyperlink r:id="rId29" w:history="1">
        <w:r w:rsidRPr="00A4243C">
          <w:rPr>
            <w:rStyle w:val="Hyperlink"/>
          </w:rPr>
          <w:t>https://accessassociation.co.uk/wp-content/uploads/2021/10/DFT-20211004.pdf</w:t>
        </w:r>
      </w:hyperlink>
      <w:r>
        <w:t xml:space="preserve"> Accessed on: </w:t>
      </w:r>
      <w:r w:rsidR="004D4DF8" w:rsidRPr="00FA219D">
        <w:t>15.03.22</w:t>
      </w:r>
    </w:p>
  </w:footnote>
  <w:footnote w:id="82">
    <w:p w14:paraId="334776D0" w14:textId="31FBCBAF" w:rsidR="00177027" w:rsidRDefault="00177027" w:rsidP="00177027">
      <w:pPr>
        <w:pStyle w:val="FootnoteText"/>
      </w:pPr>
      <w:r>
        <w:rPr>
          <w:rStyle w:val="FootnoteReference"/>
        </w:rPr>
        <w:footnoteRef/>
      </w:r>
      <w:r>
        <w:t xml:space="preserve"> Home Office (2020).</w:t>
      </w:r>
      <w:r w:rsidRPr="00177027">
        <w:t xml:space="preserve"> </w:t>
      </w:r>
      <w:r w:rsidRPr="00177027">
        <w:rPr>
          <w:i/>
          <w:iCs/>
        </w:rPr>
        <w:t>Hate crime, England and Wales, 2019 to 2020.</w:t>
      </w:r>
      <w:r>
        <w:t xml:space="preserve"> [online]</w:t>
      </w:r>
      <w:r w:rsidR="001C4C06">
        <w:t>, updated 28 October</w:t>
      </w:r>
      <w:r>
        <w:t xml:space="preserve">. Available at: </w:t>
      </w:r>
      <w:hyperlink r:id="rId30" w:history="1">
        <w:r w:rsidR="00D65ECB" w:rsidRPr="00002AC9">
          <w:rPr>
            <w:rStyle w:val="Hyperlink"/>
          </w:rPr>
          <w:t>www.gov.uk/government/publications/hate-crime-england-and-wales-2019-to-2020/hate-crime-england-and-wales-2019-to-2020</w:t>
        </w:r>
      </w:hyperlink>
      <w:r w:rsidR="00D65ECB">
        <w:t xml:space="preserve"> Accessed on: </w:t>
      </w:r>
      <w:r w:rsidR="004D4DF8" w:rsidRPr="00FA219D">
        <w:t>15.03.22</w:t>
      </w:r>
    </w:p>
  </w:footnote>
  <w:footnote w:id="83">
    <w:p w14:paraId="46B8A6F3" w14:textId="402611CB" w:rsidR="004E3C2F" w:rsidRDefault="004E3C2F" w:rsidP="001C4C06">
      <w:pPr>
        <w:pStyle w:val="FootnoteText"/>
      </w:pPr>
      <w:r>
        <w:rPr>
          <w:rStyle w:val="FootnoteReference"/>
        </w:rPr>
        <w:footnoteRef/>
      </w:r>
      <w:r>
        <w:t xml:space="preserve"> </w:t>
      </w:r>
      <w:r w:rsidR="00177027">
        <w:t>Home Office (20</w:t>
      </w:r>
      <w:r w:rsidR="001C4C06">
        <w:t>19</w:t>
      </w:r>
      <w:r w:rsidR="00177027">
        <w:t>).</w:t>
      </w:r>
      <w:r w:rsidR="00177027" w:rsidRPr="00177027">
        <w:t xml:space="preserve"> </w:t>
      </w:r>
      <w:r w:rsidR="001C4C06" w:rsidRPr="001C4C06">
        <w:rPr>
          <w:i/>
          <w:iCs/>
        </w:rPr>
        <w:t>Hate Crime,</w:t>
      </w:r>
      <w:r w:rsidR="001C4C06">
        <w:rPr>
          <w:i/>
          <w:iCs/>
        </w:rPr>
        <w:t xml:space="preserve"> </w:t>
      </w:r>
      <w:r w:rsidR="001C4C06" w:rsidRPr="001C4C06">
        <w:rPr>
          <w:i/>
          <w:iCs/>
        </w:rPr>
        <w:t>England and Wales, 2018/</w:t>
      </w:r>
      <w:r w:rsidR="001C4C06" w:rsidRPr="001C4C06">
        <w:rPr>
          <w:i/>
          <w:iCs/>
        </w:rPr>
        <w:t>19</w:t>
      </w:r>
      <w:r w:rsidR="001C4C06">
        <w:t>.</w:t>
      </w:r>
      <w:r w:rsidR="00177027">
        <w:t>[online]</w:t>
      </w:r>
      <w:r w:rsidR="001C4C06">
        <w:t>, 15 October</w:t>
      </w:r>
      <w:r w:rsidR="00177027">
        <w:t xml:space="preserve">. Available at: </w:t>
      </w:r>
      <w:hyperlink r:id="rId31" w:history="1">
        <w:r w:rsidR="00177027" w:rsidRPr="004D4DF8">
          <w:rPr>
            <w:rStyle w:val="Hyperlink"/>
          </w:rPr>
          <w:t>assets.publishing.service.gov.uk/government/uploads/system/uploads/attachment_data/file/839172/hate-crime-1819-hosb2419.pdf</w:t>
        </w:r>
      </w:hyperlink>
      <w:r w:rsidR="00D65ECB">
        <w:t xml:space="preserve"> Accessed on: </w:t>
      </w:r>
      <w:r w:rsidR="004D4DF8" w:rsidRPr="00FA219D">
        <w:t>15.03.22</w:t>
      </w:r>
    </w:p>
  </w:footnote>
  <w:footnote w:id="84">
    <w:p w14:paraId="2631BC8E" w14:textId="357B3E60" w:rsidR="002C4656" w:rsidRDefault="002C4656">
      <w:pPr>
        <w:pStyle w:val="FootnoteText"/>
      </w:pPr>
      <w:r w:rsidRPr="001265C8">
        <w:rPr>
          <w:rStyle w:val="FootnoteReference"/>
        </w:rPr>
        <w:footnoteRef/>
      </w:r>
      <w:r w:rsidRPr="001265C8">
        <w:t xml:space="preserve"> </w:t>
      </w:r>
      <w:r w:rsidR="00D65ECB" w:rsidRPr="001265C8">
        <w:t xml:space="preserve">Clarke, H. (2020). Disability hate crime rates soar in Hackney. Hackney Gazette, [online], </w:t>
      </w:r>
      <w:r w:rsidR="001265C8" w:rsidRPr="001265C8">
        <w:t xml:space="preserve">6 November. Available at: </w:t>
      </w:r>
      <w:hyperlink r:id="rId32" w:history="1">
        <w:r w:rsidR="001265C8" w:rsidRPr="001265C8">
          <w:rPr>
            <w:rStyle w:val="Hyperlink"/>
          </w:rPr>
          <w:t>https://www.hackneygazette.co.uk/news/crime/disability-hate-crime-rates-in-hackney-soar-6547226</w:t>
        </w:r>
      </w:hyperlink>
      <w:r w:rsidR="001265C8">
        <w:t xml:space="preserve"> Accessed on: </w:t>
      </w:r>
      <w:r w:rsidR="004D4DF8" w:rsidRPr="00FA219D">
        <w:t>15.03.22</w:t>
      </w:r>
    </w:p>
  </w:footnote>
  <w:footnote w:id="85">
    <w:p w14:paraId="74EFC225" w14:textId="38797AF1" w:rsidR="00AD2526" w:rsidRPr="00AD2526" w:rsidRDefault="00AD2526">
      <w:pPr>
        <w:pStyle w:val="FootnoteText"/>
      </w:pPr>
      <w:r>
        <w:rPr>
          <w:rStyle w:val="FootnoteReference"/>
        </w:rPr>
        <w:footnoteRef/>
      </w:r>
      <w:r>
        <w:t xml:space="preserve"> Coffey, H. (2018). </w:t>
      </w:r>
      <w:r w:rsidRPr="00AD2526">
        <w:t>O</w:t>
      </w:r>
      <w:r>
        <w:t>ne</w:t>
      </w:r>
      <w:r w:rsidRPr="00AD2526">
        <w:t xml:space="preserve"> </w:t>
      </w:r>
      <w:r>
        <w:t>in</w:t>
      </w:r>
      <w:r w:rsidRPr="00AD2526">
        <w:t xml:space="preserve"> </w:t>
      </w:r>
      <w:r>
        <w:t>four</w:t>
      </w:r>
      <w:r w:rsidRPr="00AD2526">
        <w:t xml:space="preserve"> </w:t>
      </w:r>
      <w:r>
        <w:t xml:space="preserve">disabled people don’t use public transport due to negative attitudes from other passengers, new research finds. </w:t>
      </w:r>
      <w:r>
        <w:rPr>
          <w:i/>
          <w:iCs/>
        </w:rPr>
        <w:t>Independent</w:t>
      </w:r>
      <w:r>
        <w:t xml:space="preserve">, [online] 10 October. Available at: </w:t>
      </w:r>
      <w:hyperlink r:id="rId33" w:history="1">
        <w:r w:rsidRPr="00012462">
          <w:rPr>
            <w:rStyle w:val="Hyperlink"/>
          </w:rPr>
          <w:t>https://www.independent.co.uk/travel/news-and-advice/uk-disabled-travel-accessibility-public-transport-report-trains-buses-a8577211.html</w:t>
        </w:r>
      </w:hyperlink>
      <w:r>
        <w:t xml:space="preserve"> Accessed on: </w:t>
      </w:r>
      <w:r w:rsidR="004D4DF8" w:rsidRPr="00FA219D">
        <w:t>15.03.22</w:t>
      </w:r>
    </w:p>
  </w:footnote>
  <w:footnote w:id="86">
    <w:p w14:paraId="58647EBD" w14:textId="4C58BAA1" w:rsidR="0035043E" w:rsidRPr="00403EF3" w:rsidRDefault="0035043E" w:rsidP="001265C8">
      <w:pPr>
        <w:pStyle w:val="FootnoteText"/>
        <w:rPr>
          <w:highlight w:val="yellow"/>
        </w:rPr>
      </w:pPr>
      <w:r>
        <w:rPr>
          <w:rStyle w:val="FootnoteReference"/>
        </w:rPr>
        <w:footnoteRef/>
      </w:r>
      <w:r>
        <w:t xml:space="preserve"> </w:t>
      </w:r>
      <w:r w:rsidR="001265C8">
        <w:t>Petitions Committee (2019</w:t>
      </w:r>
      <w:r w:rsidR="001265C8" w:rsidRPr="001265C8">
        <w:rPr>
          <w:i/>
          <w:iCs/>
        </w:rPr>
        <w:t>). Online abuse and the experience of disabled people</w:t>
      </w:r>
      <w:r w:rsidR="001265C8">
        <w:t xml:space="preserve">. HC 759, 22 January. Available </w:t>
      </w:r>
      <w:r w:rsidR="001265C8" w:rsidRPr="001265C8">
        <w:t xml:space="preserve">at:  </w:t>
      </w:r>
      <w:hyperlink r:id="rId34" w:history="1">
        <w:r w:rsidR="001265C8" w:rsidRPr="001265C8">
          <w:rPr>
            <w:rStyle w:val="Hyperlink"/>
          </w:rPr>
          <w:t>https://publications.parliament.uk/pa/cm201719/cmselect/cmpetitions/759/759.pdf</w:t>
        </w:r>
      </w:hyperlink>
      <w:r w:rsidR="001265C8" w:rsidRPr="001265C8">
        <w:t xml:space="preserve"> Accessed on: </w:t>
      </w:r>
      <w:r w:rsidR="004D4DF8" w:rsidRPr="00FA219D">
        <w:t>15.03.22</w:t>
      </w:r>
    </w:p>
  </w:footnote>
  <w:footnote w:id="87">
    <w:p w14:paraId="648A0EA2" w14:textId="2F804E97" w:rsidR="004601B8" w:rsidRPr="00403EF3" w:rsidRDefault="004601B8" w:rsidP="004601B8">
      <w:pPr>
        <w:pStyle w:val="FootnoteText"/>
        <w:rPr>
          <w:highlight w:val="yellow"/>
        </w:rPr>
      </w:pPr>
      <w:r w:rsidRPr="001265C8">
        <w:rPr>
          <w:rStyle w:val="FootnoteReference"/>
        </w:rPr>
        <w:footnoteRef/>
      </w:r>
      <w:r w:rsidRPr="001265C8">
        <w:t xml:space="preserve"> </w:t>
      </w:r>
      <w:r w:rsidR="001265C8" w:rsidRPr="001265C8">
        <w:t xml:space="preserve">Leonard Cheshire (2020). </w:t>
      </w:r>
      <w:r w:rsidR="001265C8" w:rsidRPr="001265C8">
        <w:rPr>
          <w:i/>
          <w:iCs/>
        </w:rPr>
        <w:t>Reports of violent disability hate crime continue to rise as number of police charges fall again</w:t>
      </w:r>
      <w:r w:rsidR="001265C8" w:rsidRPr="001265C8">
        <w:t xml:space="preserve">. [press release], 8 October. Available at: </w:t>
      </w:r>
      <w:hyperlink r:id="rId35" w:history="1">
        <w:r w:rsidR="001265C8" w:rsidRPr="001265C8">
          <w:rPr>
            <w:rStyle w:val="Hyperlink"/>
          </w:rPr>
          <w:t>https://www.leonardcheshire.org/about-us/our-news/press-releases/reports-violent-disability-hate-crime-continue-rise-number-police</w:t>
        </w:r>
      </w:hyperlink>
      <w:r w:rsidR="001265C8" w:rsidRPr="001265C8">
        <w:t xml:space="preserve"> Accessed on: </w:t>
      </w:r>
      <w:r w:rsidR="004D4DF8" w:rsidRPr="00FA219D">
        <w:t>15.03.22</w:t>
      </w:r>
    </w:p>
  </w:footnote>
  <w:footnote w:id="88">
    <w:p w14:paraId="0A3A1B32" w14:textId="72C2021A" w:rsidR="00403EF3" w:rsidRDefault="00403EF3">
      <w:pPr>
        <w:pStyle w:val="FootnoteText"/>
      </w:pPr>
      <w:r w:rsidRPr="001265C8">
        <w:rPr>
          <w:rStyle w:val="FootnoteReference"/>
        </w:rPr>
        <w:footnoteRef/>
      </w:r>
      <w:r w:rsidRPr="001265C8">
        <w:t xml:space="preserve"> </w:t>
      </w:r>
      <w:r w:rsidR="001265C8" w:rsidRPr="001265C8">
        <w:t xml:space="preserve">Inclusion London (2021). </w:t>
      </w:r>
      <w:r w:rsidR="001265C8" w:rsidRPr="001265C8">
        <w:rPr>
          <w:i/>
          <w:iCs/>
        </w:rPr>
        <w:t>Poor Police Response</w:t>
      </w:r>
      <w:r w:rsidR="001265C8" w:rsidRPr="001265C8">
        <w:t xml:space="preserve">. [online]. Available at: </w:t>
      </w:r>
      <w:hyperlink r:id="rId36" w:history="1">
        <w:r w:rsidR="001265C8" w:rsidRPr="001265C8">
          <w:rPr>
            <w:rStyle w:val="Hyperlink"/>
          </w:rPr>
          <w:t>https://www.inclusionlondon.org.uk/news/poor-police-response-report-disabled-victims-of-hate-crime/</w:t>
        </w:r>
      </w:hyperlink>
      <w:r w:rsidR="001265C8">
        <w:t xml:space="preserve"> Accessed on: </w:t>
      </w:r>
      <w:r w:rsidR="004D4DF8" w:rsidRPr="00FA219D">
        <w:t>15.03.22</w:t>
      </w:r>
    </w:p>
  </w:footnote>
  <w:footnote w:id="89">
    <w:p w14:paraId="32FEBE7D" w14:textId="467630A8" w:rsidR="009B5D78" w:rsidRPr="009B5D78" w:rsidRDefault="009B5D78">
      <w:pPr>
        <w:pStyle w:val="FootnoteText"/>
      </w:pPr>
      <w:r>
        <w:rPr>
          <w:rStyle w:val="FootnoteReference"/>
        </w:rPr>
        <w:footnoteRef/>
      </w:r>
      <w:r>
        <w:t xml:space="preserve"> BBC News (2022). </w:t>
      </w:r>
      <w:r w:rsidRPr="009B5D78">
        <w:t>Cheshire hate crime rise sees more disabled people targeted</w:t>
      </w:r>
      <w:r>
        <w:t xml:space="preserve">. </w:t>
      </w:r>
      <w:r>
        <w:rPr>
          <w:i/>
          <w:iCs/>
        </w:rPr>
        <w:t>bbc.co.uk</w:t>
      </w:r>
      <w:r>
        <w:t xml:space="preserve">, [online] </w:t>
      </w:r>
      <w:r w:rsidR="00985B36">
        <w:t xml:space="preserve">26 January. Available at: </w:t>
      </w:r>
      <w:hyperlink r:id="rId37" w:history="1">
        <w:r w:rsidR="001265C8" w:rsidRPr="00002AC9">
          <w:rPr>
            <w:rStyle w:val="Hyperlink"/>
          </w:rPr>
          <w:t>https://www.bbc.co.uk/news/uk-england-merseyside-60138262</w:t>
        </w:r>
      </w:hyperlink>
      <w:r w:rsidR="001265C8">
        <w:t xml:space="preserve"> Accessed on: </w:t>
      </w:r>
      <w:r w:rsidR="004D4DF8" w:rsidRPr="00FA219D">
        <w:t>15.03.22</w:t>
      </w:r>
    </w:p>
  </w:footnote>
  <w:footnote w:id="90">
    <w:p w14:paraId="7274E0FB" w14:textId="48CFCDB1" w:rsidR="00757E9A" w:rsidRDefault="00757E9A">
      <w:pPr>
        <w:pStyle w:val="FootnoteText"/>
      </w:pPr>
      <w:r>
        <w:rPr>
          <w:rStyle w:val="FootnoteReference"/>
        </w:rPr>
        <w:footnoteRef/>
      </w:r>
      <w:r>
        <w:t xml:space="preserve"> CBCE19.</w:t>
      </w:r>
    </w:p>
  </w:footnote>
  <w:footnote w:id="91">
    <w:p w14:paraId="72193380" w14:textId="77777777" w:rsidR="00D6278E" w:rsidRDefault="00D6278E" w:rsidP="00D6278E">
      <w:pPr>
        <w:pStyle w:val="FootnoteText"/>
      </w:pPr>
      <w:r>
        <w:rPr>
          <w:rStyle w:val="FootnoteReference"/>
        </w:rPr>
        <w:footnoteRef/>
      </w:r>
      <w:r>
        <w:t xml:space="preserve"> DDPO38</w:t>
      </w:r>
    </w:p>
  </w:footnote>
  <w:footnote w:id="92">
    <w:p w14:paraId="76B8917D" w14:textId="16426406" w:rsidR="00140D35" w:rsidRDefault="00140D35" w:rsidP="00140D35">
      <w:pPr>
        <w:pStyle w:val="FootnoteText"/>
      </w:pPr>
      <w:r>
        <w:rPr>
          <w:rStyle w:val="FootnoteReference"/>
        </w:rPr>
        <w:footnoteRef/>
      </w:r>
      <w:r>
        <w:t xml:space="preserve"> </w:t>
      </w:r>
      <w:r w:rsidR="004D4DF8">
        <w:t>FG2</w:t>
      </w:r>
    </w:p>
  </w:footnote>
  <w:footnote w:id="93">
    <w:p w14:paraId="1C194BF2" w14:textId="10B9FE73" w:rsidR="00733352" w:rsidRDefault="00733352">
      <w:pPr>
        <w:pStyle w:val="FootnoteText"/>
      </w:pPr>
      <w:r>
        <w:rPr>
          <w:rStyle w:val="FootnoteReference"/>
        </w:rPr>
        <w:footnoteRef/>
      </w:r>
      <w:r>
        <w:t xml:space="preserve"> </w:t>
      </w:r>
      <w:r w:rsidR="004D4DF8">
        <w:t>D.DP43</w:t>
      </w:r>
    </w:p>
  </w:footnote>
  <w:footnote w:id="94">
    <w:p w14:paraId="188AF002" w14:textId="6382D874" w:rsidR="00733352" w:rsidRPr="004D4DF8" w:rsidRDefault="00733352">
      <w:pPr>
        <w:pStyle w:val="FootnoteText"/>
      </w:pPr>
      <w:r w:rsidRPr="004D4DF8">
        <w:rPr>
          <w:rStyle w:val="FootnoteReference"/>
        </w:rPr>
        <w:footnoteRef/>
      </w:r>
      <w:r w:rsidRPr="004D4DF8">
        <w:t xml:space="preserve"> </w:t>
      </w:r>
      <w:r w:rsidR="004D4DF8" w:rsidRPr="004D4DF8">
        <w:t>CBCE10; DDPO41</w:t>
      </w:r>
    </w:p>
  </w:footnote>
  <w:footnote w:id="95">
    <w:p w14:paraId="72F86DEE" w14:textId="58429DE0" w:rsidR="001D6EF7" w:rsidRPr="004D4DF8" w:rsidRDefault="001D6EF7">
      <w:pPr>
        <w:pStyle w:val="FootnoteText"/>
      </w:pPr>
      <w:r w:rsidRPr="004D4DF8">
        <w:rPr>
          <w:rStyle w:val="FootnoteReference"/>
        </w:rPr>
        <w:footnoteRef/>
      </w:r>
      <w:r w:rsidRPr="004D4DF8">
        <w:t xml:space="preserve"> </w:t>
      </w:r>
      <w:r w:rsidR="004D4DF8" w:rsidRPr="004D4DF8">
        <w:t xml:space="preserve">CBCE6, CBCE8, CBCE9, CBCE11, CBCE13, CBCE14, CBCE23, CBCE27, CBCE28, CBCE31, DDPO14, DDPO42, </w:t>
      </w:r>
      <w:r w:rsidR="004D4DF8" w:rsidRPr="004D4DF8">
        <w:t>D.DP29, D.DP44, FG1, FG2, SR14, SR72, SR83, SR124, SR129, SR130, SR145, SR149, SR168,SR180, SR193, SR222, SR264, SR303, SR309, SR315, SR324,</w:t>
      </w:r>
      <w:r w:rsidR="004D4DF8">
        <w:t xml:space="preserve"> </w:t>
      </w:r>
      <w:r w:rsidR="004D4DF8" w:rsidRPr="004D4DF8">
        <w:t>SR327,</w:t>
      </w:r>
      <w:r w:rsidR="004D4DF8">
        <w:t xml:space="preserve"> </w:t>
      </w:r>
      <w:r w:rsidR="004D4DF8" w:rsidRPr="004D4DF8">
        <w:t>SR331</w:t>
      </w:r>
    </w:p>
  </w:footnote>
  <w:footnote w:id="96">
    <w:p w14:paraId="2838335C" w14:textId="452EAE69" w:rsidR="001D6EF7" w:rsidRPr="004D4DF8" w:rsidRDefault="001D6EF7">
      <w:pPr>
        <w:pStyle w:val="FootnoteText"/>
      </w:pPr>
      <w:r w:rsidRPr="004D4DF8">
        <w:rPr>
          <w:rStyle w:val="FootnoteReference"/>
        </w:rPr>
        <w:footnoteRef/>
      </w:r>
      <w:r w:rsidRPr="004D4DF8">
        <w:t xml:space="preserve"> </w:t>
      </w:r>
      <w:r w:rsidR="004D4DF8" w:rsidRPr="004D4DF8">
        <w:t>SR18, SR129, SR142, SR177</w:t>
      </w:r>
    </w:p>
  </w:footnote>
  <w:footnote w:id="97">
    <w:p w14:paraId="4777F658" w14:textId="19B02974" w:rsidR="001D6EF7" w:rsidRPr="004D4DF8" w:rsidRDefault="001D6EF7">
      <w:pPr>
        <w:pStyle w:val="FootnoteText"/>
      </w:pPr>
      <w:r w:rsidRPr="004D4DF8">
        <w:rPr>
          <w:rStyle w:val="FootnoteReference"/>
        </w:rPr>
        <w:footnoteRef/>
      </w:r>
      <w:r w:rsidRPr="004D4DF8">
        <w:t xml:space="preserve"> </w:t>
      </w:r>
      <w:r w:rsidR="004D4DF8" w:rsidRPr="004D4DF8">
        <w:t>CBCE16, CBCE23, DDPO46</w:t>
      </w:r>
    </w:p>
  </w:footnote>
  <w:footnote w:id="98">
    <w:p w14:paraId="6247EFC5" w14:textId="41652339" w:rsidR="001D6EF7" w:rsidRDefault="001D6EF7">
      <w:pPr>
        <w:pStyle w:val="FootnoteText"/>
      </w:pPr>
      <w:r w:rsidRPr="004D4DF8">
        <w:rPr>
          <w:rStyle w:val="FootnoteReference"/>
        </w:rPr>
        <w:footnoteRef/>
      </w:r>
      <w:r w:rsidRPr="004D4DF8">
        <w:t xml:space="preserve"> </w:t>
      </w:r>
      <w:r w:rsidR="004D4DF8" w:rsidRPr="004D4DF8">
        <w:t>SR303</w:t>
      </w:r>
    </w:p>
  </w:footnote>
  <w:footnote w:id="99">
    <w:p w14:paraId="24D5333C" w14:textId="23BE9882" w:rsidR="005B63EB" w:rsidRDefault="005B63EB" w:rsidP="005B63EB">
      <w:pPr>
        <w:pStyle w:val="FootnoteText"/>
      </w:pPr>
      <w:r w:rsidRPr="002379B4">
        <w:rPr>
          <w:rStyle w:val="FootnoteReference"/>
        </w:rPr>
        <w:footnoteRef/>
      </w:r>
      <w:r w:rsidRPr="002379B4">
        <w:t xml:space="preserve"> </w:t>
      </w:r>
      <w:r w:rsidR="009F3F6C">
        <w:t>The King’s Fund</w:t>
      </w:r>
      <w:r w:rsidR="001265C8" w:rsidRPr="002379B4">
        <w:t xml:space="preserve"> (</w:t>
      </w:r>
      <w:r w:rsidR="002379B4" w:rsidRPr="002379B4">
        <w:t>20</w:t>
      </w:r>
      <w:r w:rsidR="009F3F6C">
        <w:t>19</w:t>
      </w:r>
      <w:r w:rsidR="002379B4" w:rsidRPr="002379B4">
        <w:t xml:space="preserve">). </w:t>
      </w:r>
      <w:r w:rsidR="009F3F6C" w:rsidRPr="009F3F6C">
        <w:rPr>
          <w:i/>
          <w:iCs/>
        </w:rPr>
        <w:t>More people asking for social care support but fewer getting it as demand leaves social care system at crisis point</w:t>
      </w:r>
      <w:r w:rsidR="002379B4" w:rsidRPr="002379B4">
        <w:t>. [</w:t>
      </w:r>
      <w:r w:rsidR="009F3F6C">
        <w:t>press release</w:t>
      </w:r>
      <w:r w:rsidR="002379B4" w:rsidRPr="002379B4">
        <w:t>]</w:t>
      </w:r>
      <w:r w:rsidR="009F3F6C">
        <w:t xml:space="preserve">, 26 April. </w:t>
      </w:r>
      <w:r w:rsidR="002379B4" w:rsidRPr="002379B4">
        <w:t xml:space="preserve">Available at: </w:t>
      </w:r>
      <w:hyperlink r:id="rId38" w:history="1">
        <w:r w:rsidR="009F3F6C" w:rsidRPr="004D4DF8">
          <w:rPr>
            <w:rStyle w:val="Hyperlink"/>
          </w:rPr>
          <w:t>https://www.kingsfund.org.uk/press/press-releases/social-care-system-crisis-point</w:t>
        </w:r>
      </w:hyperlink>
      <w:r w:rsidR="009F3F6C" w:rsidRPr="009F3F6C">
        <w:t xml:space="preserve"> </w:t>
      </w:r>
      <w:r w:rsidR="002379B4">
        <w:t xml:space="preserve">Accessed on: </w:t>
      </w:r>
      <w:r w:rsidR="004D4DF8">
        <w:t>15.03.22</w:t>
      </w:r>
    </w:p>
  </w:footnote>
  <w:footnote w:id="100">
    <w:p w14:paraId="1EB7EC40" w14:textId="406C2BBC" w:rsidR="00690986" w:rsidRPr="00690986" w:rsidRDefault="00690986">
      <w:pPr>
        <w:pStyle w:val="FootnoteText"/>
      </w:pPr>
      <w:r>
        <w:rPr>
          <w:rStyle w:val="FootnoteReference"/>
        </w:rPr>
        <w:footnoteRef/>
      </w:r>
      <w:r>
        <w:t xml:space="preserve"> Ryan, F. (2017). </w:t>
      </w:r>
      <w:r w:rsidRPr="00690986">
        <w:t>NHS cost cutting leaving disabled people 'interned' in care homes</w:t>
      </w:r>
      <w:r>
        <w:t xml:space="preserve">. </w:t>
      </w:r>
      <w:r w:rsidRPr="00690986">
        <w:rPr>
          <w:i/>
          <w:iCs/>
        </w:rPr>
        <w:t>The Guardian</w:t>
      </w:r>
      <w:r>
        <w:t xml:space="preserve">, [online] 25 October. Available at: </w:t>
      </w:r>
      <w:hyperlink r:id="rId39" w:history="1">
        <w:r w:rsidRPr="00A4243C">
          <w:rPr>
            <w:rStyle w:val="Hyperlink"/>
          </w:rPr>
          <w:t>https://www.independent.co.uk/news/uk/home-news/disabled-people-interned-care-homes-nhs-cost-cutting-a8019906.html</w:t>
        </w:r>
      </w:hyperlink>
      <w:r>
        <w:t xml:space="preserve"> Accessed on: </w:t>
      </w:r>
      <w:r w:rsidR="004D4DF8">
        <w:t>15.03.22</w:t>
      </w:r>
    </w:p>
  </w:footnote>
  <w:footnote w:id="101">
    <w:p w14:paraId="5E073914" w14:textId="1439B085" w:rsidR="00690986" w:rsidRDefault="00690986">
      <w:pPr>
        <w:pStyle w:val="FootnoteText"/>
      </w:pPr>
      <w:r>
        <w:rPr>
          <w:rStyle w:val="FootnoteReference"/>
        </w:rPr>
        <w:footnoteRef/>
      </w:r>
      <w:r>
        <w:t xml:space="preserve"> EHRC (2018). </w:t>
      </w:r>
      <w:r w:rsidRPr="00690986">
        <w:rPr>
          <w:i/>
          <w:iCs/>
        </w:rPr>
        <w:t xml:space="preserve">NHS </w:t>
      </w:r>
      <w:r w:rsidRPr="00690986">
        <w:rPr>
          <w:i/>
          <w:iCs/>
        </w:rPr>
        <w:t>u-turns on discriminatory policies</w:t>
      </w:r>
      <w:r>
        <w:t xml:space="preserve">. [press release] 31 May. Available on: </w:t>
      </w:r>
      <w:hyperlink r:id="rId40" w:history="1">
        <w:r w:rsidRPr="00A4243C">
          <w:rPr>
            <w:rStyle w:val="Hyperlink"/>
          </w:rPr>
          <w:t>https://www.equalityhumanrights.com/en/our-work/news/nhs-u-turns-discriminatory-policies</w:t>
        </w:r>
      </w:hyperlink>
      <w:r>
        <w:t xml:space="preserve"> Accessed on: </w:t>
      </w:r>
      <w:r w:rsidR="004D4DF8">
        <w:t>15.03.22</w:t>
      </w:r>
    </w:p>
  </w:footnote>
  <w:footnote w:id="102">
    <w:p w14:paraId="5B0CF594" w14:textId="1F65F65B" w:rsidR="005F6115" w:rsidRDefault="005F6115">
      <w:pPr>
        <w:pStyle w:val="FootnoteText"/>
      </w:pPr>
      <w:r w:rsidRPr="004D4DF8">
        <w:rPr>
          <w:rStyle w:val="FootnoteReference"/>
        </w:rPr>
        <w:footnoteRef/>
      </w:r>
      <w:r w:rsidRPr="004D4DF8">
        <w:t xml:space="preserve"> </w:t>
      </w:r>
      <w:r w:rsidR="004D4DF8" w:rsidRPr="004D4DF8">
        <w:t>People are too afraid of retribution – having their support removed – to go on record even anonymously</w:t>
      </w:r>
    </w:p>
  </w:footnote>
  <w:footnote w:id="103">
    <w:p w14:paraId="3F6C2836" w14:textId="4582B04A" w:rsidR="00BE2396" w:rsidRDefault="00BE2396" w:rsidP="00BE2396">
      <w:pPr>
        <w:pStyle w:val="FootnoteText"/>
      </w:pPr>
      <w:r>
        <w:rPr>
          <w:rStyle w:val="FootnoteReference"/>
        </w:rPr>
        <w:footnoteRef/>
      </w:r>
      <w:r>
        <w:t xml:space="preserve"> ADASS, (2021). </w:t>
      </w:r>
      <w:r w:rsidRPr="00E82391">
        <w:t>Snap Survey reveals a rapidly deteriorating picture of Social Care Services</w:t>
      </w:r>
      <w:r>
        <w:t xml:space="preserve">. </w:t>
      </w:r>
      <w:r w:rsidRPr="00E82391">
        <w:rPr>
          <w:i/>
          <w:iCs/>
        </w:rPr>
        <w:t>Press Release</w:t>
      </w:r>
      <w:r>
        <w:t xml:space="preserve">, 29 November. Available at: </w:t>
      </w:r>
      <w:hyperlink r:id="rId41" w:history="1">
        <w:r w:rsidRPr="00002AC9">
          <w:rPr>
            <w:rStyle w:val="Hyperlink"/>
          </w:rPr>
          <w:t>https://www.adass.org.uk/snap-survey-nov21-rapidly-deteriorating-social-services</w:t>
        </w:r>
      </w:hyperlink>
      <w:r>
        <w:t xml:space="preserve"> Accessed on: </w:t>
      </w:r>
      <w:r w:rsidR="004D4DF8">
        <w:t>15.03.22</w:t>
      </w:r>
    </w:p>
  </w:footnote>
  <w:footnote w:id="104">
    <w:p w14:paraId="02523680" w14:textId="283E5225" w:rsidR="001C2686" w:rsidRDefault="001C2686">
      <w:pPr>
        <w:pStyle w:val="FootnoteText"/>
      </w:pPr>
      <w:r>
        <w:rPr>
          <w:rStyle w:val="FootnoteReference"/>
        </w:rPr>
        <w:footnoteRef/>
      </w:r>
      <w:r>
        <w:t xml:space="preserve"> Age UK. </w:t>
      </w:r>
      <w:r w:rsidRPr="001C2686">
        <w:t>Written evidence submitted by Age UK [ASC 055]</w:t>
      </w:r>
      <w:r>
        <w:t xml:space="preserve">. Available at: </w:t>
      </w:r>
      <w:hyperlink r:id="rId42" w:history="1">
        <w:r w:rsidR="001265C8" w:rsidRPr="00002AC9">
          <w:rPr>
            <w:rStyle w:val="Hyperlink"/>
          </w:rPr>
          <w:t>https://committees.parliament.uk/writtenevidence/25880/html/</w:t>
        </w:r>
      </w:hyperlink>
      <w:r w:rsidR="001265C8">
        <w:t xml:space="preserve"> Accessed on: </w:t>
      </w:r>
      <w:r w:rsidR="004D4DF8">
        <w:t>15.03.22</w:t>
      </w:r>
    </w:p>
  </w:footnote>
  <w:footnote w:id="105">
    <w:p w14:paraId="49E8004B" w14:textId="19B2D44F" w:rsidR="005B63EB" w:rsidRDefault="005B63EB" w:rsidP="005B63EB">
      <w:pPr>
        <w:pStyle w:val="FootnoteText"/>
      </w:pPr>
      <w:r w:rsidRPr="00360C50">
        <w:rPr>
          <w:rStyle w:val="FootnoteReference"/>
        </w:rPr>
        <w:footnoteRef/>
      </w:r>
      <w:r w:rsidRPr="00360C50">
        <w:t xml:space="preserve"> </w:t>
      </w:r>
      <w:r w:rsidR="002379B4" w:rsidRPr="002379B4">
        <w:t xml:space="preserve">Bottery, S. and Ward, D. (2021). </w:t>
      </w:r>
      <w:r w:rsidR="002379B4" w:rsidRPr="009F3F6C">
        <w:rPr>
          <w:i/>
          <w:iCs/>
        </w:rPr>
        <w:t>Social care 360</w:t>
      </w:r>
      <w:r w:rsidR="002379B4" w:rsidRPr="002379B4">
        <w:t xml:space="preserve">. [online]. Available at: </w:t>
      </w:r>
      <w:hyperlink r:id="rId43" w:history="1">
        <w:r w:rsidR="002379B4" w:rsidRPr="00360C50">
          <w:rPr>
            <w:rStyle w:val="Hyperlink"/>
          </w:rPr>
          <w:t>https://www.kingsfund.org.uk/publications/social-care-360</w:t>
        </w:r>
      </w:hyperlink>
      <w:r w:rsidR="002379B4" w:rsidRPr="002379B4">
        <w:t xml:space="preserve"> </w:t>
      </w:r>
      <w:r w:rsidR="002379B4">
        <w:t xml:space="preserve">Accessed on: </w:t>
      </w:r>
      <w:r w:rsidR="004D4DF8">
        <w:t>15.03.22</w:t>
      </w:r>
    </w:p>
  </w:footnote>
  <w:footnote w:id="106">
    <w:p w14:paraId="7DEB1CB4" w14:textId="11CD6EC5" w:rsidR="00625189" w:rsidRDefault="00625189">
      <w:pPr>
        <w:pStyle w:val="FootnoteText"/>
      </w:pPr>
      <w:r>
        <w:rPr>
          <w:rStyle w:val="FootnoteReference"/>
        </w:rPr>
        <w:footnoteRef/>
      </w:r>
      <w:r>
        <w:t xml:space="preserve"> </w:t>
      </w:r>
      <w:r w:rsidR="00360C50">
        <w:t>D.DP23. See also Annex A, p</w:t>
      </w:r>
      <w:r w:rsidR="00441F5D">
        <w:t>.</w:t>
      </w:r>
      <w:fldSimple w:instr=" PAGEREF AnnexA ">
        <w:r w:rsidR="00441F5D">
          <w:rPr>
            <w:noProof/>
          </w:rPr>
          <w:t>147</w:t>
        </w:r>
      </w:fldSimple>
    </w:p>
  </w:footnote>
  <w:footnote w:id="107">
    <w:p w14:paraId="13D2AB13" w14:textId="23D92C25" w:rsidR="00AF6372" w:rsidRPr="00AF6372" w:rsidRDefault="00AF6372">
      <w:pPr>
        <w:pStyle w:val="FootnoteText"/>
      </w:pPr>
      <w:r>
        <w:rPr>
          <w:rStyle w:val="FootnoteReference"/>
        </w:rPr>
        <w:footnoteRef/>
      </w:r>
      <w:r>
        <w:t xml:space="preserve"> </w:t>
      </w:r>
      <w:r w:rsidRPr="00AF6372">
        <w:rPr>
          <w:i/>
          <w:iCs/>
        </w:rPr>
        <w:t>BMJ</w:t>
      </w:r>
      <w:r>
        <w:rPr>
          <w:i/>
          <w:iCs/>
        </w:rPr>
        <w:t xml:space="preserve"> </w:t>
      </w:r>
      <w:r>
        <w:t xml:space="preserve">(2019). </w:t>
      </w:r>
      <w:r w:rsidRPr="00AF6372">
        <w:t>Lack of social care has cost the NHS 2.5 million bed days since last election, charity says</w:t>
      </w:r>
      <w:r>
        <w:t xml:space="preserve">. </w:t>
      </w:r>
      <w:r>
        <w:rPr>
          <w:i/>
          <w:iCs/>
        </w:rPr>
        <w:t>bmj.com</w:t>
      </w:r>
      <w:r>
        <w:t xml:space="preserve">, [online] 5 December. Available at: </w:t>
      </w:r>
      <w:hyperlink r:id="rId44" w:history="1">
        <w:r w:rsidR="00360C50" w:rsidRPr="00A97FBA">
          <w:rPr>
            <w:rStyle w:val="Hyperlink"/>
          </w:rPr>
          <w:t>https://www.bmj.com/content/367/bmj.l6870</w:t>
        </w:r>
      </w:hyperlink>
      <w:r>
        <w:t xml:space="preserve"> Accessed on</w:t>
      </w:r>
      <w:r w:rsidR="00360C50">
        <w:t xml:space="preserve">: </w:t>
      </w:r>
      <w:r w:rsidR="00360C50" w:rsidRPr="00295C08">
        <w:t>15.03.22</w:t>
      </w:r>
    </w:p>
  </w:footnote>
  <w:footnote w:id="108">
    <w:p w14:paraId="632256B5" w14:textId="73B8B60F" w:rsidR="00EB080B" w:rsidRPr="00360C50" w:rsidRDefault="00EB080B">
      <w:pPr>
        <w:pStyle w:val="FootnoteText"/>
      </w:pPr>
      <w:r w:rsidRPr="00360C50">
        <w:rPr>
          <w:rStyle w:val="FootnoteReference"/>
        </w:rPr>
        <w:footnoteRef/>
      </w:r>
      <w:r w:rsidRPr="00360C50">
        <w:t xml:space="preserve"> </w:t>
      </w:r>
      <w:r w:rsidR="00360C50" w:rsidRPr="00360C50">
        <w:t>OO13</w:t>
      </w:r>
    </w:p>
  </w:footnote>
  <w:footnote w:id="109">
    <w:p w14:paraId="1A7800E4" w14:textId="55959037" w:rsidR="00700417" w:rsidRPr="00360C50" w:rsidRDefault="00700417" w:rsidP="00700417">
      <w:pPr>
        <w:pStyle w:val="FootnoteText"/>
      </w:pPr>
      <w:r w:rsidRPr="00360C50">
        <w:rPr>
          <w:rStyle w:val="FootnoteReference"/>
        </w:rPr>
        <w:footnoteRef/>
      </w:r>
      <w:r w:rsidRPr="00360C50">
        <w:t xml:space="preserve"> </w:t>
      </w:r>
      <w:r w:rsidR="00360C50" w:rsidRPr="00360C50">
        <w:t xml:space="preserve">CBCE6, CBCE27; DDPO16, </w:t>
      </w:r>
      <w:r w:rsidR="00360C50" w:rsidRPr="00360C50">
        <w:t>D.DP44, OO8</w:t>
      </w:r>
    </w:p>
  </w:footnote>
  <w:footnote w:id="110">
    <w:p w14:paraId="3A1C1AB4" w14:textId="4A89167B" w:rsidR="00360C50" w:rsidRPr="00360C50" w:rsidRDefault="00360C50">
      <w:pPr>
        <w:pStyle w:val="FootnoteText"/>
      </w:pPr>
      <w:r w:rsidRPr="00360C50">
        <w:rPr>
          <w:rStyle w:val="FootnoteReference"/>
        </w:rPr>
        <w:footnoteRef/>
      </w:r>
      <w:r w:rsidRPr="00360C50">
        <w:t xml:space="preserve"> D.DP34; SR150</w:t>
      </w:r>
    </w:p>
  </w:footnote>
  <w:footnote w:id="111">
    <w:p w14:paraId="53692CDA" w14:textId="4C3A49E3" w:rsidR="0018316B" w:rsidRPr="00882E18" w:rsidRDefault="0018316B" w:rsidP="0018316B">
      <w:pPr>
        <w:pStyle w:val="FootnoteText"/>
        <w:rPr>
          <w:highlight w:val="yellow"/>
        </w:rPr>
      </w:pPr>
      <w:r w:rsidRPr="00360C50">
        <w:rPr>
          <w:rStyle w:val="FootnoteReference"/>
        </w:rPr>
        <w:footnoteRef/>
      </w:r>
      <w:r w:rsidRPr="00360C50">
        <w:t xml:space="preserve"> </w:t>
      </w:r>
      <w:r w:rsidR="00360C50" w:rsidRPr="00360C50">
        <w:t>D.DP35</w:t>
      </w:r>
      <w:r w:rsidR="00360C50" w:rsidRPr="00295C08">
        <w:t xml:space="preserve">, </w:t>
      </w:r>
      <w:r w:rsidR="00360C50" w:rsidRPr="00295C08">
        <w:t>D.DP42</w:t>
      </w:r>
    </w:p>
  </w:footnote>
  <w:footnote w:id="112">
    <w:p w14:paraId="1F499042" w14:textId="58892668" w:rsidR="00882E18" w:rsidRDefault="00882E18">
      <w:pPr>
        <w:pStyle w:val="FootnoteText"/>
      </w:pPr>
      <w:r w:rsidRPr="00360C50">
        <w:rPr>
          <w:rStyle w:val="FootnoteReference"/>
        </w:rPr>
        <w:footnoteRef/>
      </w:r>
      <w:r w:rsidRPr="00360C50">
        <w:t xml:space="preserve"> </w:t>
      </w:r>
      <w:r w:rsidR="00360C50" w:rsidRPr="00360C50">
        <w:t>DDPO38</w:t>
      </w:r>
    </w:p>
  </w:footnote>
  <w:footnote w:id="113">
    <w:p w14:paraId="499374AD" w14:textId="7F9E0A9D" w:rsidR="00700417" w:rsidRDefault="00700417">
      <w:pPr>
        <w:pStyle w:val="FootnoteText"/>
      </w:pPr>
      <w:r w:rsidRPr="00360C50">
        <w:rPr>
          <w:rStyle w:val="FootnoteReference"/>
        </w:rPr>
        <w:footnoteRef/>
      </w:r>
      <w:r w:rsidRPr="00360C50">
        <w:t xml:space="preserve"> </w:t>
      </w:r>
      <w:r w:rsidR="00360C50" w:rsidRPr="00295C08">
        <w:t>DDPO38</w:t>
      </w:r>
    </w:p>
  </w:footnote>
  <w:footnote w:id="114">
    <w:p w14:paraId="5CFE940B" w14:textId="09F18FD9" w:rsidR="00E82391" w:rsidRDefault="00E82391">
      <w:pPr>
        <w:pStyle w:val="FootnoteText"/>
      </w:pPr>
      <w:r>
        <w:rPr>
          <w:rStyle w:val="FootnoteReference"/>
        </w:rPr>
        <w:footnoteRef/>
      </w:r>
      <w:r>
        <w:t xml:space="preserve"> ADASS, (2021). </w:t>
      </w:r>
      <w:r w:rsidRPr="00E82391">
        <w:t>Snap Survey reveals a rapidly deteriorating picture of Social Care Services</w:t>
      </w:r>
      <w:r>
        <w:t xml:space="preserve">. </w:t>
      </w:r>
      <w:r w:rsidRPr="00E82391">
        <w:rPr>
          <w:i/>
          <w:iCs/>
        </w:rPr>
        <w:t>Press Release</w:t>
      </w:r>
      <w:r>
        <w:t xml:space="preserve">, 29 November. Available at: </w:t>
      </w:r>
      <w:hyperlink r:id="rId45" w:history="1">
        <w:r w:rsidR="002379B4" w:rsidRPr="00002AC9">
          <w:rPr>
            <w:rStyle w:val="Hyperlink"/>
          </w:rPr>
          <w:t>https://www.adass.org.uk/snap-survey-nov21-rapidly-deteriorating-social-services</w:t>
        </w:r>
      </w:hyperlink>
      <w:r w:rsidR="002379B4">
        <w:t xml:space="preserve"> Accessed on: </w:t>
      </w:r>
      <w:r w:rsidR="00360C50" w:rsidRPr="00295C08">
        <w:t>15.03.22</w:t>
      </w:r>
    </w:p>
  </w:footnote>
  <w:footnote w:id="115">
    <w:p w14:paraId="2936D333" w14:textId="06621447" w:rsidR="000E5593" w:rsidRDefault="000E5593">
      <w:pPr>
        <w:pStyle w:val="FootnoteText"/>
      </w:pPr>
      <w:r>
        <w:rPr>
          <w:rStyle w:val="FootnoteReference"/>
        </w:rPr>
        <w:footnoteRef/>
      </w:r>
      <w:r>
        <w:t xml:space="preserve"> Community Integrated Care (2021</w:t>
      </w:r>
      <w:r w:rsidRPr="000E5593">
        <w:rPr>
          <w:i/>
          <w:iCs/>
        </w:rPr>
        <w:t>). Unfair to Care: understanding the social care pay gap and how to close it.</w:t>
      </w:r>
      <w:r>
        <w:t xml:space="preserve"> [online] Available at: </w:t>
      </w:r>
      <w:hyperlink r:id="rId46" w:history="1">
        <w:r w:rsidRPr="00012462">
          <w:rPr>
            <w:rStyle w:val="Hyperlink"/>
          </w:rPr>
          <w:t>https://www.unfairtocare.co.uk/wp-content/uploads/2021/07/Unfair-To-Care-Summary-Report-Single-Pages.pdf</w:t>
        </w:r>
      </w:hyperlink>
      <w:r>
        <w:t xml:space="preserve"> Accessed on: </w:t>
      </w:r>
      <w:r w:rsidR="00360C50" w:rsidRPr="00295C08">
        <w:t>15.03.22</w:t>
      </w:r>
    </w:p>
  </w:footnote>
  <w:footnote w:id="116">
    <w:p w14:paraId="3B158AD5" w14:textId="68843B07" w:rsidR="000E5593" w:rsidRDefault="000E5593">
      <w:pPr>
        <w:pStyle w:val="FootnoteText"/>
      </w:pPr>
      <w:r>
        <w:rPr>
          <w:rStyle w:val="FootnoteReference"/>
        </w:rPr>
        <w:footnoteRef/>
      </w:r>
      <w:r>
        <w:t xml:space="preserve"> Community Integrated Care 2021</w:t>
      </w:r>
    </w:p>
  </w:footnote>
  <w:footnote w:id="117">
    <w:p w14:paraId="7AACC9E2" w14:textId="7F8FBF06" w:rsidR="005F6115" w:rsidRPr="00360C50" w:rsidRDefault="005F6115">
      <w:pPr>
        <w:pStyle w:val="FootnoteText"/>
      </w:pPr>
      <w:r w:rsidRPr="00360C50">
        <w:rPr>
          <w:rStyle w:val="FootnoteReference"/>
        </w:rPr>
        <w:footnoteRef/>
      </w:r>
      <w:r w:rsidRPr="00360C50">
        <w:t xml:space="preserve"> </w:t>
      </w:r>
      <w:r w:rsidR="00360C50" w:rsidRPr="00360C50">
        <w:t>CBCE7, CBCE8, CBCE22; FG1, FG3</w:t>
      </w:r>
    </w:p>
  </w:footnote>
  <w:footnote w:id="118">
    <w:p w14:paraId="2DEE38E2" w14:textId="035422E6" w:rsidR="00B97800" w:rsidRPr="00360C50" w:rsidRDefault="00B97800">
      <w:pPr>
        <w:pStyle w:val="FootnoteText"/>
      </w:pPr>
      <w:r w:rsidRPr="00360C50">
        <w:rPr>
          <w:rStyle w:val="FootnoteReference"/>
        </w:rPr>
        <w:footnoteRef/>
      </w:r>
      <w:r w:rsidRPr="00360C50">
        <w:t xml:space="preserve"> </w:t>
      </w:r>
      <w:r w:rsidR="00360C50" w:rsidRPr="00360C50">
        <w:t>CBCE27; DDPO5; FG4</w:t>
      </w:r>
    </w:p>
  </w:footnote>
  <w:footnote w:id="119">
    <w:p w14:paraId="3C1DD219" w14:textId="6ECAD3C3" w:rsidR="00FD18D7" w:rsidRDefault="00FD18D7">
      <w:pPr>
        <w:pStyle w:val="FootnoteText"/>
      </w:pPr>
      <w:r>
        <w:rPr>
          <w:rStyle w:val="FootnoteReference"/>
        </w:rPr>
        <w:footnoteRef/>
      </w:r>
      <w:r>
        <w:t xml:space="preserve"> DDPO6;</w:t>
      </w:r>
      <w:r w:rsidR="00360C50">
        <w:t xml:space="preserve"> </w:t>
      </w:r>
      <w:r>
        <w:t>DDPO9</w:t>
      </w:r>
    </w:p>
  </w:footnote>
  <w:footnote w:id="120">
    <w:p w14:paraId="31FAF166" w14:textId="0A87C0B2" w:rsidR="003653EB" w:rsidRDefault="003653EB" w:rsidP="003653EB">
      <w:pPr>
        <w:pStyle w:val="FootnoteText"/>
      </w:pPr>
      <w:r>
        <w:rPr>
          <w:rStyle w:val="FootnoteReference"/>
        </w:rPr>
        <w:footnoteRef/>
      </w:r>
      <w:r>
        <w:t xml:space="preserve"> Bristol City Council (2022). </w:t>
      </w:r>
      <w:r w:rsidRPr="003653EB">
        <w:rPr>
          <w:i/>
          <w:iCs/>
        </w:rPr>
        <w:t>Full Council</w:t>
      </w:r>
      <w:r w:rsidR="0046390E">
        <w:rPr>
          <w:i/>
          <w:iCs/>
        </w:rPr>
        <w:t xml:space="preserve"> – </w:t>
      </w:r>
      <w:r w:rsidRPr="003653EB">
        <w:rPr>
          <w:i/>
          <w:iCs/>
        </w:rPr>
        <w:t>Supplementary Information</w:t>
      </w:r>
      <w:r>
        <w:rPr>
          <w:i/>
          <w:iCs/>
        </w:rPr>
        <w:t xml:space="preserve"> – Wednesday 2 March 2022</w:t>
      </w:r>
      <w:r>
        <w:t xml:space="preserve">. Public Document Pack, [online] 24 February, </w:t>
      </w:r>
      <w:r w:rsidRPr="003653EB">
        <w:t>STATEMENT PS 47</w:t>
      </w:r>
      <w:r>
        <w:t xml:space="preserve">, p.49. Available at: </w:t>
      </w:r>
      <w:hyperlink r:id="rId47" w:history="1">
        <w:r w:rsidRPr="00CE080A">
          <w:rPr>
            <w:rStyle w:val="Hyperlink"/>
          </w:rPr>
          <w:t>https://democracy.bristol.gov.uk/documents/b30042/Public%20Forum%20republish%20-%20Statements%20received%20at%2015th%20Feb%20first%20budget%20meeting%2002nd-Mar-2022%2014.00%20.pdf?T=9</w:t>
        </w:r>
      </w:hyperlink>
      <w:r>
        <w:t xml:space="preserve"> Accessed on: </w:t>
      </w:r>
      <w:r w:rsidR="00360C50">
        <w:t>15.03.22</w:t>
      </w:r>
    </w:p>
  </w:footnote>
  <w:footnote w:id="121">
    <w:p w14:paraId="2B3539C8" w14:textId="5233CC8B" w:rsidR="00625189" w:rsidRDefault="00625189" w:rsidP="00625189">
      <w:pPr>
        <w:pStyle w:val="FootnoteText"/>
      </w:pPr>
      <w:r w:rsidRPr="00DC1778">
        <w:rPr>
          <w:rStyle w:val="FootnoteReference"/>
        </w:rPr>
        <w:footnoteRef/>
      </w:r>
      <w:r w:rsidRPr="00DC1778">
        <w:t xml:space="preserve"> NAO (2021). </w:t>
      </w:r>
      <w:r w:rsidRPr="00DC1778">
        <w:rPr>
          <w:i/>
          <w:iCs/>
        </w:rPr>
        <w:t>Local government finance in the pandemic</w:t>
      </w:r>
      <w:r w:rsidRPr="00DC1778">
        <w:t xml:space="preserve">, HC 1240 [online] 10 March. Available at: </w:t>
      </w:r>
      <w:hyperlink r:id="rId48" w:history="1">
        <w:r w:rsidRPr="00DC1778">
          <w:rPr>
            <w:rStyle w:val="Hyperlink"/>
          </w:rPr>
          <w:t>https://www.nao.org.uk/wp-content/uploads/2020/08/Local-government-finance-in-the-pandemic.pdf</w:t>
        </w:r>
      </w:hyperlink>
      <w:r w:rsidRPr="00DC1778">
        <w:t xml:space="preserve">  Accessed</w:t>
      </w:r>
      <w:r>
        <w:t xml:space="preserve"> on: </w:t>
      </w:r>
      <w:r w:rsidR="00360C50">
        <w:t>15.03.22</w:t>
      </w:r>
    </w:p>
    <w:p w14:paraId="33F66734" w14:textId="350C2D11" w:rsidR="00625189" w:rsidRDefault="00625189" w:rsidP="00625189">
      <w:pPr>
        <w:pStyle w:val="FootnoteText"/>
        <w:rPr>
          <w:highlight w:val="yellow"/>
        </w:rPr>
      </w:pPr>
      <w:r>
        <w:t xml:space="preserve">Butler, P. (2021). </w:t>
      </w:r>
      <w:r w:rsidRPr="009F3F6C">
        <w:t>Swingeing cuts on cards as councils in England face funding crisis, watchdog warns</w:t>
      </w:r>
      <w:r>
        <w:t xml:space="preserve">. </w:t>
      </w:r>
      <w:r w:rsidRPr="009F3F6C">
        <w:rPr>
          <w:i/>
          <w:iCs/>
        </w:rPr>
        <w:t>The Guardian,</w:t>
      </w:r>
      <w:r>
        <w:t xml:space="preserve"> [online] 10 March. Available at: </w:t>
      </w:r>
      <w:hyperlink r:id="rId49" w:history="1">
        <w:r w:rsidRPr="009F3F6C">
          <w:rPr>
            <w:rStyle w:val="Hyperlink"/>
          </w:rPr>
          <w:t>https://www.theguardian.com/society/2021/mar/10/swingeing-cuts-on-cards-as-councils-in-england-face-funding-crisis-watchdog-warns</w:t>
        </w:r>
      </w:hyperlink>
      <w:r w:rsidRPr="009F3F6C">
        <w:t xml:space="preserve"> Accessed on: </w:t>
      </w:r>
      <w:r w:rsidR="00A33CA7">
        <w:t>15.03.22</w:t>
      </w:r>
    </w:p>
    <w:p w14:paraId="0EE1FC8D" w14:textId="18F25323" w:rsidR="00625189" w:rsidRPr="00A33CA7" w:rsidRDefault="00625189" w:rsidP="00625189">
      <w:pPr>
        <w:pStyle w:val="FootnoteText"/>
      </w:pPr>
      <w:r>
        <w:t xml:space="preserve">Butler, P. (2021). </w:t>
      </w:r>
      <w:r w:rsidRPr="009F3F6C">
        <w:t xml:space="preserve">Slough goes bankrupt after discovery of £100m ‘black hole’ in budget. </w:t>
      </w:r>
      <w:r w:rsidRPr="009F3F6C">
        <w:rPr>
          <w:i/>
          <w:iCs/>
        </w:rPr>
        <w:t xml:space="preserve">The </w:t>
      </w:r>
      <w:r w:rsidRPr="009F3F6C">
        <w:t xml:space="preserve">Guardian, [online] 2 July. </w:t>
      </w:r>
      <w:r w:rsidRPr="00A33CA7">
        <w:t xml:space="preserve">Available at: </w:t>
      </w:r>
      <w:hyperlink r:id="rId50" w:history="1">
        <w:r w:rsidRPr="00A33CA7">
          <w:rPr>
            <w:rStyle w:val="Hyperlink"/>
          </w:rPr>
          <w:t>https://www.theguardian.com/society/2021/jul/02/slough-goes-bankrupt-after-discovery-of-100m-black-hole-in-budget</w:t>
        </w:r>
      </w:hyperlink>
      <w:r w:rsidRPr="00A33CA7">
        <w:t xml:space="preserve"> Accessed on: </w:t>
      </w:r>
      <w:r w:rsidR="00360C50" w:rsidRPr="00A33CA7">
        <w:t>15.03.22</w:t>
      </w:r>
    </w:p>
  </w:footnote>
  <w:footnote w:id="122">
    <w:p w14:paraId="0EA26BB7" w14:textId="7C785DB3" w:rsidR="00625189" w:rsidRPr="00A33CA7" w:rsidRDefault="00625189" w:rsidP="00625189">
      <w:pPr>
        <w:pStyle w:val="FootnoteText"/>
      </w:pPr>
      <w:r w:rsidRPr="00A33CA7">
        <w:rPr>
          <w:rStyle w:val="FootnoteReference"/>
        </w:rPr>
        <w:footnoteRef/>
      </w:r>
      <w:r w:rsidRPr="00A33CA7">
        <w:t xml:space="preserve"> </w:t>
      </w:r>
      <w:r w:rsidR="00360C50" w:rsidRPr="00A33CA7">
        <w:t xml:space="preserve">Health and Social Care Committee (2020). </w:t>
      </w:r>
      <w:r w:rsidR="00360C50" w:rsidRPr="00A33CA7">
        <w:rPr>
          <w:i/>
          <w:iCs/>
        </w:rPr>
        <w:t>Social care: funding and workforce</w:t>
      </w:r>
      <w:r w:rsidR="00360C50" w:rsidRPr="00A33CA7">
        <w:t xml:space="preserve">. HC 206 [online] 22 October. Available at: </w:t>
      </w:r>
      <w:hyperlink r:id="rId51" w:history="1">
        <w:r w:rsidR="00360C50" w:rsidRPr="00A33CA7">
          <w:rPr>
            <w:rStyle w:val="Hyperlink"/>
          </w:rPr>
          <w:t>https://committees.parliament.uk/publications/3120/documents/29193/default/</w:t>
        </w:r>
      </w:hyperlink>
      <w:r w:rsidR="00360C50" w:rsidRPr="00A33CA7">
        <w:t xml:space="preserve"> Accessed on: 15.03.22</w:t>
      </w:r>
    </w:p>
  </w:footnote>
  <w:footnote w:id="123">
    <w:p w14:paraId="080B11B1" w14:textId="3F22AF59" w:rsidR="00625189" w:rsidRPr="00A33CA7" w:rsidRDefault="00625189" w:rsidP="00625189">
      <w:pPr>
        <w:pStyle w:val="FootnoteText"/>
      </w:pPr>
      <w:r w:rsidRPr="00A33CA7">
        <w:rPr>
          <w:rStyle w:val="FootnoteReference"/>
        </w:rPr>
        <w:footnoteRef/>
      </w:r>
      <w:r w:rsidRPr="00A33CA7">
        <w:t xml:space="preserve"> </w:t>
      </w:r>
      <w:r w:rsidR="00360C50" w:rsidRPr="00A33CA7">
        <w:t>CBCE6, CBCE7, CBCE10; DDPO6; FG1; SR245</w:t>
      </w:r>
    </w:p>
  </w:footnote>
  <w:footnote w:id="124">
    <w:p w14:paraId="07DB2EC7" w14:textId="6084AEF3" w:rsidR="004E689E" w:rsidRDefault="004E689E">
      <w:pPr>
        <w:pStyle w:val="FootnoteText"/>
      </w:pPr>
      <w:r w:rsidRPr="00A33CA7">
        <w:rPr>
          <w:rStyle w:val="FootnoteReference"/>
        </w:rPr>
        <w:footnoteRef/>
      </w:r>
      <w:r w:rsidRPr="00A33CA7">
        <w:t xml:space="preserve"> </w:t>
      </w:r>
      <w:r w:rsidR="00A33CA7" w:rsidRPr="00A33CA7">
        <w:t>CBCE7, CBCE10, CBCE14, CBCE16; DDPO26</w:t>
      </w:r>
      <w:r w:rsidR="00A33CA7">
        <w:t xml:space="preserve">; D.DP4; FG1; </w:t>
      </w:r>
      <w:r w:rsidR="00A33CA7" w:rsidRPr="004E689E">
        <w:t>SR155;</w:t>
      </w:r>
      <w:r w:rsidR="00A33CA7">
        <w:t xml:space="preserve"> </w:t>
      </w:r>
      <w:r w:rsidR="00A33CA7" w:rsidRPr="004E689E">
        <w:t>SR337</w:t>
      </w:r>
    </w:p>
  </w:footnote>
  <w:footnote w:id="125">
    <w:p w14:paraId="5C7A192C" w14:textId="45ED95EB" w:rsidR="00246ED5" w:rsidRDefault="00246ED5">
      <w:pPr>
        <w:pStyle w:val="FootnoteText"/>
      </w:pPr>
      <w:r w:rsidRPr="00EF6430">
        <w:rPr>
          <w:rStyle w:val="FootnoteReference"/>
        </w:rPr>
        <w:footnoteRef/>
      </w:r>
      <w:r w:rsidRPr="00EF6430">
        <w:t xml:space="preserve"> </w:t>
      </w:r>
      <w:r w:rsidR="00EF6430" w:rsidRPr="00EF6430">
        <w:t>Meeting between DPAC and MAC on 01.04.2021</w:t>
      </w:r>
    </w:p>
  </w:footnote>
  <w:footnote w:id="126">
    <w:p w14:paraId="419C7CF6" w14:textId="5573EC47" w:rsidR="004E689E" w:rsidRDefault="004E689E" w:rsidP="004E689E">
      <w:pPr>
        <w:pStyle w:val="FootnoteText"/>
      </w:pPr>
      <w:r w:rsidRPr="00E7508E">
        <w:rPr>
          <w:rStyle w:val="FootnoteReference"/>
        </w:rPr>
        <w:footnoteRef/>
      </w:r>
      <w:r w:rsidRPr="00E7508E">
        <w:t xml:space="preserve"> </w:t>
      </w:r>
      <w:r w:rsidRPr="00E7508E">
        <w:t xml:space="preserve">Delahunty, (2021). Care sector facing 'most acute recruitment and retention crisis' in its history, not-for-profit organisations warn. </w:t>
      </w:r>
      <w:r w:rsidRPr="00E7508E">
        <w:rPr>
          <w:i/>
          <w:iCs/>
        </w:rPr>
        <w:t>Thirdsector.com</w:t>
      </w:r>
      <w:r w:rsidRPr="00E7508E">
        <w:t xml:space="preserve">, [online] 29 September. Available at: </w:t>
      </w:r>
      <w:hyperlink r:id="rId52" w:history="1">
        <w:r w:rsidR="009F3F6C" w:rsidRPr="00002AC9">
          <w:rPr>
            <w:rStyle w:val="Hyperlink"/>
          </w:rPr>
          <w:t>https://www.thirdsector.co.uk/care-sector-facing-most-acute-recruitment-retention-crisis-its-history-not-for-profit-organisations-warn/management/article/1728476</w:t>
        </w:r>
      </w:hyperlink>
      <w:r w:rsidR="009F3F6C">
        <w:t xml:space="preserve"> Accessed on: </w:t>
      </w:r>
      <w:r w:rsidR="0045326C">
        <w:t>15.03.22</w:t>
      </w:r>
    </w:p>
  </w:footnote>
  <w:footnote w:id="127">
    <w:p w14:paraId="00CE0138" w14:textId="7D94CBCB" w:rsidR="00246ED5" w:rsidRDefault="00246ED5" w:rsidP="00246ED5">
      <w:pPr>
        <w:pStyle w:val="FootnoteText"/>
      </w:pPr>
      <w:r>
        <w:rPr>
          <w:rStyle w:val="FootnoteReference"/>
        </w:rPr>
        <w:footnoteRef/>
      </w:r>
      <w:r>
        <w:t xml:space="preserve"> </w:t>
      </w:r>
      <w:r w:rsidR="0045326C">
        <w:t>CBCE22; DDPO30</w:t>
      </w:r>
    </w:p>
  </w:footnote>
  <w:footnote w:id="128">
    <w:p w14:paraId="3A01D2AB" w14:textId="6F2E2E39" w:rsidR="003C4231" w:rsidRDefault="003C4231">
      <w:pPr>
        <w:pStyle w:val="FootnoteText"/>
      </w:pPr>
      <w:r w:rsidRPr="0045326C">
        <w:rPr>
          <w:rStyle w:val="FootnoteReference"/>
        </w:rPr>
        <w:footnoteRef/>
      </w:r>
      <w:r w:rsidRPr="0045326C">
        <w:t xml:space="preserve"> </w:t>
      </w:r>
      <w:r w:rsidR="0045326C" w:rsidRPr="0045326C">
        <w:t xml:space="preserve">CBCE7, CBCE9, CBCE16, CBCE23; DDPO2, DDPO26, DDPO27; </w:t>
      </w:r>
      <w:r w:rsidR="0045326C" w:rsidRPr="0045326C">
        <w:t>D.DP34; OI1; FG2; SR180, SR326</w:t>
      </w:r>
      <w:r w:rsidRPr="0045326C">
        <w:t>.</w:t>
      </w:r>
    </w:p>
  </w:footnote>
  <w:footnote w:id="129">
    <w:p w14:paraId="6D804EE9" w14:textId="29855861" w:rsidR="00705393" w:rsidRDefault="00705393">
      <w:pPr>
        <w:pStyle w:val="FootnoteText"/>
      </w:pPr>
      <w:r>
        <w:rPr>
          <w:rStyle w:val="FootnoteReference"/>
        </w:rPr>
        <w:footnoteRef/>
      </w:r>
      <w:r>
        <w:t xml:space="preserve"> </w:t>
      </w:r>
      <w:r w:rsidRPr="00705393">
        <w:t>DDPO3 p.54; CBCE5; CBCE8; CBCE16; CBCE22; D.DP1</w:t>
      </w:r>
    </w:p>
  </w:footnote>
  <w:footnote w:id="130">
    <w:p w14:paraId="2E70924B" w14:textId="258F2902" w:rsidR="00483CDD" w:rsidRDefault="00483CDD">
      <w:pPr>
        <w:pStyle w:val="FootnoteText"/>
      </w:pPr>
      <w:r>
        <w:rPr>
          <w:rStyle w:val="FootnoteReference"/>
        </w:rPr>
        <w:footnoteRef/>
      </w:r>
      <w:r>
        <w:t xml:space="preserve"> D.DP1</w:t>
      </w:r>
    </w:p>
  </w:footnote>
  <w:footnote w:id="131">
    <w:p w14:paraId="2AB2D97D" w14:textId="0C79DFBA" w:rsidR="00AF6372" w:rsidRDefault="00AF6372">
      <w:pPr>
        <w:pStyle w:val="FootnoteText"/>
      </w:pPr>
      <w:r>
        <w:rPr>
          <w:rStyle w:val="FootnoteReference"/>
        </w:rPr>
        <w:footnoteRef/>
      </w:r>
      <w:r>
        <w:t xml:space="preserve"> </w:t>
      </w:r>
      <w:r w:rsidRPr="00AF6372">
        <w:t>SH, R (On the Application Of) v Norfolk County Council &amp; Anor (Rev 1) [2020] EWHC 3436 (Admin) (18 December 2020)</w:t>
      </w:r>
      <w:r>
        <w:t xml:space="preserve"> Available at: </w:t>
      </w:r>
      <w:hyperlink r:id="rId53" w:history="1">
        <w:r w:rsidRPr="00A4243C">
          <w:rPr>
            <w:rStyle w:val="Hyperlink"/>
          </w:rPr>
          <w:t>https://www.bailii.org/ew/cases/EWHC/Admin/2020/3436.html</w:t>
        </w:r>
      </w:hyperlink>
      <w:r>
        <w:t xml:space="preserve"> Accessed on: </w:t>
      </w:r>
      <w:r w:rsidR="0045326C">
        <w:t>15.03.22</w:t>
      </w:r>
    </w:p>
  </w:footnote>
  <w:footnote w:id="132">
    <w:p w14:paraId="1FF98B20" w14:textId="711C862E" w:rsidR="0045326C" w:rsidRDefault="0045326C">
      <w:pPr>
        <w:pStyle w:val="FootnoteText"/>
      </w:pPr>
      <w:r>
        <w:rPr>
          <w:rStyle w:val="FootnoteReference"/>
        </w:rPr>
        <w:footnoteRef/>
      </w:r>
      <w:r>
        <w:t xml:space="preserve"> CBCE8</w:t>
      </w:r>
    </w:p>
  </w:footnote>
  <w:footnote w:id="133">
    <w:p w14:paraId="4531502F" w14:textId="5BACF067" w:rsidR="0026413A" w:rsidRPr="0026413A" w:rsidRDefault="0026413A">
      <w:pPr>
        <w:pStyle w:val="FootnoteText"/>
      </w:pPr>
      <w:r>
        <w:rPr>
          <w:rStyle w:val="FootnoteReference"/>
        </w:rPr>
        <w:footnoteRef/>
      </w:r>
      <w:r>
        <w:t xml:space="preserve"> </w:t>
      </w:r>
      <w:r>
        <w:t xml:space="preserve">Pring, J. (2022). </w:t>
      </w:r>
      <w:r w:rsidRPr="0026413A">
        <w:t>Tens of thousands driven into debt by care charges, new figures show</w:t>
      </w:r>
      <w:r>
        <w:t xml:space="preserve">. </w:t>
      </w:r>
      <w:r>
        <w:rPr>
          <w:i/>
          <w:iCs/>
        </w:rPr>
        <w:t>Disability News Service</w:t>
      </w:r>
      <w:r>
        <w:t xml:space="preserve">, [online] 17 February. Available at: </w:t>
      </w:r>
      <w:hyperlink r:id="rId54" w:history="1">
        <w:r w:rsidRPr="00054B02">
          <w:rPr>
            <w:rStyle w:val="Hyperlink"/>
          </w:rPr>
          <w:t>https://www.disabilitynewsservice.com/tens-of-thousands-driven-into-debt-by-care-charges-new-figures-show/</w:t>
        </w:r>
      </w:hyperlink>
      <w:r>
        <w:t xml:space="preserve"> Accessed on: </w:t>
      </w:r>
      <w:r w:rsidR="001E3CDA">
        <w:t>15.03.22</w:t>
      </w:r>
    </w:p>
  </w:footnote>
  <w:footnote w:id="134">
    <w:p w14:paraId="0782693B" w14:textId="609B9A18" w:rsidR="000C4026" w:rsidRDefault="000C4026">
      <w:pPr>
        <w:pStyle w:val="FootnoteText"/>
      </w:pPr>
      <w:r>
        <w:rPr>
          <w:rStyle w:val="FootnoteReference"/>
        </w:rPr>
        <w:footnoteRef/>
      </w:r>
      <w:r>
        <w:t xml:space="preserve"> GMB Union (2018). </w:t>
      </w:r>
      <w:r w:rsidRPr="000C4026">
        <w:rPr>
          <w:i/>
          <w:iCs/>
        </w:rPr>
        <w:t>At least 166,000 trapped in social care debt.</w:t>
      </w:r>
      <w:r>
        <w:t xml:space="preserve"> [press release] 4 June. Available at: </w:t>
      </w:r>
      <w:hyperlink r:id="rId55" w:history="1">
        <w:r w:rsidRPr="00054B02">
          <w:rPr>
            <w:rStyle w:val="Hyperlink"/>
          </w:rPr>
          <w:t>https://www.gmb.org.uk/news/least-166000-trapped-social-care-debt</w:t>
        </w:r>
      </w:hyperlink>
      <w:r>
        <w:t xml:space="preserve">. Accessed on: </w:t>
      </w:r>
      <w:r w:rsidR="001E3CDA">
        <w:t>15.03.22</w:t>
      </w:r>
    </w:p>
  </w:footnote>
  <w:footnote w:id="135">
    <w:p w14:paraId="4C952CCA" w14:textId="034443D9" w:rsidR="00F57AAE" w:rsidRDefault="00F57AAE" w:rsidP="00F57AAE">
      <w:pPr>
        <w:pStyle w:val="FootnoteText"/>
      </w:pPr>
      <w:r>
        <w:rPr>
          <w:rStyle w:val="FootnoteReference"/>
        </w:rPr>
        <w:footnoteRef/>
      </w:r>
      <w:r>
        <w:t xml:space="preserve"> </w:t>
      </w:r>
      <w:r w:rsidRPr="009F3F6C">
        <w:t>Martin,</w:t>
      </w:r>
      <w:r>
        <w:t xml:space="preserve"> S.,</w:t>
      </w:r>
      <w:r w:rsidRPr="009F3F6C">
        <w:t xml:space="preserve"> Longo,</w:t>
      </w:r>
      <w:r>
        <w:t xml:space="preserve"> F., </w:t>
      </w:r>
      <w:r w:rsidRPr="009F3F6C">
        <w:t>Lomas,</w:t>
      </w:r>
      <w:r>
        <w:t xml:space="preserve"> J.,</w:t>
      </w:r>
      <w:r w:rsidRPr="009F3F6C">
        <w:t xml:space="preserve"> Claxton</w:t>
      </w:r>
      <w:r>
        <w:t xml:space="preserve">, K. (2021). </w:t>
      </w:r>
      <w:r w:rsidRPr="00CD6E41">
        <w:t xml:space="preserve">Causal impact of social care, public health and healthcare expenditure on mortality in England: cross-sectional evidence for 2013/2014. </w:t>
      </w:r>
      <w:r w:rsidRPr="00CD6E41">
        <w:rPr>
          <w:i/>
          <w:iCs/>
        </w:rPr>
        <w:t>BMJ Open</w:t>
      </w:r>
      <w:r w:rsidRPr="00CD6E41">
        <w:t xml:space="preserve">, vol. 11, issue 10. Available at: </w:t>
      </w:r>
      <w:hyperlink r:id="rId56" w:history="1">
        <w:r w:rsidRPr="00CD6E41">
          <w:rPr>
            <w:rStyle w:val="Hyperlink"/>
          </w:rPr>
          <w:t>https://bmjopen.bmj.com/content/11/10/e046417</w:t>
        </w:r>
      </w:hyperlink>
      <w:r>
        <w:t xml:space="preserve"> Accessed on: </w:t>
      </w:r>
      <w:r w:rsidR="001E3CDA">
        <w:t>15.03.22</w:t>
      </w:r>
    </w:p>
  </w:footnote>
  <w:footnote w:id="136">
    <w:p w14:paraId="31EB4559" w14:textId="77777777" w:rsidR="005B63EB" w:rsidRDefault="005B63EB" w:rsidP="005B63EB">
      <w:pPr>
        <w:pStyle w:val="FootnoteText"/>
      </w:pPr>
      <w:r>
        <w:rPr>
          <w:rStyle w:val="FootnoteReference"/>
        </w:rPr>
        <w:footnoteRef/>
      </w:r>
      <w:r>
        <w:t xml:space="preserve"> OO1</w:t>
      </w:r>
    </w:p>
  </w:footnote>
  <w:footnote w:id="137">
    <w:p w14:paraId="4F31DCB2" w14:textId="23392323" w:rsidR="001E6D2F" w:rsidRDefault="001E6D2F">
      <w:pPr>
        <w:pStyle w:val="FootnoteText"/>
      </w:pPr>
      <w:r>
        <w:rPr>
          <w:rStyle w:val="FootnoteReference"/>
        </w:rPr>
        <w:footnoteRef/>
      </w:r>
      <w:r>
        <w:t xml:space="preserve"> L</w:t>
      </w:r>
      <w:r w:rsidR="000C487E">
        <w:t>GSCO</w:t>
      </w:r>
      <w:r>
        <w:t xml:space="preserve"> (2021). </w:t>
      </w:r>
      <w:r w:rsidRPr="001E6D2F">
        <w:t>Failing social care system reflected in relentless rise in Ombudsman’s upheld complaints</w:t>
      </w:r>
      <w:r>
        <w:t xml:space="preserve">. </w:t>
      </w:r>
      <w:r w:rsidRPr="001E6D2F">
        <w:rPr>
          <w:i/>
          <w:iCs/>
        </w:rPr>
        <w:t>lgo.org.uk</w:t>
      </w:r>
      <w:r>
        <w:t xml:space="preserve">, [online]. Available at: </w:t>
      </w:r>
      <w:hyperlink r:id="rId57" w:history="1">
        <w:r w:rsidR="00CD6E41" w:rsidRPr="00002AC9">
          <w:rPr>
            <w:rStyle w:val="Hyperlink"/>
          </w:rPr>
          <w:t>https://www.lgo.org.uk/information-centre/news/2021/sep/failing-social-care-system-reflected-in-relentless-rise-in-ombudsman-s-upheld-complaints</w:t>
        </w:r>
      </w:hyperlink>
      <w:r w:rsidR="00CD6E41">
        <w:t xml:space="preserve"> Accessed on: </w:t>
      </w:r>
      <w:r w:rsidR="001E3CDA">
        <w:t>15.03.22</w:t>
      </w:r>
    </w:p>
  </w:footnote>
  <w:footnote w:id="138">
    <w:p w14:paraId="19011AAC" w14:textId="4CFB0964" w:rsidR="001E6D2F" w:rsidRDefault="001E6D2F">
      <w:pPr>
        <w:pStyle w:val="FootnoteText"/>
      </w:pPr>
      <w:r>
        <w:rPr>
          <w:rStyle w:val="FootnoteReference"/>
        </w:rPr>
        <w:footnoteRef/>
      </w:r>
      <w:r>
        <w:t xml:space="preserve"> p.</w:t>
      </w:r>
      <w:fldSimple w:instr=" PAGEREF Appendix4 ">
        <w:r w:rsidR="00441F5D">
          <w:rPr>
            <w:noProof/>
          </w:rPr>
          <w:t>124</w:t>
        </w:r>
      </w:fldSimple>
    </w:p>
  </w:footnote>
  <w:footnote w:id="139">
    <w:p w14:paraId="037D041F" w14:textId="69F361DE" w:rsidR="008456A7" w:rsidRDefault="008456A7">
      <w:pPr>
        <w:pStyle w:val="FootnoteText"/>
      </w:pPr>
      <w:r w:rsidRPr="001E3CDA">
        <w:rPr>
          <w:rStyle w:val="FootnoteReference"/>
        </w:rPr>
        <w:footnoteRef/>
      </w:r>
      <w:r w:rsidRPr="001E3CDA">
        <w:t xml:space="preserve"> </w:t>
      </w:r>
      <w:r w:rsidR="001E3CDA" w:rsidRPr="001E3CDA">
        <w:t>CBCE13; OO4, OO</w:t>
      </w:r>
      <w:r w:rsidR="00781E1B">
        <w:t>6</w:t>
      </w:r>
      <w:r w:rsidR="001E3CDA" w:rsidRPr="001E3CDA">
        <w:t>, OO13</w:t>
      </w:r>
    </w:p>
  </w:footnote>
  <w:footnote w:id="140">
    <w:p w14:paraId="3DFBD0EE" w14:textId="29D8F5DE" w:rsidR="002D4BAF" w:rsidRDefault="002D4BAF" w:rsidP="002D4BAF">
      <w:pPr>
        <w:pStyle w:val="FootnoteText"/>
      </w:pPr>
      <w:r w:rsidRPr="00441F5D">
        <w:rPr>
          <w:rStyle w:val="FootnoteReference"/>
        </w:rPr>
        <w:footnoteRef/>
      </w:r>
      <w:r w:rsidRPr="00441F5D">
        <w:t xml:space="preserve"> </w:t>
      </w:r>
      <w:r w:rsidR="001E3CDA" w:rsidRPr="00441F5D">
        <w:t>For related case studies see Annex A, p.</w:t>
      </w:r>
      <w:fldSimple w:instr=" PAGEREF AnnexA ">
        <w:r w:rsidR="00441F5D" w:rsidRPr="00441F5D">
          <w:rPr>
            <w:noProof/>
          </w:rPr>
          <w:t>147</w:t>
        </w:r>
      </w:fldSimple>
    </w:p>
  </w:footnote>
  <w:footnote w:id="141">
    <w:p w14:paraId="0306C679" w14:textId="389AF0BB" w:rsidR="005570A7" w:rsidRPr="005C35B4" w:rsidRDefault="005570A7" w:rsidP="00F80A0F">
      <w:pPr>
        <w:pStyle w:val="FootnoteText"/>
      </w:pPr>
      <w:r w:rsidRPr="005C35B4">
        <w:rPr>
          <w:rStyle w:val="FootnoteReference"/>
        </w:rPr>
        <w:footnoteRef/>
      </w:r>
      <w:r w:rsidRPr="005C35B4">
        <w:t xml:space="preserve"> </w:t>
      </w:r>
      <w:r w:rsidR="00F80A0F" w:rsidRPr="005C35B4">
        <w:t xml:space="preserve">Gayle, V., Hamada, R., </w:t>
      </w:r>
      <w:r w:rsidR="00F80A0F" w:rsidRPr="005C35B4">
        <w:t xml:space="preserve">Boutaud, R. (2021). </w:t>
      </w:r>
      <w:r w:rsidR="005C35B4" w:rsidRPr="005C35B4">
        <w:t xml:space="preserve">Revealed: Thousands more deaths in home care during pandemic. </w:t>
      </w:r>
      <w:r w:rsidR="005C35B4" w:rsidRPr="005C35B4">
        <w:rPr>
          <w:i/>
          <w:iCs/>
        </w:rPr>
        <w:t>The Bureau of Investigative Journalism</w:t>
      </w:r>
      <w:r w:rsidR="005C35B4" w:rsidRPr="005C35B4">
        <w:t xml:space="preserve">, </w:t>
      </w:r>
      <w:r w:rsidR="000C487E">
        <w:t xml:space="preserve">[online] </w:t>
      </w:r>
      <w:r w:rsidR="005C35B4" w:rsidRPr="005C35B4">
        <w:t xml:space="preserve">10 May. Available at: </w:t>
      </w:r>
      <w:r w:rsidR="00F80A0F" w:rsidRPr="005C35B4">
        <w:t xml:space="preserve"> </w:t>
      </w:r>
      <w:hyperlink r:id="rId58" w:history="1">
        <w:r w:rsidR="00CD6E41" w:rsidRPr="00002AC9">
          <w:rPr>
            <w:rStyle w:val="Hyperlink"/>
          </w:rPr>
          <w:t>https://www.thebureauinvestigates.com/stories/2021-05-10/revealed-thousands-of-pandemic-deaths-in-home-care</w:t>
        </w:r>
      </w:hyperlink>
      <w:r w:rsidR="00CD6E41">
        <w:t xml:space="preserve"> Accessed on: </w:t>
      </w:r>
      <w:r w:rsidR="001E3CDA">
        <w:t>15.03.22</w:t>
      </w:r>
    </w:p>
  </w:footnote>
  <w:footnote w:id="142">
    <w:p w14:paraId="4A20E4FF" w14:textId="6C2550EE" w:rsidR="00483CDD" w:rsidRDefault="00483CDD" w:rsidP="00483CDD">
      <w:pPr>
        <w:pStyle w:val="FootnoteText"/>
      </w:pPr>
      <w:r w:rsidRPr="00CD6E41">
        <w:rPr>
          <w:rStyle w:val="FootnoteReference"/>
        </w:rPr>
        <w:footnoteRef/>
      </w:r>
      <w:r w:rsidRPr="00CD6E41">
        <w:t xml:space="preserve"> </w:t>
      </w:r>
      <w:r w:rsidR="00CD6E41" w:rsidRPr="00CD6E41">
        <w:t>Nelson, N. (2020). Thirst killed 345 non-</w:t>
      </w:r>
      <w:r w:rsidR="00C006F0">
        <w:t>COVID</w:t>
      </w:r>
      <w:r w:rsidR="00CD6E41" w:rsidRPr="00CD6E41">
        <w:t xml:space="preserve"> patients in hospitals and care homes during first lockdown. </w:t>
      </w:r>
      <w:r w:rsidR="00CD6E41" w:rsidRPr="000C487E">
        <w:rPr>
          <w:i/>
          <w:iCs/>
        </w:rPr>
        <w:t>Mirror</w:t>
      </w:r>
      <w:r w:rsidR="00CD6E41" w:rsidRPr="00CD6E41">
        <w:t xml:space="preserve">, </w:t>
      </w:r>
      <w:r w:rsidR="000C487E">
        <w:t xml:space="preserve">[online] </w:t>
      </w:r>
      <w:r w:rsidR="00CD6E41" w:rsidRPr="00CD6E41">
        <w:t xml:space="preserve">13 December. Available at: </w:t>
      </w:r>
      <w:hyperlink r:id="rId59" w:history="1">
        <w:r w:rsidR="00CD6E41" w:rsidRPr="00CD6E41">
          <w:rPr>
            <w:rStyle w:val="Hyperlink"/>
          </w:rPr>
          <w:t>https://www.mirror.co.uk/news/politics/thirst-killed-345-non-covid-23158070</w:t>
        </w:r>
      </w:hyperlink>
      <w:r w:rsidR="00CD6E41">
        <w:t xml:space="preserve"> Accessed on: </w:t>
      </w:r>
      <w:r w:rsidR="001E3CDA">
        <w:t>15.03.22</w:t>
      </w:r>
    </w:p>
  </w:footnote>
  <w:footnote w:id="143">
    <w:p w14:paraId="72D49FA3" w14:textId="5985E7D9" w:rsidR="009A34EF" w:rsidRDefault="009A34EF" w:rsidP="009A34EF">
      <w:pPr>
        <w:pStyle w:val="FootnoteText"/>
      </w:pPr>
      <w:r w:rsidRPr="00F40150">
        <w:rPr>
          <w:rStyle w:val="FootnoteReference"/>
        </w:rPr>
        <w:footnoteRef/>
      </w:r>
      <w:r w:rsidRPr="00F40150">
        <w:t xml:space="preserve"> </w:t>
      </w:r>
      <w:r w:rsidR="00F40150" w:rsidRPr="00F40150">
        <w:t xml:space="preserve">Carter, C. (2021). Government scraps coronavirus provisions allowing councils to suspend key Care Act duties. </w:t>
      </w:r>
      <w:r w:rsidR="00F40150" w:rsidRPr="00F40150">
        <w:rPr>
          <w:i/>
          <w:iCs/>
        </w:rPr>
        <w:t xml:space="preserve">Community </w:t>
      </w:r>
      <w:r w:rsidR="00F40150" w:rsidRPr="00F40150">
        <w:t xml:space="preserve">Care, [online] 25 March. Available at: </w:t>
      </w:r>
      <w:hyperlink r:id="rId60" w:history="1">
        <w:r w:rsidR="00F40150" w:rsidRPr="00F40150">
          <w:rPr>
            <w:rStyle w:val="Hyperlink"/>
          </w:rPr>
          <w:t>https://www.communitycare.co.uk/2021/03/25/government-scraps-coronavirus-provisions-allowing-councils-suspend-key-care-act-duties/</w:t>
        </w:r>
      </w:hyperlink>
      <w:r w:rsidR="00F40150" w:rsidRPr="00F40150">
        <w:t xml:space="preserve"> Accessed on: </w:t>
      </w:r>
      <w:r w:rsidR="001E3CDA">
        <w:t>15.03.22</w:t>
      </w:r>
    </w:p>
  </w:footnote>
  <w:footnote w:id="144">
    <w:p w14:paraId="48862AF7" w14:textId="62A7FD57" w:rsidR="005570A7" w:rsidRPr="005C35B4" w:rsidRDefault="005570A7" w:rsidP="005570A7">
      <w:pPr>
        <w:pStyle w:val="FootnoteText"/>
      </w:pPr>
      <w:r w:rsidRPr="005C35B4">
        <w:rPr>
          <w:rStyle w:val="FootnoteReference"/>
        </w:rPr>
        <w:footnoteRef/>
      </w:r>
      <w:r w:rsidRPr="005C35B4">
        <w:t xml:space="preserve"> See Appendix </w:t>
      </w:r>
      <w:r w:rsidR="00990606" w:rsidRPr="005C35B4">
        <w:t>8</w:t>
      </w:r>
      <w:r w:rsidR="000D16AE">
        <w:t>, p.</w:t>
      </w:r>
      <w:fldSimple w:instr=" PAGEREF Appendix8 ">
        <w:r w:rsidR="009A7665">
          <w:rPr>
            <w:noProof/>
          </w:rPr>
          <w:t>140</w:t>
        </w:r>
      </w:fldSimple>
    </w:p>
  </w:footnote>
  <w:footnote w:id="145">
    <w:p w14:paraId="5B512695" w14:textId="4AE7E6E8" w:rsidR="009A34EF" w:rsidRDefault="009A34EF" w:rsidP="009A34EF">
      <w:pPr>
        <w:pStyle w:val="FootnoteText"/>
      </w:pPr>
      <w:r w:rsidRPr="002B444D">
        <w:rPr>
          <w:rStyle w:val="FootnoteReference"/>
        </w:rPr>
        <w:footnoteRef/>
      </w:r>
      <w:r w:rsidRPr="002B444D">
        <w:t xml:space="preserve"> </w:t>
      </w:r>
      <w:r w:rsidR="001E3CDA" w:rsidRPr="002B444D">
        <w:t>D.DP29</w:t>
      </w:r>
      <w:r w:rsidR="001E3CDA">
        <w:t xml:space="preserve">. </w:t>
      </w:r>
      <w:r w:rsidR="001E3CDA" w:rsidRPr="00B8657C">
        <w:t xml:space="preserve">Also see: </w:t>
      </w:r>
      <w:r w:rsidR="001E3CDA" w:rsidRPr="00B8657C">
        <w:t>Pring, J. (2021). Minister invited 44 ‘leaders’ to care summit, but not one disabled people’s organisation</w:t>
      </w:r>
      <w:r w:rsidR="001E3CDA">
        <w:t xml:space="preserve">. </w:t>
      </w:r>
      <w:r w:rsidR="001E3CDA" w:rsidRPr="00811FE2">
        <w:rPr>
          <w:i/>
          <w:iCs/>
        </w:rPr>
        <w:t>Disability News Service</w:t>
      </w:r>
      <w:r w:rsidR="001E3CDA">
        <w:t xml:space="preserve">, [online] 14 October. Available at: </w:t>
      </w:r>
      <w:hyperlink r:id="rId61" w:history="1">
        <w:r w:rsidR="001E3CDA" w:rsidRPr="00B8657C">
          <w:rPr>
            <w:rStyle w:val="Hyperlink"/>
          </w:rPr>
          <w:t>https://www.disabilitynewsservice.com/minister-invited-44-leaders-to-care-summit-but-not-one-disabled-peoples-organisation/</w:t>
        </w:r>
      </w:hyperlink>
      <w:r w:rsidR="001E3CDA" w:rsidRPr="00B8657C">
        <w:t xml:space="preserve"> Accessed on: 15.03.22</w:t>
      </w:r>
    </w:p>
  </w:footnote>
  <w:footnote w:id="146">
    <w:p w14:paraId="70270B62" w14:textId="34085FA7" w:rsidR="009A34EF" w:rsidRPr="006E3CF1" w:rsidRDefault="009A34EF" w:rsidP="009A34EF">
      <w:pPr>
        <w:pStyle w:val="FootnoteText"/>
        <w:rPr>
          <w:highlight w:val="yellow"/>
        </w:rPr>
      </w:pPr>
      <w:r w:rsidRPr="002B444D">
        <w:rPr>
          <w:rStyle w:val="FootnoteReference"/>
        </w:rPr>
        <w:footnoteRef/>
      </w:r>
      <w:r w:rsidRPr="002B444D">
        <w:t xml:space="preserve"> </w:t>
      </w:r>
      <w:r w:rsidR="001E3CDA" w:rsidRPr="002B444D">
        <w:t>Pring</w:t>
      </w:r>
      <w:r w:rsidR="001E3CDA" w:rsidRPr="00B8657C">
        <w:t xml:space="preserve">, J. (2018). Care minister admits ignoring views of disabled people on government’s reforms. </w:t>
      </w:r>
      <w:r w:rsidR="001E3CDA" w:rsidRPr="00B8657C">
        <w:rPr>
          <w:i/>
          <w:iCs/>
        </w:rPr>
        <w:t>Disability News Service</w:t>
      </w:r>
      <w:r w:rsidR="001E3CDA" w:rsidRPr="00B8657C">
        <w:t>,</w:t>
      </w:r>
      <w:r w:rsidR="001E3CDA">
        <w:t xml:space="preserve"> [online] 7 October. Available at: </w:t>
      </w:r>
      <w:hyperlink r:id="rId62" w:history="1">
        <w:r w:rsidR="001E3CDA" w:rsidRPr="009918C0">
          <w:rPr>
            <w:rStyle w:val="Hyperlink"/>
          </w:rPr>
          <w:t>https://www.disabilitynewsservice.com/care-minister-admits-ignoring-views-of-disabled-people-on-governments-reforms/</w:t>
        </w:r>
      </w:hyperlink>
      <w:r w:rsidR="001E3CDA">
        <w:t xml:space="preserve"> Accessed on: 15.03.22 ; Pring, J. (2021). </w:t>
      </w:r>
      <w:r w:rsidR="001E3CDA" w:rsidRPr="00B8657C">
        <w:t>Government ‘ignored DPOs’ in drawing up social care white paper.</w:t>
      </w:r>
      <w:r w:rsidR="001E3CDA">
        <w:t xml:space="preserve"> </w:t>
      </w:r>
      <w:r w:rsidR="001E3CDA">
        <w:rPr>
          <w:i/>
          <w:iCs/>
        </w:rPr>
        <w:t>Disability News Service</w:t>
      </w:r>
      <w:r w:rsidR="001E3CDA">
        <w:t xml:space="preserve">, [online] 9 December. Accessible at: </w:t>
      </w:r>
      <w:hyperlink r:id="rId63" w:history="1">
        <w:r w:rsidR="001E3CDA" w:rsidRPr="009918C0">
          <w:rPr>
            <w:rStyle w:val="Hyperlink"/>
          </w:rPr>
          <w:t>https://www.disabilitynewsservice.com/government-ignored-dpos-in-drawing-up-social-care-white-paper/</w:t>
        </w:r>
      </w:hyperlink>
      <w:r w:rsidR="001E3CDA">
        <w:t xml:space="preserve"> Accessed on: 15.03.22</w:t>
      </w:r>
    </w:p>
  </w:footnote>
  <w:footnote w:id="147">
    <w:p w14:paraId="24ECB3AD" w14:textId="5C411E82" w:rsidR="009A34EF" w:rsidRDefault="009A34EF" w:rsidP="009A34EF">
      <w:pPr>
        <w:pStyle w:val="FootnoteText"/>
      </w:pPr>
      <w:r w:rsidRPr="004A4DB9">
        <w:rPr>
          <w:rStyle w:val="FootnoteReference"/>
        </w:rPr>
        <w:footnoteRef/>
      </w:r>
      <w:r w:rsidR="002B444D">
        <w:t xml:space="preserve"> </w:t>
      </w:r>
      <w:r w:rsidR="00F40150" w:rsidRPr="004A4DB9">
        <w:t xml:space="preserve">Foster, D. (2021). </w:t>
      </w:r>
      <w:r w:rsidR="00F40150" w:rsidRPr="004A4DB9">
        <w:rPr>
          <w:i/>
          <w:iCs/>
        </w:rPr>
        <w:t>Proposed reforms to adult social care (including cap on care costs)</w:t>
      </w:r>
      <w:r w:rsidR="004A4DB9" w:rsidRPr="004A4DB9">
        <w:t xml:space="preserve">. Research Briefing, [online] 11 February. Available at: </w:t>
      </w:r>
      <w:hyperlink r:id="rId64" w:history="1">
        <w:r w:rsidR="004A4DB9" w:rsidRPr="004A4DB9">
          <w:rPr>
            <w:rStyle w:val="Hyperlink"/>
          </w:rPr>
          <w:t>https://commonslibrary.parliament.uk/research-briefings/cbp-9315/</w:t>
        </w:r>
      </w:hyperlink>
      <w:r w:rsidR="004A4DB9">
        <w:t xml:space="preserve"> Accessed on: </w:t>
      </w:r>
      <w:r w:rsidR="002B444D">
        <w:t>15.03.22</w:t>
      </w:r>
    </w:p>
  </w:footnote>
  <w:footnote w:id="148">
    <w:p w14:paraId="351BBDA5" w14:textId="5CBFCC21" w:rsidR="00ED3C56" w:rsidRDefault="00ED3C56">
      <w:pPr>
        <w:pStyle w:val="FootnoteText"/>
      </w:pPr>
      <w:r w:rsidRPr="00D74063">
        <w:rPr>
          <w:rStyle w:val="FootnoteReference"/>
        </w:rPr>
        <w:footnoteRef/>
      </w:r>
      <w:r w:rsidRPr="00D74063">
        <w:t xml:space="preserve"> </w:t>
      </w:r>
      <w:r w:rsidR="00D74063" w:rsidRPr="00D74063">
        <w:t xml:space="preserve">Institute for Social and Economic Research (2021). </w:t>
      </w:r>
      <w:r w:rsidR="00D74063" w:rsidRPr="00D74063">
        <w:rPr>
          <w:i/>
          <w:iCs/>
        </w:rPr>
        <w:t>How will the new Health and Social Care Levy impact on household incomes</w:t>
      </w:r>
      <w:r w:rsidR="00D74063" w:rsidRPr="00D74063">
        <w:t>. University</w:t>
      </w:r>
      <w:r w:rsidR="00D74063">
        <w:t xml:space="preserve"> of Essex, [online] 20 September. Available at:  </w:t>
      </w:r>
      <w:hyperlink r:id="rId65" w:history="1">
        <w:r w:rsidR="00D74063" w:rsidRPr="00054B02">
          <w:rPr>
            <w:rStyle w:val="Hyperlink"/>
          </w:rPr>
          <w:t>https://www.iser.essex.ac.uk/2021/09/20/-health-and-social-care-levy</w:t>
        </w:r>
      </w:hyperlink>
      <w:r w:rsidR="00D74063">
        <w:t xml:space="preserve"> Accessed on: </w:t>
      </w:r>
      <w:r w:rsidR="002B444D">
        <w:t>15.03.22</w:t>
      </w:r>
    </w:p>
  </w:footnote>
  <w:footnote w:id="149">
    <w:p w14:paraId="1CC541D2" w14:textId="4C22F56A" w:rsidR="005570A7" w:rsidRPr="002B72C8" w:rsidRDefault="005570A7" w:rsidP="005570A7">
      <w:pPr>
        <w:pStyle w:val="FootnoteText"/>
        <w:rPr>
          <w:highlight w:val="yellow"/>
        </w:rPr>
      </w:pPr>
      <w:r w:rsidRPr="005C35B4">
        <w:rPr>
          <w:rStyle w:val="FootnoteReference"/>
        </w:rPr>
        <w:footnoteRef/>
      </w:r>
      <w:r w:rsidRPr="005C35B4">
        <w:t xml:space="preserve"> </w:t>
      </w:r>
      <w:r w:rsidR="000D16AE">
        <w:t>EHRC</w:t>
      </w:r>
      <w:r w:rsidR="005C35B4" w:rsidRPr="005C35B4">
        <w:t xml:space="preserve"> (2018), </w:t>
      </w:r>
      <w:r w:rsidR="005C35B4" w:rsidRPr="000D16AE">
        <w:rPr>
          <w:i/>
          <w:iCs/>
        </w:rPr>
        <w:t>Housing and Disabled People</w:t>
      </w:r>
      <w:r w:rsidR="005C35B4" w:rsidRPr="005C35B4">
        <w:t>, [online]. Available at: https://www</w:t>
      </w:r>
      <w:r w:rsidR="005C35B4">
        <w:t>.</w:t>
      </w:r>
      <w:r w:rsidR="005C35B4" w:rsidRPr="005C35B4">
        <w:t xml:space="preserve">equalityhumanrights.com/en/housing-and-disabled-people-britain%E2%80%99s-hidden-crisis </w:t>
      </w:r>
      <w:r w:rsidR="000D16AE">
        <w:t xml:space="preserve">Accessed on: </w:t>
      </w:r>
      <w:r w:rsidR="002B444D">
        <w:t>15.03.22</w:t>
      </w:r>
    </w:p>
  </w:footnote>
  <w:footnote w:id="150">
    <w:p w14:paraId="17AC0A54" w14:textId="14681D0E" w:rsidR="005570A7" w:rsidRPr="002B72C8" w:rsidRDefault="005570A7" w:rsidP="005570A7">
      <w:pPr>
        <w:pStyle w:val="FootnoteText"/>
        <w:rPr>
          <w:highlight w:val="yellow"/>
        </w:rPr>
      </w:pPr>
      <w:r w:rsidRPr="00763363">
        <w:rPr>
          <w:rStyle w:val="FootnoteReference"/>
        </w:rPr>
        <w:footnoteRef/>
      </w:r>
      <w:r w:rsidRPr="00763363">
        <w:t xml:space="preserve"> </w:t>
      </w:r>
      <w:r w:rsidR="00763363" w:rsidRPr="00763363">
        <w:t xml:space="preserve">See </w:t>
      </w:r>
      <w:r w:rsidR="005C35B4">
        <w:t xml:space="preserve">above. </w:t>
      </w:r>
      <w:r w:rsidR="005C35B4">
        <w:t>A</w:t>
      </w:r>
      <w:r w:rsidR="00763363" w:rsidRPr="00763363">
        <w:t xml:space="preserve">lso case studies in </w:t>
      </w:r>
      <w:r w:rsidRPr="00763363">
        <w:t>Ryan</w:t>
      </w:r>
      <w:r w:rsidR="00763363" w:rsidRPr="00763363">
        <w:t>, F.</w:t>
      </w:r>
      <w:r w:rsidRPr="00763363">
        <w:t xml:space="preserve"> </w:t>
      </w:r>
      <w:r w:rsidR="00763363" w:rsidRPr="00763363">
        <w:t>(</w:t>
      </w:r>
      <w:r w:rsidRPr="00763363">
        <w:t>2019</w:t>
      </w:r>
      <w:r w:rsidR="00763363" w:rsidRPr="00763363">
        <w:t>)</w:t>
      </w:r>
      <w:r w:rsidRPr="00763363">
        <w:t xml:space="preserve"> </w:t>
      </w:r>
      <w:r w:rsidR="00763363" w:rsidRPr="00763363">
        <w:rPr>
          <w:i/>
          <w:iCs/>
        </w:rPr>
        <w:t>Crippled: Austerity and the Demonization of Disabled People</w:t>
      </w:r>
      <w:r w:rsidR="000C487E">
        <w:t>.</w:t>
      </w:r>
      <w:r w:rsidR="00763363" w:rsidRPr="00763363">
        <w:t xml:space="preserve"> London: Verso, </w:t>
      </w:r>
      <w:r w:rsidRPr="00763363">
        <w:t>p.107</w:t>
      </w:r>
      <w:r w:rsidR="000D16AE">
        <w:t xml:space="preserve">. </w:t>
      </w:r>
    </w:p>
  </w:footnote>
  <w:footnote w:id="151">
    <w:p w14:paraId="4A22A5C5" w14:textId="0800253B" w:rsidR="004A7059" w:rsidRDefault="004A7059" w:rsidP="004A7059">
      <w:pPr>
        <w:pStyle w:val="FootnoteText"/>
      </w:pPr>
      <w:r>
        <w:rPr>
          <w:rStyle w:val="FootnoteReference"/>
        </w:rPr>
        <w:footnoteRef/>
      </w:r>
      <w:r>
        <w:t xml:space="preserve"> MHCLG (2021). </w:t>
      </w:r>
      <w:r w:rsidRPr="000D16AE">
        <w:rPr>
          <w:i/>
          <w:iCs/>
        </w:rPr>
        <w:t>The charter for social housing residents: social housing white paper</w:t>
      </w:r>
      <w:r>
        <w:t xml:space="preserve">. [online]. Available at: </w:t>
      </w:r>
      <w:hyperlink r:id="rId66" w:history="1">
        <w:r w:rsidR="000D16AE" w:rsidRPr="00002AC9">
          <w:rPr>
            <w:rStyle w:val="Hyperlink"/>
          </w:rPr>
          <w:t>https://www.gov.uk/government/publications/the-charter-for-social-housing-residents-social-housing-white-paper/the-charter-for-social-housing-residents-social-housing-white-paper</w:t>
        </w:r>
      </w:hyperlink>
      <w:r w:rsidR="000D16AE">
        <w:t xml:space="preserve"> Accessed on: </w:t>
      </w:r>
      <w:r w:rsidR="002B444D">
        <w:t>15.03.22</w:t>
      </w:r>
      <w:r w:rsidR="000D16AE">
        <w:t xml:space="preserve"> ; </w:t>
      </w:r>
      <w:r>
        <w:t xml:space="preserve">Pring, J. (2019). Government faces legal action threat over accessible housing failure. </w:t>
      </w:r>
      <w:r w:rsidRPr="000D16AE">
        <w:rPr>
          <w:i/>
          <w:iCs/>
        </w:rPr>
        <w:t>Disability News Service</w:t>
      </w:r>
      <w:r>
        <w:t xml:space="preserve">, 19 September. Available at: </w:t>
      </w:r>
      <w:hyperlink r:id="rId67" w:history="1">
        <w:r w:rsidR="000D16AE" w:rsidRPr="00002AC9">
          <w:rPr>
            <w:rStyle w:val="Hyperlink"/>
          </w:rPr>
          <w:t>https://www.disabilitynewsservice.com/government-faces-legal-action-threat-over-accessible-housing-failure/</w:t>
        </w:r>
      </w:hyperlink>
      <w:r w:rsidR="000D16AE">
        <w:t xml:space="preserve"> Accessed on: </w:t>
      </w:r>
      <w:r w:rsidR="002B444D">
        <w:t>15.03.22</w:t>
      </w:r>
    </w:p>
  </w:footnote>
  <w:footnote w:id="152">
    <w:p w14:paraId="5D1C028E" w14:textId="231E2497" w:rsidR="00BC32A5" w:rsidRDefault="00BC32A5">
      <w:pPr>
        <w:pStyle w:val="FootnoteText"/>
      </w:pPr>
      <w:r>
        <w:rPr>
          <w:rStyle w:val="FootnoteReference"/>
        </w:rPr>
        <w:footnoteRef/>
      </w:r>
      <w:r>
        <w:t xml:space="preserve"> ONS (2019). </w:t>
      </w:r>
      <w:r w:rsidRPr="00BC32A5">
        <w:rPr>
          <w:i/>
          <w:iCs/>
        </w:rPr>
        <w:t>Disability and housing, UK: 2019</w:t>
      </w:r>
      <w:r>
        <w:t xml:space="preserve">. [online] 2 December. Available at: </w:t>
      </w:r>
      <w:hyperlink r:id="rId68" w:history="1">
        <w:r w:rsidRPr="00033B24">
          <w:rPr>
            <w:rStyle w:val="Hyperlink"/>
          </w:rPr>
          <w:t>https://www.ons.gov.uk/peoplepopulationandcommunity/healthandsocialcare/disability/bulletins/disabilityandhousinguk/2019</w:t>
        </w:r>
      </w:hyperlink>
      <w:r>
        <w:t xml:space="preserve"> Accessed on: </w:t>
      </w:r>
      <w:r w:rsidR="002B444D">
        <w:t>15.03.22</w:t>
      </w:r>
    </w:p>
  </w:footnote>
  <w:footnote w:id="153">
    <w:p w14:paraId="44B46104" w14:textId="195C4198" w:rsidR="002F79E8" w:rsidRPr="002F79E8" w:rsidRDefault="002F79E8">
      <w:pPr>
        <w:pStyle w:val="FootnoteText"/>
      </w:pPr>
      <w:r>
        <w:rPr>
          <w:rStyle w:val="FootnoteReference"/>
        </w:rPr>
        <w:footnoteRef/>
      </w:r>
      <w:r>
        <w:t xml:space="preserve"> Butler, P. (20). </w:t>
      </w:r>
      <w:r w:rsidRPr="002F79E8">
        <w:t>Black, Asian and disabled tenants ‘more likely to face housing discrimination’</w:t>
      </w:r>
      <w:r>
        <w:t xml:space="preserve">. </w:t>
      </w:r>
      <w:r>
        <w:rPr>
          <w:i/>
          <w:iCs/>
        </w:rPr>
        <w:t>The Guardian</w:t>
      </w:r>
      <w:r>
        <w:t xml:space="preserve">, [online] 26 May. Available at: </w:t>
      </w:r>
      <w:hyperlink r:id="rId69" w:history="1">
        <w:r w:rsidRPr="00033B24">
          <w:rPr>
            <w:rStyle w:val="Hyperlink"/>
          </w:rPr>
          <w:t>https://www.theguardian.com/society/2021/may/26/black-asian-disabled-tenants-more-likely-face-housing-discrimination</w:t>
        </w:r>
      </w:hyperlink>
      <w:r>
        <w:t xml:space="preserve"> Accessed on: </w:t>
      </w:r>
      <w:r w:rsidR="002B444D">
        <w:t>15.03.22</w:t>
      </w:r>
    </w:p>
  </w:footnote>
  <w:footnote w:id="154">
    <w:p w14:paraId="2C745386" w14:textId="0B29E6D5" w:rsidR="0002289A" w:rsidRDefault="0002289A">
      <w:pPr>
        <w:pStyle w:val="FootnoteText"/>
      </w:pPr>
      <w:r>
        <w:rPr>
          <w:rStyle w:val="FootnoteReference"/>
        </w:rPr>
        <w:footnoteRef/>
      </w:r>
      <w:r>
        <w:t xml:space="preserve"> </w:t>
      </w:r>
      <w:r w:rsidR="002B444D">
        <w:t xml:space="preserve">Need for more accessible housing: CBCE7, CBCE8, CBCE9, CBCE10, CBCE13, CBCE14, CBCE16, DDPO36, </w:t>
      </w:r>
      <w:r w:rsidR="002B444D">
        <w:t>D.DP28; FG1; FG2CBCE10Need for specifically social housing: Need for disability training for housing workers: CBCE8; D.DP28</w:t>
      </w:r>
    </w:p>
  </w:footnote>
  <w:footnote w:id="155">
    <w:p w14:paraId="65E0E98F" w14:textId="77777777" w:rsidR="00CE6A96" w:rsidRPr="00763363" w:rsidRDefault="00CE6A96" w:rsidP="00CE6A96">
      <w:pPr>
        <w:pStyle w:val="FootnoteText"/>
      </w:pPr>
      <w:r w:rsidRPr="00763363">
        <w:rPr>
          <w:rStyle w:val="FootnoteReference"/>
        </w:rPr>
        <w:footnoteRef/>
      </w:r>
      <w:r w:rsidRPr="00763363">
        <w:t xml:space="preserve"> NDS 2021, pp.38-39.</w:t>
      </w:r>
    </w:p>
  </w:footnote>
  <w:footnote w:id="156">
    <w:p w14:paraId="3DAA1709" w14:textId="012B4A79" w:rsidR="00050379" w:rsidRPr="00050379" w:rsidRDefault="00050379">
      <w:pPr>
        <w:pStyle w:val="FootnoteText"/>
      </w:pPr>
      <w:r>
        <w:rPr>
          <w:rStyle w:val="FootnoteReference"/>
        </w:rPr>
        <w:footnoteRef/>
      </w:r>
      <w:r>
        <w:t xml:space="preserve"> </w:t>
      </w:r>
      <w:r>
        <w:t xml:space="preserve">Pring, J. (2019). </w:t>
      </w:r>
      <w:r w:rsidRPr="00050379">
        <w:t>Government faces legal action threat over accessible housing failure</w:t>
      </w:r>
      <w:r>
        <w:t xml:space="preserve">. </w:t>
      </w:r>
      <w:r>
        <w:rPr>
          <w:i/>
          <w:iCs/>
        </w:rPr>
        <w:t>Disability News Service</w:t>
      </w:r>
      <w:r>
        <w:t xml:space="preserve">, [online] 19 September. Available at: </w:t>
      </w:r>
      <w:hyperlink r:id="rId70" w:history="1">
        <w:r w:rsidR="00FA71D1" w:rsidRPr="00CE080A">
          <w:rPr>
            <w:rStyle w:val="Hyperlink"/>
          </w:rPr>
          <w:t>https://www.disabilitynewsservice.com/government-faces-legal-action-threat-over-accessible-housing-failure/</w:t>
        </w:r>
      </w:hyperlink>
      <w:r w:rsidR="00FA71D1">
        <w:t xml:space="preserve"> </w:t>
      </w:r>
      <w:r>
        <w:t xml:space="preserve">Accessed on: </w:t>
      </w:r>
      <w:r w:rsidR="00794BDF">
        <w:t>15.03.22</w:t>
      </w:r>
    </w:p>
  </w:footnote>
  <w:footnote w:id="157">
    <w:p w14:paraId="6352B673" w14:textId="5255773F" w:rsidR="007334F0" w:rsidRDefault="007334F0">
      <w:pPr>
        <w:pStyle w:val="FootnoteText"/>
      </w:pPr>
      <w:r>
        <w:rPr>
          <w:rStyle w:val="FootnoteReference"/>
        </w:rPr>
        <w:footnoteRef/>
      </w:r>
      <w:r>
        <w:t xml:space="preserve"> LGA (2021). </w:t>
      </w:r>
      <w:r w:rsidRPr="007334F0">
        <w:rPr>
          <w:i/>
          <w:iCs/>
        </w:rPr>
        <w:t>LGA submission to the Ministry of Housing, Communities and Local Government on the National Planning Policy Framework and National Model Design Code</w:t>
      </w:r>
      <w:r>
        <w:t xml:space="preserve">. [online] 26 March. Available at: </w:t>
      </w:r>
      <w:r w:rsidRPr="007334F0">
        <w:t>LGA submission to the Ministry of Housing, Communities and Local Government on the National Planning Policy Framework and National Model Design Code</w:t>
      </w:r>
      <w:r>
        <w:t xml:space="preserve"> Accessed on: </w:t>
      </w:r>
      <w:r w:rsidR="00794BDF">
        <w:t>15.03.22</w:t>
      </w:r>
    </w:p>
  </w:footnote>
  <w:footnote w:id="158">
    <w:p w14:paraId="1471C20A" w14:textId="119C0375" w:rsidR="00CE6A96" w:rsidRPr="00B419F6" w:rsidRDefault="00CE6A96" w:rsidP="00B419F6">
      <w:pPr>
        <w:pStyle w:val="FootnoteText"/>
        <w:rPr>
          <w:i/>
          <w:iCs/>
        </w:rPr>
      </w:pPr>
      <w:r>
        <w:rPr>
          <w:rStyle w:val="FootnoteReference"/>
        </w:rPr>
        <w:footnoteRef/>
      </w:r>
      <w:r>
        <w:t xml:space="preserve"> The Bartlett School of Planning (2020). </w:t>
      </w:r>
      <w:r w:rsidRPr="00CE6A96">
        <w:t>Government publishes UCL-led research on permitted development housing quality</w:t>
      </w:r>
      <w:r>
        <w:t xml:space="preserve">. </w:t>
      </w:r>
      <w:r w:rsidR="00B419F6">
        <w:rPr>
          <w:i/>
          <w:iCs/>
        </w:rPr>
        <w:t>ucl.ac.uk</w:t>
      </w:r>
      <w:r w:rsidR="00B419F6">
        <w:t xml:space="preserve">, [online] 21 July. Available at: </w:t>
      </w:r>
      <w:hyperlink r:id="rId71" w:history="1">
        <w:r w:rsidR="00B419F6" w:rsidRPr="00CE080A">
          <w:rPr>
            <w:rStyle w:val="Hyperlink"/>
          </w:rPr>
          <w:t>https://www.ucl.ac.uk/bartlett/planning/news/2020/jul/government-publishes-ucl-led-research-permitted-development-housing-quality</w:t>
        </w:r>
      </w:hyperlink>
      <w:r w:rsidR="00B419F6">
        <w:t xml:space="preserve"> Accessed on: </w:t>
      </w:r>
      <w:r w:rsidR="00794BDF">
        <w:t>15.03.22</w:t>
      </w:r>
      <w:r w:rsidR="00B419F6">
        <w:t xml:space="preserve">; Clifford, B., </w:t>
      </w:r>
      <w:r w:rsidR="00B419F6">
        <w:t xml:space="preserve">Canelas, P., Ferm, J., Livingstone, N., Lord, A. and Dunning, R. (2020). </w:t>
      </w:r>
      <w:r w:rsidR="00B419F6" w:rsidRPr="00B419F6">
        <w:rPr>
          <w:i/>
          <w:iCs/>
        </w:rPr>
        <w:t>Research into the quality standard of homes delivered through change of use permitted development rights</w:t>
      </w:r>
      <w:r w:rsidR="00B419F6">
        <w:t xml:space="preserve">. MHCLG, [online]. Available at: </w:t>
      </w:r>
      <w:hyperlink r:id="rId72" w:history="1">
        <w:r w:rsidR="00B419F6" w:rsidRPr="00CE080A">
          <w:rPr>
            <w:rStyle w:val="Hyperlink"/>
          </w:rPr>
          <w:t>https://assets.publishing.service.gov.uk/government/uploads/system/uploads/attachment_data/file/902220/Research_report_quality_PDR_homes.pdf</w:t>
        </w:r>
      </w:hyperlink>
      <w:r w:rsidR="00B419F6">
        <w:t xml:space="preserve"> Accessed on: </w:t>
      </w:r>
      <w:r w:rsidR="00794BDF">
        <w:t>15.03.22</w:t>
      </w:r>
    </w:p>
  </w:footnote>
  <w:footnote w:id="159">
    <w:p w14:paraId="24857C04" w14:textId="4A08A9BC" w:rsidR="00E76627" w:rsidRDefault="00E76627">
      <w:pPr>
        <w:pStyle w:val="FootnoteText"/>
      </w:pPr>
      <w:r>
        <w:rPr>
          <w:rStyle w:val="FootnoteReference"/>
        </w:rPr>
        <w:footnoteRef/>
      </w:r>
      <w:r>
        <w:t xml:space="preserve"> </w:t>
      </w:r>
      <w:r w:rsidR="00794BDF">
        <w:t xml:space="preserve">CBCE16; </w:t>
      </w:r>
      <w:r w:rsidR="00794BDF">
        <w:t>D.DP22; OI1</w:t>
      </w:r>
    </w:p>
  </w:footnote>
  <w:footnote w:id="160">
    <w:p w14:paraId="31247C2C" w14:textId="20ADCF87" w:rsidR="00590B17" w:rsidRPr="00590B17" w:rsidRDefault="00AD09AE">
      <w:pPr>
        <w:pStyle w:val="FootnoteText"/>
      </w:pPr>
      <w:r>
        <w:rPr>
          <w:rStyle w:val="FootnoteReference"/>
        </w:rPr>
        <w:footnoteRef/>
      </w:r>
      <w:r>
        <w:t xml:space="preserve"> </w:t>
      </w:r>
      <w:r w:rsidR="00590B17" w:rsidRPr="00590B17">
        <w:rPr>
          <w:i/>
          <w:iCs/>
        </w:rPr>
        <w:t>Surviving Squalor: Britain's Housing Shame</w:t>
      </w:r>
      <w:r w:rsidR="00590B17">
        <w:rPr>
          <w:i/>
          <w:iCs/>
        </w:rPr>
        <w:t xml:space="preserve"> </w:t>
      </w:r>
      <w:r w:rsidR="00590B17">
        <w:t>(2021). [TV programme] ITV, 12 September: 22.15.</w:t>
      </w:r>
    </w:p>
    <w:p w14:paraId="3F292739" w14:textId="0A6D9191" w:rsidR="00590B17" w:rsidRPr="00AD09AE" w:rsidRDefault="00AD09AE">
      <w:pPr>
        <w:pStyle w:val="FootnoteText"/>
      </w:pPr>
      <w:r>
        <w:t xml:space="preserve">Hewitt, D. (2021). </w:t>
      </w:r>
      <w:r w:rsidRPr="00AD09AE">
        <w:t>Britain's Housing Shame: A story of shocking conditions and tenants' despair at a lack of action</w:t>
      </w:r>
      <w:r>
        <w:t xml:space="preserve">. </w:t>
      </w:r>
      <w:r>
        <w:rPr>
          <w:i/>
          <w:iCs/>
        </w:rPr>
        <w:t>itvNEWS</w:t>
      </w:r>
      <w:r>
        <w:t xml:space="preserve">, [online] 12 September. Available at: </w:t>
      </w:r>
      <w:hyperlink r:id="rId73" w:history="1">
        <w:r w:rsidR="00590B17" w:rsidRPr="00033B24">
          <w:rPr>
            <w:rStyle w:val="Hyperlink"/>
          </w:rPr>
          <w:t>https://www.itv.com/news/2021-09-12/britains-housing-shame-shocking-conditions-and-despair-at-a-lack-of-action</w:t>
        </w:r>
      </w:hyperlink>
      <w:r w:rsidR="00590B17">
        <w:t xml:space="preserve"> </w:t>
      </w:r>
      <w:r>
        <w:t xml:space="preserve">Accessed on: </w:t>
      </w:r>
      <w:r w:rsidR="00794BDF">
        <w:t>15.03.22</w:t>
      </w:r>
    </w:p>
  </w:footnote>
  <w:footnote w:id="161">
    <w:p w14:paraId="6CE22451" w14:textId="40CDCDC3" w:rsidR="00D42E8F" w:rsidRPr="00D42E8F" w:rsidRDefault="00D42E8F">
      <w:pPr>
        <w:pStyle w:val="FootnoteText"/>
      </w:pPr>
      <w:r>
        <w:rPr>
          <w:rStyle w:val="FootnoteReference"/>
        </w:rPr>
        <w:footnoteRef/>
      </w:r>
      <w:r>
        <w:t xml:space="preserve"> Tucker, P. </w:t>
      </w:r>
      <w:r w:rsidRPr="00D42E8F">
        <w:t>Outsourcing is killing local democracy in Britain. Here’s how we can stop that</w:t>
      </w:r>
      <w:r>
        <w:t xml:space="preserve">. </w:t>
      </w:r>
      <w:r>
        <w:rPr>
          <w:i/>
          <w:iCs/>
        </w:rPr>
        <w:t>The Guardian</w:t>
      </w:r>
      <w:r>
        <w:t xml:space="preserve">, [online] 2017. Available at: </w:t>
      </w:r>
      <w:hyperlink r:id="rId74" w:history="1">
        <w:r w:rsidRPr="00033B24">
          <w:rPr>
            <w:rStyle w:val="Hyperlink"/>
          </w:rPr>
          <w:t>https://www.theguardian.com/commentisfree/2017/aug/10/outsourcing-killing-local-democracy-britain-stop-it</w:t>
        </w:r>
      </w:hyperlink>
      <w:r>
        <w:t xml:space="preserve"> Accessed on</w:t>
      </w:r>
      <w:r w:rsidR="00794BDF">
        <w:t>: 15.03.22</w:t>
      </w:r>
    </w:p>
  </w:footnote>
  <w:footnote w:id="162">
    <w:p w14:paraId="22F71D32" w14:textId="7DAB5CA3" w:rsidR="002D249B" w:rsidRDefault="002D249B">
      <w:pPr>
        <w:pStyle w:val="FootnoteText"/>
      </w:pPr>
      <w:r>
        <w:rPr>
          <w:rStyle w:val="FootnoteReference"/>
        </w:rPr>
        <w:footnoteRef/>
      </w:r>
      <w:r>
        <w:t xml:space="preserve"> </w:t>
      </w:r>
      <w:r w:rsidR="00AD09AE">
        <w:t xml:space="preserve">BCP Council (n.d.) </w:t>
      </w:r>
      <w:r w:rsidR="00AD09AE" w:rsidRPr="00AD09AE">
        <w:t>Bournemouth Building and Maintenance Ltd</w:t>
      </w:r>
      <w:r w:rsidR="00AD09AE">
        <w:t xml:space="preserve">. [online]. Available at: </w:t>
      </w:r>
      <w:hyperlink r:id="rId75" w:history="1">
        <w:r w:rsidR="00AD09AE" w:rsidRPr="00033B24">
          <w:rPr>
            <w:rStyle w:val="Hyperlink"/>
          </w:rPr>
          <w:t>https://www.bournemouth.gov.uk/Apply/Counciljobs/BBML/BournemouthBuildingMaintenanceLtdVacancies.aspx</w:t>
        </w:r>
      </w:hyperlink>
      <w:r w:rsidR="00AD09AE">
        <w:t xml:space="preserve"> Accessed on: </w:t>
      </w:r>
      <w:r w:rsidR="00794BDF">
        <w:t>15.03.22</w:t>
      </w:r>
    </w:p>
  </w:footnote>
  <w:footnote w:id="163">
    <w:p w14:paraId="595E93DB" w14:textId="2D7D31BE" w:rsidR="00AD09AE" w:rsidRDefault="00AD09AE">
      <w:pPr>
        <w:pStyle w:val="FootnoteText"/>
      </w:pPr>
      <w:r>
        <w:rPr>
          <w:rStyle w:val="FootnoteReference"/>
        </w:rPr>
        <w:footnoteRef/>
      </w:r>
      <w:r>
        <w:t xml:space="preserve"> BCP Council n.d.</w:t>
      </w:r>
    </w:p>
  </w:footnote>
  <w:footnote w:id="164">
    <w:p w14:paraId="3A29DA76" w14:textId="5832716D" w:rsidR="00754CF3" w:rsidRPr="00763363" w:rsidRDefault="00754CF3" w:rsidP="00754CF3">
      <w:pPr>
        <w:pStyle w:val="FootnoteText"/>
        <w:rPr>
          <w:b/>
          <w:bCs/>
          <w:highlight w:val="yellow"/>
        </w:rPr>
      </w:pPr>
      <w:r w:rsidRPr="00763363">
        <w:rPr>
          <w:rStyle w:val="FootnoteReference"/>
        </w:rPr>
        <w:footnoteRef/>
      </w:r>
      <w:r w:rsidRPr="00763363">
        <w:t xml:space="preserve"> </w:t>
      </w:r>
      <w:r w:rsidR="00646AE9" w:rsidRPr="00763363">
        <w:t>BBC News</w:t>
      </w:r>
      <w:r w:rsidR="000C487E">
        <w:t xml:space="preserve"> (2018)</w:t>
      </w:r>
      <w:r w:rsidR="00646AE9" w:rsidRPr="00763363">
        <w:t xml:space="preserve">. Child mental health: </w:t>
      </w:r>
      <w:r w:rsidR="00646AE9" w:rsidRPr="00763363">
        <w:t xml:space="preserve">Camhs 'not fit for purpose'. </w:t>
      </w:r>
      <w:r w:rsidR="00763363" w:rsidRPr="00763363">
        <w:rPr>
          <w:i/>
          <w:iCs/>
        </w:rPr>
        <w:t>BBC.co.uk</w:t>
      </w:r>
      <w:r w:rsidR="00763363" w:rsidRPr="00763363">
        <w:t>, [online] 24 September. Available at: https://www.bbc.co.uk/news/health-45607313</w:t>
      </w:r>
      <w:r w:rsidR="00763363">
        <w:t xml:space="preserve"> </w:t>
      </w:r>
      <w:r w:rsidR="000D16AE">
        <w:t xml:space="preserve">Accessed on: </w:t>
      </w:r>
      <w:r w:rsidR="00794BDF">
        <w:t>15.03.22</w:t>
      </w:r>
    </w:p>
  </w:footnote>
  <w:footnote w:id="165">
    <w:p w14:paraId="0F549C57" w14:textId="7C4B7F94" w:rsidR="004A7059" w:rsidRPr="00794BDF" w:rsidRDefault="004A7059">
      <w:pPr>
        <w:pStyle w:val="FootnoteText"/>
      </w:pPr>
      <w:r w:rsidRPr="00794BDF">
        <w:rPr>
          <w:rStyle w:val="FootnoteReference"/>
        </w:rPr>
        <w:footnoteRef/>
      </w:r>
      <w:r w:rsidRPr="00794BDF">
        <w:t xml:space="preserve"> </w:t>
      </w:r>
      <w:r w:rsidR="00794BDF" w:rsidRPr="00794BDF">
        <w:t xml:space="preserve">CBCE16, CBCE24; DDPO28, DDPO29, DDPO33; </w:t>
      </w:r>
      <w:r w:rsidR="00794BDF" w:rsidRPr="00794BDF">
        <w:t>D.DP36; SR199</w:t>
      </w:r>
    </w:p>
  </w:footnote>
  <w:footnote w:id="166">
    <w:p w14:paraId="060D89C1" w14:textId="5A9240EF" w:rsidR="004A7059" w:rsidRDefault="004A7059">
      <w:pPr>
        <w:pStyle w:val="FootnoteText"/>
      </w:pPr>
      <w:r w:rsidRPr="00794BDF">
        <w:rPr>
          <w:rStyle w:val="FootnoteReference"/>
        </w:rPr>
        <w:footnoteRef/>
      </w:r>
      <w:r w:rsidRPr="00794BDF">
        <w:t xml:space="preserve"> </w:t>
      </w:r>
      <w:r w:rsidR="00794BDF" w:rsidRPr="00794BDF">
        <w:t>Evidence references</w:t>
      </w:r>
      <w:r w:rsidR="00794BDF" w:rsidRPr="00274AA5">
        <w:t xml:space="preserve"> DDPO27; DDPO33; </w:t>
      </w:r>
      <w:r w:rsidR="00794BDF" w:rsidRPr="00274AA5">
        <w:t>D.DP36</w:t>
      </w:r>
    </w:p>
  </w:footnote>
  <w:footnote w:id="167">
    <w:p w14:paraId="56A66304" w14:textId="217D6518" w:rsidR="00A15D51" w:rsidRDefault="00A15D51">
      <w:pPr>
        <w:pStyle w:val="FootnoteText"/>
      </w:pPr>
      <w:r w:rsidRPr="00794147">
        <w:rPr>
          <w:rStyle w:val="FootnoteReference"/>
        </w:rPr>
        <w:footnoteRef/>
      </w:r>
      <w:r w:rsidRPr="00794147">
        <w:t xml:space="preserve"> </w:t>
      </w:r>
      <w:r w:rsidR="00794147" w:rsidRPr="00794147">
        <w:t>NHS (n.d.) Overview</w:t>
      </w:r>
      <w:r w:rsidR="0046390E">
        <w:t xml:space="preserve"> – </w:t>
      </w:r>
      <w:r w:rsidR="00794147" w:rsidRPr="00794147">
        <w:t>Cognitive behavioural therapy (CBT).</w:t>
      </w:r>
      <w:r w:rsidR="00794147" w:rsidRPr="00794147">
        <w:rPr>
          <w:i/>
          <w:iCs/>
        </w:rPr>
        <w:t xml:space="preserve">nhs,uk, </w:t>
      </w:r>
      <w:r w:rsidR="00794147" w:rsidRPr="00794147">
        <w:t xml:space="preserve">[online] Available at: </w:t>
      </w:r>
      <w:hyperlink r:id="rId76" w:history="1">
        <w:r w:rsidR="00794147" w:rsidRPr="00794147">
          <w:rPr>
            <w:rStyle w:val="Hyperlink"/>
          </w:rPr>
          <w:t>https://www.nhs.uk/mental-health/talking-therapies-medicine-treatments/talking-therapies-and-counselling/cognitive-behavioural-therapy-cbt/overview/</w:t>
        </w:r>
      </w:hyperlink>
      <w:r w:rsidR="00794147">
        <w:t xml:space="preserve"> Accessed on: </w:t>
      </w:r>
      <w:r w:rsidR="00794BDF">
        <w:t>15.03.22</w:t>
      </w:r>
    </w:p>
  </w:footnote>
  <w:footnote w:id="168">
    <w:p w14:paraId="0F23A1A0" w14:textId="735875DC" w:rsidR="003C67C9" w:rsidRDefault="003C67C9">
      <w:pPr>
        <w:pStyle w:val="FootnoteText"/>
      </w:pPr>
      <w:r>
        <w:rPr>
          <w:rStyle w:val="FootnoteReference"/>
        </w:rPr>
        <w:footnoteRef/>
      </w:r>
      <w:r>
        <w:t xml:space="preserve"> </w:t>
      </w:r>
      <w:r w:rsidR="00794BDF" w:rsidRPr="00274AA5">
        <w:t xml:space="preserve">DDPO29; </w:t>
      </w:r>
      <w:r w:rsidR="00794BDF" w:rsidRPr="00274AA5">
        <w:t>D.DP36; FG4</w:t>
      </w:r>
    </w:p>
  </w:footnote>
  <w:footnote w:id="169">
    <w:p w14:paraId="0A2739EE" w14:textId="1960E479" w:rsidR="00417453" w:rsidRDefault="00417453">
      <w:pPr>
        <w:pStyle w:val="FootnoteText"/>
      </w:pPr>
      <w:r>
        <w:rPr>
          <w:rStyle w:val="FootnoteReference"/>
        </w:rPr>
        <w:footnoteRef/>
      </w:r>
      <w:r>
        <w:t xml:space="preserve"> </w:t>
      </w:r>
      <w:r w:rsidR="00794BDF" w:rsidRPr="00274AA5">
        <w:t xml:space="preserve">CBCE27; DDPO22, DDPO29; </w:t>
      </w:r>
      <w:r w:rsidR="00794BDF" w:rsidRPr="00274AA5">
        <w:t>D.DP36; SR199</w:t>
      </w:r>
    </w:p>
  </w:footnote>
  <w:footnote w:id="170">
    <w:p w14:paraId="3FD3BFA5" w14:textId="1618AEEB" w:rsidR="00417453" w:rsidRPr="00794BDF" w:rsidRDefault="00417453" w:rsidP="00417453">
      <w:pPr>
        <w:pStyle w:val="FootnoteText"/>
      </w:pPr>
      <w:r w:rsidRPr="00794BDF">
        <w:rPr>
          <w:rStyle w:val="FootnoteReference"/>
        </w:rPr>
        <w:footnoteRef/>
      </w:r>
      <w:r w:rsidRPr="00794BDF">
        <w:t xml:space="preserve"> </w:t>
      </w:r>
      <w:r w:rsidR="00794BDF" w:rsidRPr="00794BDF">
        <w:t>DDPO28; SR3</w:t>
      </w:r>
    </w:p>
  </w:footnote>
  <w:footnote w:id="171">
    <w:p w14:paraId="396BFBA7" w14:textId="287A6950" w:rsidR="00417453" w:rsidRDefault="00417453" w:rsidP="00417453">
      <w:pPr>
        <w:pStyle w:val="FootnoteText"/>
      </w:pPr>
      <w:r w:rsidRPr="00794BDF">
        <w:rPr>
          <w:rStyle w:val="FootnoteReference"/>
        </w:rPr>
        <w:footnoteRef/>
      </w:r>
      <w:r w:rsidRPr="00794BDF">
        <w:t xml:space="preserve"> </w:t>
      </w:r>
      <w:r w:rsidR="00794BDF" w:rsidRPr="00794BDF">
        <w:t>D.DP24</w:t>
      </w:r>
      <w:r w:rsidR="00794BDF" w:rsidRPr="00274AA5">
        <w:t>; SR214</w:t>
      </w:r>
    </w:p>
  </w:footnote>
  <w:footnote w:id="172">
    <w:p w14:paraId="7EA1FFEB" w14:textId="61D59D27" w:rsidR="00417453" w:rsidRDefault="00417453" w:rsidP="00417453">
      <w:pPr>
        <w:pStyle w:val="FootnoteText"/>
      </w:pPr>
      <w:r>
        <w:rPr>
          <w:rStyle w:val="FootnoteReference"/>
        </w:rPr>
        <w:footnoteRef/>
      </w:r>
      <w:r>
        <w:t xml:space="preserve"> Buck, D. and Eubank, L. (2020). What is Social Prescribing.</w:t>
      </w:r>
      <w:r w:rsidR="00794BDF">
        <w:t xml:space="preserve"> Available at: </w:t>
      </w:r>
      <w:hyperlink r:id="rId77" w:history="1">
        <w:r w:rsidR="00794BDF" w:rsidRPr="00A97FBA">
          <w:rPr>
            <w:rStyle w:val="Hyperlink"/>
          </w:rPr>
          <w:t>https://www.kingsfund.org.uk/publications/social-prescribing</w:t>
        </w:r>
      </w:hyperlink>
      <w:r w:rsidR="00794BDF">
        <w:t>. Accessed on: 15.03.22</w:t>
      </w:r>
    </w:p>
  </w:footnote>
  <w:footnote w:id="173">
    <w:p w14:paraId="02BF7EBA" w14:textId="0FE2AFD4" w:rsidR="00F867E2" w:rsidRPr="00F867E2" w:rsidRDefault="00F867E2" w:rsidP="00F867E2">
      <w:pPr>
        <w:pStyle w:val="FootnoteText"/>
      </w:pPr>
      <w:r>
        <w:rPr>
          <w:rStyle w:val="FootnoteReference"/>
        </w:rPr>
        <w:footnoteRef/>
      </w:r>
      <w:r>
        <w:t xml:space="preserve"> </w:t>
      </w:r>
      <w:r>
        <w:t xml:space="preserve">Jayanetti, C. (2021). Coroners warned of mental health care failings in dozens of inquests. </w:t>
      </w:r>
      <w:r>
        <w:rPr>
          <w:i/>
          <w:iCs/>
        </w:rPr>
        <w:t>The Guardian</w:t>
      </w:r>
      <w:r>
        <w:t xml:space="preserve">, [online] 5 September. Available at: </w:t>
      </w:r>
      <w:hyperlink r:id="rId78" w:history="1">
        <w:r w:rsidRPr="00054B02">
          <w:rPr>
            <w:rStyle w:val="Hyperlink"/>
          </w:rPr>
          <w:t>https://www.theguardian.com/society/2021/sep/05/coroners-warned-of-mental-health-care-failings-in-dozens-of-inquests</w:t>
        </w:r>
      </w:hyperlink>
      <w:r>
        <w:t xml:space="preserve"> Accessed on</w:t>
      </w:r>
      <w:r w:rsidR="00794BDF">
        <w:t>: 15.03.22</w:t>
      </w:r>
    </w:p>
  </w:footnote>
  <w:footnote w:id="174">
    <w:p w14:paraId="0D0F7CFA" w14:textId="1765B9F0" w:rsidR="00167A9B" w:rsidRPr="008A2DFC" w:rsidRDefault="00167A9B">
      <w:pPr>
        <w:pStyle w:val="FootnoteText"/>
      </w:pPr>
      <w:r>
        <w:rPr>
          <w:rStyle w:val="FootnoteReference"/>
        </w:rPr>
        <w:footnoteRef/>
      </w:r>
      <w:r>
        <w:t xml:space="preserve"> </w:t>
      </w:r>
      <w:r>
        <w:t xml:space="preserve">Whymark, B. (2019). </w:t>
      </w:r>
      <w:r w:rsidRPr="00167A9B">
        <w:t>Mentally ill father’s death could spark review into psychological treatment services</w:t>
      </w:r>
      <w:r>
        <w:t xml:space="preserve">. </w:t>
      </w:r>
      <w:r w:rsidR="008A2DFC">
        <w:rPr>
          <w:i/>
          <w:iCs/>
        </w:rPr>
        <w:t>Eastern Daily Press</w:t>
      </w:r>
      <w:r w:rsidR="008A2DFC">
        <w:t xml:space="preserve">, [online] 30 April. Available at: </w:t>
      </w:r>
      <w:hyperlink r:id="rId79" w:history="1">
        <w:r w:rsidR="008A2DFC" w:rsidRPr="00054B02">
          <w:rPr>
            <w:rStyle w:val="Hyperlink"/>
          </w:rPr>
          <w:t>https://www.edp24.co.uk/news/gaunt-inquest-norfolk-nsft-prevention-future-deaths-report-1388008</w:t>
        </w:r>
      </w:hyperlink>
      <w:r w:rsidR="008A2DFC">
        <w:t xml:space="preserve"> Accessed on</w:t>
      </w:r>
      <w:r w:rsidR="00794BDF">
        <w:t>: 15.03.22</w:t>
      </w:r>
    </w:p>
  </w:footnote>
  <w:footnote w:id="175">
    <w:p w14:paraId="0C3CB521" w14:textId="6393E2FA" w:rsidR="00D13336" w:rsidRDefault="00D13336" w:rsidP="00D13336">
      <w:pPr>
        <w:pStyle w:val="FootnoteText"/>
      </w:pPr>
      <w:r>
        <w:rPr>
          <w:rStyle w:val="FootnoteReference"/>
        </w:rPr>
        <w:footnoteRef/>
      </w:r>
      <w:r>
        <w:t xml:space="preserve"> See: Layard, R. (2015). </w:t>
      </w:r>
      <w:r w:rsidRPr="00D13336">
        <w:rPr>
          <w:i/>
          <w:iCs/>
        </w:rPr>
        <w:t>A New Priority for Mental Health</w:t>
      </w:r>
      <w:r>
        <w:t xml:space="preserve">. Centre for Economic Performance, [online]. Available at: </w:t>
      </w:r>
      <w:hyperlink r:id="rId80" w:history="1">
        <w:r w:rsidRPr="00054B02">
          <w:rPr>
            <w:rStyle w:val="Hyperlink"/>
          </w:rPr>
          <w:t>https://cep.lse.ac.uk/pubs/download/EA035.pdf</w:t>
        </w:r>
      </w:hyperlink>
      <w:r>
        <w:t xml:space="preserve"> Accessed on: </w:t>
      </w:r>
      <w:r w:rsidR="00794BDF">
        <w:t>15.03.22</w:t>
      </w:r>
    </w:p>
  </w:footnote>
  <w:footnote w:id="176">
    <w:p w14:paraId="095C4362" w14:textId="461A4D9F" w:rsidR="00B2111D" w:rsidRPr="00646AE9" w:rsidRDefault="00B2111D">
      <w:pPr>
        <w:pStyle w:val="FootnoteText"/>
      </w:pPr>
      <w:r w:rsidRPr="00646AE9">
        <w:rPr>
          <w:rStyle w:val="FootnoteReference"/>
        </w:rPr>
        <w:footnoteRef/>
      </w:r>
      <w:r w:rsidRPr="00646AE9">
        <w:t xml:space="preserve"> CBCE10; S</w:t>
      </w:r>
      <w:r w:rsidR="000D16AE">
        <w:t>R</w:t>
      </w:r>
      <w:r w:rsidRPr="00646AE9">
        <w:t>72</w:t>
      </w:r>
    </w:p>
  </w:footnote>
  <w:footnote w:id="177">
    <w:p w14:paraId="328B153F" w14:textId="73993525" w:rsidR="00B84303" w:rsidRPr="00A73B48" w:rsidRDefault="00B84303" w:rsidP="00B84303">
      <w:pPr>
        <w:pStyle w:val="FootnoteText"/>
        <w:rPr>
          <w:highlight w:val="yellow"/>
        </w:rPr>
      </w:pPr>
      <w:r w:rsidRPr="00A95411">
        <w:rPr>
          <w:rStyle w:val="FootnoteReference"/>
        </w:rPr>
        <w:footnoteRef/>
      </w:r>
      <w:r w:rsidRPr="00A95411">
        <w:t xml:space="preserve"> </w:t>
      </w:r>
      <w:r w:rsidR="002B64EB" w:rsidRPr="00A95411">
        <w:t>Pring, J. (</w:t>
      </w:r>
      <w:r w:rsidR="00A95411" w:rsidRPr="00A95411">
        <w:t xml:space="preserve">2021). Government’s strategy fails to support DPOs, as </w:t>
      </w:r>
      <w:r w:rsidR="00A95411" w:rsidRPr="00A95411">
        <w:t xml:space="preserve">more close due to ‘hostile environment’. </w:t>
      </w:r>
      <w:r w:rsidR="00A95411" w:rsidRPr="00A95411">
        <w:rPr>
          <w:i/>
          <w:iCs/>
        </w:rPr>
        <w:t>Disability News Service</w:t>
      </w:r>
      <w:r w:rsidR="00A95411" w:rsidRPr="00A95411">
        <w:t xml:space="preserve">, 5 August. Available at: </w:t>
      </w:r>
      <w:hyperlink r:id="rId81" w:history="1">
        <w:r w:rsidR="000D16AE" w:rsidRPr="00002AC9">
          <w:rPr>
            <w:rStyle w:val="Hyperlink"/>
          </w:rPr>
          <w:t>https://www.disabilitynewsservice.com/governments-strategy-fails-to-support-dpos-as-more-close-due-to-hostile-environment/</w:t>
        </w:r>
      </w:hyperlink>
      <w:r w:rsidR="000D16AE">
        <w:t xml:space="preserve"> Accessed on: </w:t>
      </w:r>
      <w:r w:rsidR="00794BDF">
        <w:t>15.03.22</w:t>
      </w:r>
    </w:p>
  </w:footnote>
  <w:footnote w:id="178">
    <w:p w14:paraId="4434F588" w14:textId="265D3194" w:rsidR="002A4C75" w:rsidRDefault="002A4C75">
      <w:pPr>
        <w:pStyle w:val="FootnoteText"/>
      </w:pPr>
      <w:r w:rsidRPr="00794BDF">
        <w:rPr>
          <w:rStyle w:val="FootnoteReference"/>
        </w:rPr>
        <w:footnoteRef/>
      </w:r>
      <w:r w:rsidRPr="00794BDF">
        <w:t xml:space="preserve"> </w:t>
      </w:r>
      <w:r w:rsidR="00794BDF" w:rsidRPr="00794BDF">
        <w:t>DDPO30</w:t>
      </w:r>
    </w:p>
  </w:footnote>
  <w:footnote w:id="179">
    <w:p w14:paraId="60B93DC3" w14:textId="19330375" w:rsidR="00B84303" w:rsidRPr="00A73B48" w:rsidRDefault="00B84303" w:rsidP="00B84303">
      <w:pPr>
        <w:pStyle w:val="FootnoteText"/>
        <w:rPr>
          <w:highlight w:val="yellow"/>
        </w:rPr>
      </w:pPr>
      <w:r w:rsidRPr="003D367A">
        <w:rPr>
          <w:rStyle w:val="FootnoteReference"/>
        </w:rPr>
        <w:footnoteRef/>
      </w:r>
      <w:r w:rsidRPr="003D367A">
        <w:t xml:space="preserve"> </w:t>
      </w:r>
      <w:r w:rsidR="003D367A" w:rsidRPr="003D367A">
        <w:t xml:space="preserve">For a more detailed explanation see: DPAC and Inclusion London (2017). </w:t>
      </w:r>
      <w:r w:rsidR="003D367A" w:rsidRPr="003D367A">
        <w:rPr>
          <w:i/>
          <w:iCs/>
        </w:rPr>
        <w:t>Follow Up Submission: Response to UNCRPD Inquiry Report and UK Government Response</w:t>
      </w:r>
      <w:r w:rsidR="003D367A" w:rsidRPr="003D367A">
        <w:t xml:space="preserve">. [online], p.49. Available at: </w:t>
      </w:r>
      <w:hyperlink r:id="rId82" w:history="1">
        <w:r w:rsidR="000D16AE" w:rsidRPr="00002AC9">
          <w:rPr>
            <w:rStyle w:val="Hyperlink"/>
          </w:rPr>
          <w:t>https://view.officeapps.live.com/op/view.aspx?src=https%3A%2F%2Fwww.inclusionlondon.org.uk%2Fwp-content%2Fuploads%2F2017%2F03%2FUN-inquiry-response-DPACIL-Final-1.doc&amp;wdOrigin=BROWSELINK</w:t>
        </w:r>
      </w:hyperlink>
      <w:r w:rsidR="000D16AE">
        <w:t xml:space="preserve"> Accessed on: </w:t>
      </w:r>
      <w:r w:rsidR="00AB3F82" w:rsidRPr="00274AA5">
        <w:t>15.03.22</w:t>
      </w:r>
    </w:p>
  </w:footnote>
  <w:footnote w:id="180">
    <w:p w14:paraId="26CF0370" w14:textId="00314EEE" w:rsidR="000F1BAB" w:rsidRDefault="000F1BAB" w:rsidP="00E47F23">
      <w:pPr>
        <w:pStyle w:val="FootnoteText"/>
      </w:pPr>
      <w:r>
        <w:rPr>
          <w:rStyle w:val="FootnoteReference"/>
        </w:rPr>
        <w:footnoteRef/>
      </w:r>
      <w:r>
        <w:t xml:space="preserve"> For figures relating to PIP and Motability losses calculated 2017-2018 see: </w:t>
      </w:r>
      <w:r w:rsidR="00E47F23">
        <w:t xml:space="preserve">UK DDPO UNCRDP Monitoring Coalition (2018). </w:t>
      </w:r>
      <w:r w:rsidR="00E47F23" w:rsidRPr="00E47F23">
        <w:rPr>
          <w:i/>
          <w:iCs/>
        </w:rPr>
        <w:t>Concluding observations on the initial report of the United Kingdom of Great Britain and Northern Ireland – Annual Alternative report from civil society</w:t>
      </w:r>
      <w:r w:rsidR="00E47F23">
        <w:t xml:space="preserve">. [online], p.33. Available at: </w:t>
      </w:r>
      <w:hyperlink r:id="rId83" w:history="1">
        <w:r w:rsidR="00E47F23" w:rsidRPr="00C119DC">
          <w:rPr>
            <w:rStyle w:val="Hyperlink"/>
          </w:rPr>
          <w:t>https://www.inclusionlondon.org.uk/wp-content/uploads/2021/10/Final-DDPO-UNCRPD-alternative-12-month-follow-up-report-2018-.doc</w:t>
        </w:r>
      </w:hyperlink>
      <w:r w:rsidR="00E47F23">
        <w:t xml:space="preserve"> </w:t>
      </w:r>
      <w:r w:rsidR="000D16AE">
        <w:t xml:space="preserve">Accessed on: </w:t>
      </w:r>
      <w:r w:rsidR="00AB3F82" w:rsidRPr="00274AA5">
        <w:t>15.03.22</w:t>
      </w:r>
    </w:p>
  </w:footnote>
  <w:footnote w:id="181">
    <w:p w14:paraId="3D834F89" w14:textId="6971A33F" w:rsidR="00B84303" w:rsidRPr="00BD0811" w:rsidRDefault="00B84303" w:rsidP="00B84303">
      <w:pPr>
        <w:pStyle w:val="FootnoteText"/>
      </w:pPr>
      <w:r w:rsidRPr="00BD0811">
        <w:rPr>
          <w:rStyle w:val="FootnoteReference"/>
        </w:rPr>
        <w:footnoteRef/>
      </w:r>
      <w:r w:rsidRPr="00BD0811">
        <w:t xml:space="preserve"> </w:t>
      </w:r>
      <w:r w:rsidR="00BD0811" w:rsidRPr="00BD0811">
        <w:t xml:space="preserve">Disability Rights UK (2020). Over 100,000 DLA Claimants Lose Motability Vehicles After PIP Reassessment. </w:t>
      </w:r>
      <w:hyperlink r:id="rId84" w:history="1">
        <w:r w:rsidR="00BD0811" w:rsidRPr="00BD0811">
          <w:rPr>
            <w:rStyle w:val="Hyperlink"/>
            <w:i/>
            <w:iCs/>
          </w:rPr>
          <w:t>disabilityrightsuk.org</w:t>
        </w:r>
      </w:hyperlink>
      <w:r w:rsidR="00BD0811" w:rsidRPr="00BD0811">
        <w:t xml:space="preserve">, [online]. Available at: </w:t>
      </w:r>
      <w:hyperlink r:id="rId85" w:history="1">
        <w:r w:rsidR="001C2C6D" w:rsidRPr="00002AC9">
          <w:rPr>
            <w:rStyle w:val="Hyperlink"/>
          </w:rPr>
          <w:t>https://www.disabilityrightsuk.org/news/2020/january/over-100000-dla-claimants-lose-motability-vehicles-after-pip-reassessment</w:t>
        </w:r>
      </w:hyperlink>
      <w:r w:rsidR="001C2C6D">
        <w:t xml:space="preserve"> Accessed on: </w:t>
      </w:r>
      <w:r w:rsidR="00AB3F82" w:rsidRPr="00274AA5">
        <w:t>15.03.22</w:t>
      </w:r>
    </w:p>
  </w:footnote>
  <w:footnote w:id="182">
    <w:p w14:paraId="28431B16" w14:textId="301B1936" w:rsidR="0082579A" w:rsidRDefault="0082579A" w:rsidP="001C2C6D">
      <w:pPr>
        <w:pStyle w:val="FootnoteText"/>
      </w:pPr>
      <w:r w:rsidRPr="001C2C6D">
        <w:rPr>
          <w:rStyle w:val="FootnoteReference"/>
        </w:rPr>
        <w:footnoteRef/>
      </w:r>
      <w:r w:rsidRPr="001C2C6D">
        <w:t xml:space="preserve"> </w:t>
      </w:r>
      <w:r w:rsidR="001C2C6D" w:rsidRPr="001C2C6D">
        <w:t xml:space="preserve">Transport for All (2021). </w:t>
      </w:r>
      <w:r w:rsidR="001C2C6D" w:rsidRPr="004A4DB9">
        <w:rPr>
          <w:i/>
          <w:iCs/>
        </w:rPr>
        <w:t>Pave The Way: the impact of Low Traffic Neighbourhoods (LTNs) on disabled people, and the future of accessible Active Travel</w:t>
      </w:r>
      <w:r w:rsidR="001C2C6D" w:rsidRPr="001C2C6D">
        <w:t xml:space="preserve">. [online]. Available on: </w:t>
      </w:r>
      <w:hyperlink r:id="rId86" w:history="1">
        <w:r w:rsidR="001C2C6D" w:rsidRPr="001C2C6D">
          <w:rPr>
            <w:rStyle w:val="Hyperlink"/>
          </w:rPr>
          <w:t>https://www.transportforall.org.uk/wp-content/uploads/2021/01/Pave-The-Way-full-report.pdf</w:t>
        </w:r>
      </w:hyperlink>
      <w:r w:rsidR="001C2C6D" w:rsidRPr="001C2C6D">
        <w:t xml:space="preserve"> Accessed on</w:t>
      </w:r>
      <w:r w:rsidR="001C2C6D">
        <w:t xml:space="preserve">: </w:t>
      </w:r>
      <w:r w:rsidR="00AB3F82" w:rsidRPr="00274AA5">
        <w:t>15.03.22</w:t>
      </w:r>
    </w:p>
  </w:footnote>
  <w:footnote w:id="183">
    <w:p w14:paraId="3E452035" w14:textId="0BD7F9EB" w:rsidR="00180156" w:rsidRDefault="00180156">
      <w:pPr>
        <w:pStyle w:val="FootnoteText"/>
      </w:pPr>
      <w:r>
        <w:rPr>
          <w:rStyle w:val="FootnoteReference"/>
        </w:rPr>
        <w:footnoteRef/>
      </w:r>
      <w:r>
        <w:t xml:space="preserve"> DDPO33; OO8</w:t>
      </w:r>
    </w:p>
  </w:footnote>
  <w:footnote w:id="184">
    <w:p w14:paraId="46CCB193" w14:textId="2D331820" w:rsidR="00FD18D7" w:rsidRDefault="00FD18D7">
      <w:pPr>
        <w:pStyle w:val="FootnoteText"/>
      </w:pPr>
      <w:r>
        <w:rPr>
          <w:rStyle w:val="FootnoteReference"/>
        </w:rPr>
        <w:footnoteRef/>
      </w:r>
      <w:r>
        <w:t xml:space="preserve"> OO8</w:t>
      </w:r>
    </w:p>
  </w:footnote>
  <w:footnote w:id="185">
    <w:p w14:paraId="27DED22B" w14:textId="77777777" w:rsidR="001C2C6D" w:rsidRDefault="001C2C6D" w:rsidP="001C2C6D">
      <w:pPr>
        <w:pStyle w:val="FootnoteText"/>
      </w:pPr>
      <w:r>
        <w:rPr>
          <w:rStyle w:val="FootnoteReference"/>
        </w:rPr>
        <w:footnoteRef/>
      </w:r>
      <w:r>
        <w:t xml:space="preserve"> OO8</w:t>
      </w:r>
    </w:p>
  </w:footnote>
  <w:footnote w:id="186">
    <w:p w14:paraId="23362651" w14:textId="650C4B4A" w:rsidR="002D4BAF" w:rsidRDefault="002D4BAF">
      <w:pPr>
        <w:pStyle w:val="FootnoteText"/>
      </w:pPr>
      <w:r w:rsidRPr="00AB3F82">
        <w:rPr>
          <w:rStyle w:val="FootnoteReference"/>
        </w:rPr>
        <w:footnoteRef/>
      </w:r>
      <w:r w:rsidRPr="00AB3F82">
        <w:t xml:space="preserve"> </w:t>
      </w:r>
      <w:r w:rsidR="00AB3F82" w:rsidRPr="00AB3F82">
        <w:t>OO8</w:t>
      </w:r>
    </w:p>
  </w:footnote>
  <w:footnote w:id="187">
    <w:p w14:paraId="41A77434" w14:textId="063C4D2D" w:rsidR="00046037" w:rsidRDefault="00046037">
      <w:pPr>
        <w:pStyle w:val="FootnoteText"/>
      </w:pPr>
      <w:r>
        <w:rPr>
          <w:rStyle w:val="FootnoteReference"/>
        </w:rPr>
        <w:footnoteRef/>
      </w:r>
      <w:r>
        <w:t xml:space="preserve"> SR23</w:t>
      </w:r>
    </w:p>
  </w:footnote>
  <w:footnote w:id="188">
    <w:p w14:paraId="7AB7F71A" w14:textId="6F0A3C73" w:rsidR="007E1FC5" w:rsidRPr="00A73B48" w:rsidRDefault="002D4450" w:rsidP="002D4450">
      <w:pPr>
        <w:pStyle w:val="FootnoteText"/>
        <w:rPr>
          <w:highlight w:val="yellow"/>
        </w:rPr>
      </w:pPr>
      <w:r w:rsidRPr="007E1FC5">
        <w:rPr>
          <w:rStyle w:val="FootnoteReference"/>
        </w:rPr>
        <w:footnoteRef/>
      </w:r>
      <w:r w:rsidRPr="007E1FC5">
        <w:t xml:space="preserve"> </w:t>
      </w:r>
      <w:r w:rsidR="007E1FC5" w:rsidRPr="007E1FC5">
        <w:t>Turner, A. (2021). Council’s failure to support autistic man and mother led to ‘stress, anxiety and breakdown in family life’</w:t>
      </w:r>
      <w:r w:rsidR="007E1FC5">
        <w:t xml:space="preserve">. </w:t>
      </w:r>
      <w:r w:rsidR="007E1FC5" w:rsidRPr="007E1FC5">
        <w:rPr>
          <w:i/>
          <w:iCs/>
        </w:rPr>
        <w:t>Community Care</w:t>
      </w:r>
      <w:r w:rsidR="007E1FC5">
        <w:t xml:space="preserve">, [online] 21 December. Available at: </w:t>
      </w:r>
      <w:hyperlink r:id="rId87" w:history="1">
        <w:r w:rsidR="007E1FC5" w:rsidRPr="00002AC9">
          <w:rPr>
            <w:rStyle w:val="Hyperlink"/>
          </w:rPr>
          <w:t>https://www.communitycare.co.uk/2021/12/21/ombudsman-croydon-council-failure-support-autistic-man-mother-stress-family-breakdown/</w:t>
        </w:r>
      </w:hyperlink>
      <w:r w:rsidR="007E1FC5">
        <w:t xml:space="preserve"> Accessed on: </w:t>
      </w:r>
      <w:r w:rsidR="00AB3F82">
        <w:t>15.03.22</w:t>
      </w:r>
      <w:r w:rsidR="00FA3B11" w:rsidRPr="00FA3B11">
        <w:t>; L</w:t>
      </w:r>
      <w:r w:rsidR="000C487E">
        <w:t>GSCO</w:t>
      </w:r>
      <w:r w:rsidR="00FA3B11" w:rsidRPr="00FA3B11">
        <w:t xml:space="preserve"> (2021). </w:t>
      </w:r>
      <w:r w:rsidR="00FA3B11" w:rsidRPr="000C487E">
        <w:rPr>
          <w:i/>
          <w:iCs/>
        </w:rPr>
        <w:t>Investigation into a complaint against London Borough of Croydon</w:t>
      </w:r>
      <w:r w:rsidR="00FA3B11" w:rsidRPr="00FA3B11">
        <w:t>. Reference number: 20 003 686, [online] 04 November. Available at:</w:t>
      </w:r>
      <w:r w:rsidR="00FA3B11">
        <w:t xml:space="preserve"> </w:t>
      </w:r>
      <w:hyperlink r:id="rId88" w:history="1">
        <w:r w:rsidR="00FA3B11" w:rsidRPr="00002AC9">
          <w:rPr>
            <w:rStyle w:val="Hyperlink"/>
          </w:rPr>
          <w:t>file:///C:/Users/User/Downloads/REPORT%2020%20003%20686%20LB%20Croydon.pdf</w:t>
        </w:r>
      </w:hyperlink>
      <w:r w:rsidR="00FA3B11">
        <w:t xml:space="preserve"> Accessed on: </w:t>
      </w:r>
      <w:r w:rsidR="00AB3F82">
        <w:t>15.03.22</w:t>
      </w:r>
    </w:p>
  </w:footnote>
  <w:footnote w:id="189">
    <w:p w14:paraId="4B41002C" w14:textId="678BD1E0" w:rsidR="00F708E9" w:rsidRDefault="00F708E9">
      <w:pPr>
        <w:pStyle w:val="FootnoteText"/>
      </w:pPr>
      <w:r>
        <w:rPr>
          <w:rStyle w:val="FootnoteReference"/>
        </w:rPr>
        <w:footnoteRef/>
      </w:r>
      <w:r>
        <w:t xml:space="preserve"> ONS (2021). </w:t>
      </w:r>
      <w:r w:rsidRPr="00F708E9">
        <w:rPr>
          <w:i/>
          <w:iCs/>
        </w:rPr>
        <w:t>Special educational needs in England</w:t>
      </w:r>
      <w:r>
        <w:t xml:space="preserve">. [online] 24 June. Available at: </w:t>
      </w:r>
      <w:hyperlink r:id="rId89" w:history="1">
        <w:r w:rsidRPr="00054B02">
          <w:rPr>
            <w:rStyle w:val="Hyperlink"/>
          </w:rPr>
          <w:t>https://explore-education-statistics.service.gov.uk/find-statistics/special-educational-needs-in-england</w:t>
        </w:r>
      </w:hyperlink>
      <w:r>
        <w:t xml:space="preserve"> Accessed on: </w:t>
      </w:r>
      <w:r w:rsidR="007A4001">
        <w:t>15.03.22</w:t>
      </w:r>
    </w:p>
  </w:footnote>
  <w:footnote w:id="190">
    <w:p w14:paraId="58EB2723" w14:textId="1FDCEDD2" w:rsidR="004A4DB9" w:rsidRDefault="002239AE" w:rsidP="002239AE">
      <w:pPr>
        <w:pStyle w:val="FootnoteText"/>
      </w:pPr>
      <w:r w:rsidRPr="004A4DB9">
        <w:rPr>
          <w:rStyle w:val="FootnoteReference"/>
        </w:rPr>
        <w:footnoteRef/>
      </w:r>
      <w:r w:rsidRPr="004A4DB9">
        <w:t xml:space="preserve"> </w:t>
      </w:r>
      <w:r w:rsidR="004A4DB9" w:rsidRPr="004A4DB9">
        <w:t xml:space="preserve">Titheridge, N. (2021). Pupil abuse in special school secure rooms filmed on CCTV. </w:t>
      </w:r>
      <w:r w:rsidR="004A4DB9" w:rsidRPr="004A4DB9">
        <w:rPr>
          <w:i/>
          <w:iCs/>
        </w:rPr>
        <w:t>BBC News</w:t>
      </w:r>
      <w:r w:rsidR="004A4DB9" w:rsidRPr="004A4DB9">
        <w:t xml:space="preserve">, [online] 14 October. Available on: </w:t>
      </w:r>
      <w:hyperlink r:id="rId90" w:history="1">
        <w:r w:rsidR="004A4DB9" w:rsidRPr="004A4DB9">
          <w:rPr>
            <w:rStyle w:val="Hyperlink"/>
          </w:rPr>
          <w:t>https://www.bbc.co.uk/news/uk-58885635</w:t>
        </w:r>
      </w:hyperlink>
      <w:r w:rsidRPr="004A4DB9">
        <w:t xml:space="preserve"> </w:t>
      </w:r>
      <w:r w:rsidR="004A4DB9" w:rsidRPr="004A4DB9">
        <w:t>Accessed</w:t>
      </w:r>
      <w:r w:rsidR="004A4DB9">
        <w:t xml:space="preserve"> on: </w:t>
      </w:r>
      <w:r w:rsidR="007A4001">
        <w:t>15.03.22</w:t>
      </w:r>
    </w:p>
    <w:p w14:paraId="67855D03" w14:textId="1AE889F5" w:rsidR="002239AE" w:rsidRPr="00A73B48" w:rsidRDefault="00FF3427" w:rsidP="002239AE">
      <w:pPr>
        <w:pStyle w:val="FootnoteText"/>
        <w:rPr>
          <w:highlight w:val="yellow"/>
        </w:rPr>
      </w:pPr>
      <w:r w:rsidRPr="00FF3427">
        <w:t xml:space="preserve">Hattenstone, S. and Allison, E. (2019). ‘He was covered in bruises’: the vulnerable children being harmed in special schools. </w:t>
      </w:r>
      <w:r w:rsidRPr="00FF3427">
        <w:rPr>
          <w:i/>
          <w:iCs/>
        </w:rPr>
        <w:t>The Guardian</w:t>
      </w:r>
      <w:r w:rsidRPr="00FF3427">
        <w:t xml:space="preserve">, [online] 6 July. Available on:  </w:t>
      </w:r>
      <w:hyperlink r:id="rId91" w:history="1">
        <w:r w:rsidRPr="00FF3427">
          <w:rPr>
            <w:rStyle w:val="Hyperlink"/>
          </w:rPr>
          <w:t>https://www.theguardian.com/society/2019/jul/06/he-was-covered-in-bruises-the-vulnerable-children-being-harmed-in-special-schools</w:t>
        </w:r>
      </w:hyperlink>
      <w:r w:rsidR="002239AE" w:rsidRPr="00FF3427">
        <w:t xml:space="preserve"> </w:t>
      </w:r>
      <w:r w:rsidRPr="00FF3427">
        <w:t xml:space="preserve">Accessed on: </w:t>
      </w:r>
      <w:r w:rsidR="007A4001">
        <w:t>15.03.22</w:t>
      </w:r>
    </w:p>
  </w:footnote>
  <w:footnote w:id="191">
    <w:p w14:paraId="024E17CE" w14:textId="7C4D6B11" w:rsidR="002239AE" w:rsidRPr="00CB42CE" w:rsidRDefault="002239AE" w:rsidP="002239AE">
      <w:pPr>
        <w:pStyle w:val="FootnoteText"/>
      </w:pPr>
      <w:r w:rsidRPr="00CB42CE">
        <w:rPr>
          <w:rStyle w:val="FootnoteReference"/>
        </w:rPr>
        <w:footnoteRef/>
      </w:r>
      <w:r w:rsidRPr="00CB42CE">
        <w:t xml:space="preserve"> </w:t>
      </w:r>
      <w:r w:rsidR="007A4001" w:rsidRPr="00CB42CE">
        <w:t>See Annex A p.</w:t>
      </w:r>
      <w:fldSimple w:instr=" PAGEREF AnnexA ">
        <w:r w:rsidR="00CB42CE" w:rsidRPr="00CB42CE">
          <w:rPr>
            <w:noProof/>
          </w:rPr>
          <w:t>147</w:t>
        </w:r>
      </w:fldSimple>
    </w:p>
  </w:footnote>
  <w:footnote w:id="192">
    <w:p w14:paraId="305188F2" w14:textId="67D187B6" w:rsidR="006968B9" w:rsidRPr="006968B9" w:rsidRDefault="006968B9">
      <w:pPr>
        <w:pStyle w:val="FootnoteText"/>
      </w:pPr>
      <w:r>
        <w:rPr>
          <w:rStyle w:val="FootnoteReference"/>
        </w:rPr>
        <w:footnoteRef/>
      </w:r>
      <w:r>
        <w:t xml:space="preserve"> Independent Inquiry into Child Sexual Abuse (2022). </w:t>
      </w:r>
      <w:r w:rsidRPr="006968B9">
        <w:rPr>
          <w:i/>
          <w:iCs/>
        </w:rPr>
        <w:t xml:space="preserve">Residential </w:t>
      </w:r>
      <w:r w:rsidRPr="006968B9">
        <w:rPr>
          <w:i/>
          <w:iCs/>
        </w:rPr>
        <w:t>schools investigation report</w:t>
      </w:r>
      <w:r>
        <w:t xml:space="preserve">.  </w:t>
      </w:r>
      <w:r w:rsidRPr="006968B9">
        <w:t>HC 1131</w:t>
      </w:r>
      <w:r>
        <w:t xml:space="preserve">, [online] March. Available at: </w:t>
      </w:r>
      <w:hyperlink r:id="rId92" w:history="1">
        <w:r w:rsidRPr="00CE080A">
          <w:rPr>
            <w:rStyle w:val="Hyperlink"/>
          </w:rPr>
          <w:t>https://www.iicsa.org.uk/key-documents/28486/view/iicsa-residential-schools-investigation-report-march-2022.pdf</w:t>
        </w:r>
      </w:hyperlink>
      <w:r>
        <w:t xml:space="preserve"> Accessed on: </w:t>
      </w:r>
      <w:r w:rsidR="007A4001" w:rsidRPr="00DB2E99">
        <w:t>15.03.22</w:t>
      </w:r>
    </w:p>
  </w:footnote>
  <w:footnote w:id="193">
    <w:p w14:paraId="0C622434" w14:textId="23EEA60D" w:rsidR="00390B61" w:rsidRDefault="00390B61">
      <w:pPr>
        <w:pStyle w:val="FootnoteText"/>
      </w:pPr>
      <w:r>
        <w:rPr>
          <w:rStyle w:val="FootnoteReference"/>
        </w:rPr>
        <w:footnoteRef/>
      </w:r>
      <w:r>
        <w:t xml:space="preserve"> NDS, p.66.</w:t>
      </w:r>
    </w:p>
  </w:footnote>
  <w:footnote w:id="194">
    <w:p w14:paraId="0D225723" w14:textId="6E276317" w:rsidR="00876614" w:rsidRDefault="00876614" w:rsidP="00876614">
      <w:pPr>
        <w:pStyle w:val="FootnoteText"/>
      </w:pPr>
      <w:r w:rsidRPr="00FF3427">
        <w:rPr>
          <w:rStyle w:val="FootnoteReference"/>
        </w:rPr>
        <w:footnoteRef/>
      </w:r>
      <w:r w:rsidR="00FF3427" w:rsidRPr="00FF3427">
        <w:t xml:space="preserve"> </w:t>
      </w:r>
      <w:r w:rsidR="00FF3427" w:rsidRPr="00FF3427">
        <w:t xml:space="preserve">Keer, M. (2021). New Budget funds for SEND capital spending. But how did LAs spend previous cash? We checked…. </w:t>
      </w:r>
      <w:r w:rsidR="00FF3427" w:rsidRPr="00FF3427">
        <w:rPr>
          <w:i/>
          <w:iCs/>
        </w:rPr>
        <w:t>Special Needs Jungle</w:t>
      </w:r>
      <w:r w:rsidR="00FF3427" w:rsidRPr="00FF3427">
        <w:t xml:space="preserve">, [online] 28 October. Available on: </w:t>
      </w:r>
      <w:hyperlink r:id="rId93" w:history="1">
        <w:r w:rsidR="00FF3427" w:rsidRPr="00FF3427">
          <w:rPr>
            <w:rStyle w:val="Hyperlink"/>
          </w:rPr>
          <w:t>https://www.specialneedsjungle.com/new-budget-funds-for-send-capital-spending-but-how-did-las-spend-previous-cash-we-checked/</w:t>
        </w:r>
      </w:hyperlink>
      <w:r w:rsidR="00FF3427">
        <w:t xml:space="preserve"> Accessed on</w:t>
      </w:r>
      <w:r w:rsidR="007A4001">
        <w:t>:</w:t>
      </w:r>
      <w:r w:rsidR="007A4001" w:rsidRPr="007A4001">
        <w:t xml:space="preserve"> </w:t>
      </w:r>
      <w:r w:rsidR="007A4001" w:rsidRPr="00DB2E99">
        <w:t>15.03.22</w:t>
      </w:r>
    </w:p>
  </w:footnote>
  <w:footnote w:id="195">
    <w:p w14:paraId="44ED5202" w14:textId="77777777" w:rsidR="00876614" w:rsidRDefault="00876614" w:rsidP="00876614">
      <w:pPr>
        <w:pStyle w:val="FootnoteText"/>
      </w:pPr>
      <w:r>
        <w:rPr>
          <w:rStyle w:val="FootnoteReference"/>
        </w:rPr>
        <w:footnoteRef/>
      </w:r>
      <w:r>
        <w:t xml:space="preserve"> DDPO38</w:t>
      </w:r>
    </w:p>
  </w:footnote>
  <w:footnote w:id="196">
    <w:p w14:paraId="1281829A" w14:textId="52C81199" w:rsidR="00FF3427" w:rsidRDefault="00FF3427">
      <w:pPr>
        <w:pStyle w:val="FootnoteText"/>
      </w:pPr>
      <w:r w:rsidRPr="007A4001">
        <w:rPr>
          <w:rStyle w:val="FootnoteReference"/>
        </w:rPr>
        <w:footnoteRef/>
      </w:r>
      <w:r w:rsidRPr="007A4001">
        <w:t xml:space="preserve"> </w:t>
      </w:r>
      <w:r w:rsidR="007A4001" w:rsidRPr="007A4001">
        <w:t xml:space="preserve">Department for Education (2021). </w:t>
      </w:r>
      <w:r w:rsidR="007A4001" w:rsidRPr="007A4001">
        <w:rPr>
          <w:i/>
          <w:iCs/>
        </w:rPr>
        <w:t>Permanent exclusions and suspensions in England: 2019 to 2020.</w:t>
      </w:r>
      <w:r w:rsidR="007A4001" w:rsidRPr="007A4001">
        <w:t xml:space="preserve"> [online] 29 July. Available at: </w:t>
      </w:r>
      <w:hyperlink r:id="rId94" w:history="1">
        <w:r w:rsidR="007A4001" w:rsidRPr="007A4001">
          <w:rPr>
            <w:rStyle w:val="Hyperlink"/>
          </w:rPr>
          <w:t>https://www.gov.uk/government/statistics/permanent-exclusions-and-suspensions-in-england-2019-to-2020</w:t>
        </w:r>
      </w:hyperlink>
      <w:r w:rsidR="007A4001" w:rsidRPr="007A4001">
        <w:t xml:space="preserve"> Accessed on: 15.03.22</w:t>
      </w:r>
    </w:p>
  </w:footnote>
  <w:footnote w:id="197">
    <w:p w14:paraId="20818FEA" w14:textId="45CEFA89" w:rsidR="00532EF5" w:rsidRPr="008357CC" w:rsidRDefault="00532EF5">
      <w:pPr>
        <w:pStyle w:val="FootnoteText"/>
        <w:rPr>
          <w:highlight w:val="yellow"/>
        </w:rPr>
      </w:pPr>
      <w:r w:rsidRPr="00154418">
        <w:rPr>
          <w:rStyle w:val="FootnoteReference"/>
        </w:rPr>
        <w:footnoteRef/>
      </w:r>
      <w:r w:rsidRPr="00154418">
        <w:t xml:space="preserve"> </w:t>
      </w:r>
      <w:r w:rsidR="00FF3427" w:rsidRPr="00154418">
        <w:t xml:space="preserve">Keer, M. (2018). Legal victory for Bristol parents against SEND cuts – what does it mean for other areas? </w:t>
      </w:r>
      <w:r w:rsidR="00FF3427" w:rsidRPr="00154418">
        <w:rPr>
          <w:i/>
          <w:iCs/>
        </w:rPr>
        <w:t>Special Needs Jungle</w:t>
      </w:r>
      <w:r w:rsidR="00FF3427" w:rsidRPr="00154418">
        <w:t>, [online] 6 August. Available on</w:t>
      </w:r>
      <w:r w:rsidRPr="00154418">
        <w:t>:</w:t>
      </w:r>
      <w:r w:rsidR="00FF3427" w:rsidRPr="00154418">
        <w:t xml:space="preserve"> </w:t>
      </w:r>
      <w:hyperlink r:id="rId95" w:history="1">
        <w:r w:rsidR="00FF3427" w:rsidRPr="00154418">
          <w:rPr>
            <w:rStyle w:val="Hyperlink"/>
          </w:rPr>
          <w:t>www.specialneedsjungle.com/legal-victory-bristol-parents-against-send-cuts-what-mean-other-areas/</w:t>
        </w:r>
      </w:hyperlink>
      <w:r w:rsidR="00FF3427" w:rsidRPr="00154418">
        <w:t xml:space="preserve"> Accessed on: </w:t>
      </w:r>
      <w:r w:rsidR="007A4001" w:rsidRPr="00DB2E99">
        <w:t>15.03.22</w:t>
      </w:r>
    </w:p>
  </w:footnote>
  <w:footnote w:id="198">
    <w:p w14:paraId="2570F48A" w14:textId="604D4417" w:rsidR="00532EF5" w:rsidRPr="008357CC" w:rsidRDefault="00532EF5">
      <w:pPr>
        <w:pStyle w:val="FootnoteText"/>
        <w:rPr>
          <w:highlight w:val="yellow"/>
        </w:rPr>
      </w:pPr>
      <w:r w:rsidRPr="00154418">
        <w:rPr>
          <w:rStyle w:val="FootnoteReference"/>
        </w:rPr>
        <w:footnoteRef/>
      </w:r>
      <w:r w:rsidRPr="00154418">
        <w:t xml:space="preserve"> DDPO4</w:t>
      </w:r>
    </w:p>
  </w:footnote>
  <w:footnote w:id="199">
    <w:p w14:paraId="6552C247" w14:textId="2A94A4C8" w:rsidR="00876614" w:rsidRPr="008357CC" w:rsidRDefault="00876614" w:rsidP="00876614">
      <w:pPr>
        <w:pStyle w:val="FootnoteText"/>
        <w:rPr>
          <w:highlight w:val="yellow"/>
        </w:rPr>
      </w:pPr>
      <w:r w:rsidRPr="00154418">
        <w:rPr>
          <w:rStyle w:val="FootnoteReference"/>
        </w:rPr>
        <w:footnoteRef/>
      </w:r>
      <w:r w:rsidRPr="00154418">
        <w:t xml:space="preserve"> </w:t>
      </w:r>
      <w:r w:rsidR="00154418" w:rsidRPr="00154418">
        <w:t xml:space="preserve">Smith, J. (2021). Bristol Send Crisis Shows Little Signs of Improvement for Families. </w:t>
      </w:r>
      <w:r w:rsidR="00154418" w:rsidRPr="00154418">
        <w:rPr>
          <w:i/>
          <w:iCs/>
        </w:rPr>
        <w:t xml:space="preserve">Chopsy </w:t>
      </w:r>
      <w:r w:rsidR="00154418" w:rsidRPr="000C487E">
        <w:rPr>
          <w:i/>
          <w:iCs/>
        </w:rPr>
        <w:t>Bristol</w:t>
      </w:r>
      <w:r w:rsidR="00154418" w:rsidRPr="00154418">
        <w:t xml:space="preserve">, [online] 6 October. Available on: </w:t>
      </w:r>
      <w:hyperlink r:id="rId96" w:history="1">
        <w:r w:rsidR="00154418" w:rsidRPr="00154418">
          <w:rPr>
            <w:rStyle w:val="Hyperlink"/>
          </w:rPr>
          <w:t>https://chopsybaby.com/magazine/bristol-send-crisis-shows-little-signs-of-improvement-for-families/</w:t>
        </w:r>
      </w:hyperlink>
      <w:r w:rsidR="00154418" w:rsidRPr="00154418">
        <w:t xml:space="preserve"> Accessed on: </w:t>
      </w:r>
      <w:r w:rsidR="007A4001" w:rsidRPr="00DB2E99">
        <w:t>15.03.22</w:t>
      </w:r>
    </w:p>
  </w:footnote>
  <w:footnote w:id="200">
    <w:p w14:paraId="22BBFB04" w14:textId="5A2A8442" w:rsidR="00532EF5" w:rsidRDefault="00532EF5">
      <w:pPr>
        <w:pStyle w:val="FootnoteText"/>
      </w:pPr>
      <w:r w:rsidRPr="00154418">
        <w:rPr>
          <w:rStyle w:val="FootnoteReference"/>
        </w:rPr>
        <w:footnoteRef/>
      </w:r>
      <w:r w:rsidRPr="00154418">
        <w:t xml:space="preserve"> </w:t>
      </w:r>
      <w:r w:rsidR="00154418" w:rsidRPr="00154418">
        <w:t xml:space="preserve">Keer, M. (2020). 95% of decisions in favour of parents, but nobody wins at the SEND Tribunal. </w:t>
      </w:r>
      <w:r w:rsidR="00154418" w:rsidRPr="00154418">
        <w:rPr>
          <w:i/>
          <w:iCs/>
        </w:rPr>
        <w:t>Special Needs Jungle</w:t>
      </w:r>
      <w:r w:rsidR="00154418" w:rsidRPr="00154418">
        <w:t xml:space="preserve">, [online] 11 December. Available on: </w:t>
      </w:r>
      <w:r w:rsidRPr="00154418">
        <w:t>(</w:t>
      </w:r>
      <w:hyperlink r:id="rId97" w:history="1">
        <w:r w:rsidR="00154418" w:rsidRPr="00154418">
          <w:rPr>
            <w:rStyle w:val="Hyperlink"/>
          </w:rPr>
          <w:t>https://www.specialneedsjungle.com/95-decisions-favour-parents-nobody-wins-send-tribunal/</w:t>
        </w:r>
      </w:hyperlink>
      <w:r w:rsidR="00154418" w:rsidRPr="00154418">
        <w:t xml:space="preserve"> Accessed on</w:t>
      </w:r>
      <w:r w:rsidR="00154418">
        <w:t xml:space="preserve">: </w:t>
      </w:r>
      <w:r w:rsidR="007A4001" w:rsidRPr="00DB2E99">
        <w:t>15.03.22</w:t>
      </w:r>
    </w:p>
  </w:footnote>
  <w:footnote w:id="201">
    <w:p w14:paraId="3BAEAFAE" w14:textId="335E8E4B" w:rsidR="00532EF5" w:rsidRDefault="00532EF5">
      <w:pPr>
        <w:pStyle w:val="FootnoteText"/>
      </w:pPr>
      <w:r>
        <w:rPr>
          <w:rStyle w:val="FootnoteReference"/>
        </w:rPr>
        <w:footnoteRef/>
      </w:r>
      <w:r>
        <w:t xml:space="preserve"> DPPO38; OO13</w:t>
      </w:r>
    </w:p>
  </w:footnote>
  <w:footnote w:id="202">
    <w:p w14:paraId="376A3C56" w14:textId="7264A9BE" w:rsidR="001B2B0C" w:rsidRDefault="001B2B0C">
      <w:pPr>
        <w:pStyle w:val="FootnoteText"/>
      </w:pPr>
      <w:r>
        <w:rPr>
          <w:rStyle w:val="FootnoteReference"/>
        </w:rPr>
        <w:footnoteRef/>
      </w:r>
      <w:r>
        <w:t xml:space="preserve"> </w:t>
      </w:r>
      <w:r w:rsidR="00297E87">
        <w:t xml:space="preserve">HM Government (2020). </w:t>
      </w:r>
      <w:r w:rsidRPr="00297E87">
        <w:rPr>
          <w:i/>
          <w:iCs/>
        </w:rPr>
        <w:t>Timpson Review of School Exclusion</w:t>
      </w:r>
      <w:r w:rsidR="00297E87">
        <w:t xml:space="preserve">. CP92, [online] May, p.34. Available at: </w:t>
      </w:r>
      <w:hyperlink r:id="rId98" w:history="1">
        <w:r w:rsidR="0007591D" w:rsidRPr="00A97FBA">
          <w:rPr>
            <w:rStyle w:val="Hyperlink"/>
          </w:rPr>
          <w:t>https://assets.publishing.service.gov.uk/government/uploads/system/uploads/attachment_data/file/807862/Timpson_review.pdf</w:t>
        </w:r>
      </w:hyperlink>
      <w:r w:rsidR="0007591D">
        <w:t xml:space="preserve">. </w:t>
      </w:r>
      <w:r w:rsidR="00297E87">
        <w:t xml:space="preserve">Accessed on: </w:t>
      </w:r>
      <w:r w:rsidR="0007591D" w:rsidRPr="00DB2E99">
        <w:t>15.03.22</w:t>
      </w:r>
    </w:p>
  </w:footnote>
  <w:footnote w:id="203">
    <w:p w14:paraId="658C8836" w14:textId="592F514C" w:rsidR="00C810A5" w:rsidRDefault="00C810A5" w:rsidP="00C810A5">
      <w:pPr>
        <w:pStyle w:val="FootnoteText"/>
      </w:pPr>
      <w:r>
        <w:rPr>
          <w:rStyle w:val="FootnoteReference"/>
        </w:rPr>
        <w:footnoteRef/>
      </w:r>
      <w:r>
        <w:t xml:space="preserve"> Social Metrics Commission (2020). </w:t>
      </w:r>
      <w:r w:rsidRPr="001B2B0C">
        <w:rPr>
          <w:i/>
          <w:iCs/>
        </w:rPr>
        <w:t>Measuring Poverty 2020</w:t>
      </w:r>
      <w:r>
        <w:t xml:space="preserve">. [online]. Available at: </w:t>
      </w:r>
      <w:hyperlink r:id="rId99" w:history="1">
        <w:r w:rsidRPr="00054B02">
          <w:rPr>
            <w:rStyle w:val="Hyperlink"/>
          </w:rPr>
          <w:t>https://socialmetricscommission.org.uk/wp-content/uploads/2020/06/Measuring-Poverty-2020-Web.pdf</w:t>
        </w:r>
      </w:hyperlink>
      <w:r>
        <w:t xml:space="preserve"> Accessed on: </w:t>
      </w:r>
      <w:r w:rsidR="0007591D" w:rsidRPr="00DB2E99">
        <w:t>15.03.22</w:t>
      </w:r>
    </w:p>
  </w:footnote>
  <w:footnote w:id="204">
    <w:p w14:paraId="522B5C6A" w14:textId="71D95955" w:rsidR="007C3F1B" w:rsidRDefault="007C3F1B">
      <w:pPr>
        <w:pStyle w:val="FootnoteText"/>
      </w:pPr>
      <w:r>
        <w:rPr>
          <w:rStyle w:val="FootnoteReference"/>
        </w:rPr>
        <w:footnoteRef/>
      </w:r>
      <w:r>
        <w:t xml:space="preserve"> Statistics derived from analysis of: Department for Education (2021). </w:t>
      </w:r>
      <w:r w:rsidRPr="00C810A5">
        <w:rPr>
          <w:i/>
          <w:iCs/>
        </w:rPr>
        <w:t>Permanent exclusions and suspensions in England: 2019 to 2020.</w:t>
      </w:r>
      <w:r>
        <w:t xml:space="preserve"> [online] 29 July. Available at: </w:t>
      </w:r>
      <w:hyperlink r:id="rId100" w:history="1">
        <w:r w:rsidRPr="00054B02">
          <w:rPr>
            <w:rStyle w:val="Hyperlink"/>
          </w:rPr>
          <w:t>https://www.gov.uk/government/statistics/permanent-exclusions-and-suspensions-in-england-2019-to-2020</w:t>
        </w:r>
      </w:hyperlink>
      <w:r>
        <w:t xml:space="preserve"> Accessed on: </w:t>
      </w:r>
      <w:r w:rsidR="0007591D" w:rsidRPr="00DB2E99">
        <w:t>15.03.22</w:t>
      </w:r>
    </w:p>
  </w:footnote>
  <w:footnote w:id="205">
    <w:p w14:paraId="03E7F088" w14:textId="2306FDA1" w:rsidR="00C810A5" w:rsidRDefault="00C810A5">
      <w:pPr>
        <w:pStyle w:val="FootnoteText"/>
      </w:pPr>
      <w:r>
        <w:rPr>
          <w:rStyle w:val="FootnoteReference"/>
        </w:rPr>
        <w:footnoteRef/>
      </w:r>
      <w:r>
        <w:t xml:space="preserve"> Department for Education 2021</w:t>
      </w:r>
    </w:p>
  </w:footnote>
  <w:footnote w:id="206">
    <w:p w14:paraId="1481C6F5" w14:textId="04A2FA86" w:rsidR="005E0B54" w:rsidRDefault="005E0B54" w:rsidP="005B287E">
      <w:pPr>
        <w:pStyle w:val="FootnoteText"/>
      </w:pPr>
      <w:r>
        <w:rPr>
          <w:rStyle w:val="FootnoteReference"/>
        </w:rPr>
        <w:footnoteRef/>
      </w:r>
      <w:r>
        <w:t xml:space="preserve"> Analysis of </w:t>
      </w:r>
      <w:r w:rsidRPr="005E0B54">
        <w:t>Department for Education exclusions statistics, 2018-19.</w:t>
      </w:r>
      <w:r>
        <w:t xml:space="preserve"> </w:t>
      </w:r>
      <w:r w:rsidR="005B287E">
        <w:t xml:space="preserve">McIntyre, N., Parveen, N. and Thomas, T. (2021). </w:t>
      </w:r>
      <w:r w:rsidR="005B287E" w:rsidRPr="005B287E">
        <w:t>Exclusion rates five times higher for black Caribbean pupils in parts of England</w:t>
      </w:r>
      <w:r w:rsidR="005B287E">
        <w:t xml:space="preserve">. </w:t>
      </w:r>
      <w:r w:rsidR="005B287E">
        <w:rPr>
          <w:i/>
          <w:iCs/>
        </w:rPr>
        <w:t xml:space="preserve">The </w:t>
      </w:r>
      <w:r w:rsidR="005B287E" w:rsidRPr="0007591D">
        <w:rPr>
          <w:i/>
          <w:iCs/>
        </w:rPr>
        <w:t>Guardian</w:t>
      </w:r>
      <w:r w:rsidR="005B287E">
        <w:t xml:space="preserve">, [online] 24 March. Available at: </w:t>
      </w:r>
      <w:hyperlink r:id="rId101" w:history="1">
        <w:r w:rsidR="005B287E" w:rsidRPr="00054B02">
          <w:rPr>
            <w:rStyle w:val="Hyperlink"/>
          </w:rPr>
          <w:t>https://www.theguardian.com/education/2021/mar/24/exclusion-rates-black-caribbean-pupils-england</w:t>
        </w:r>
      </w:hyperlink>
      <w:r w:rsidR="005B287E">
        <w:t xml:space="preserve"> Accessed on: </w:t>
      </w:r>
      <w:r w:rsidR="0007591D" w:rsidRPr="00DB2E99">
        <w:t>15.03.22</w:t>
      </w:r>
    </w:p>
  </w:footnote>
  <w:footnote w:id="207">
    <w:p w14:paraId="4D0665E1" w14:textId="6856E3BA" w:rsidR="00C810A5" w:rsidRDefault="00C810A5">
      <w:pPr>
        <w:pStyle w:val="FootnoteText"/>
      </w:pPr>
      <w:r>
        <w:rPr>
          <w:rStyle w:val="FootnoteReference"/>
        </w:rPr>
        <w:footnoteRef/>
      </w:r>
      <w:r>
        <w:t xml:space="preserve"> Gill, K, with Quilter-Pinner H. and Swift, D. (2017). Making the Difference: breaking the link between school exclusion and social exclusion. London: Institute for Public Policy Research. [online]</w:t>
      </w:r>
      <w:r w:rsidR="00B31C4E">
        <w:t>, p.16.</w:t>
      </w:r>
      <w:r>
        <w:t xml:space="preserve"> Available at: </w:t>
      </w:r>
      <w:hyperlink r:id="rId102" w:history="1">
        <w:r w:rsidRPr="00054B02">
          <w:rPr>
            <w:rStyle w:val="Hyperlink"/>
          </w:rPr>
          <w:t>https://www.ippr.org/files/2017-10/making-the-difference-report-october-2017.pdf</w:t>
        </w:r>
      </w:hyperlink>
      <w:r>
        <w:t xml:space="preserve"> Accessed on: </w:t>
      </w:r>
      <w:r w:rsidR="00297CEB">
        <w:t>15.03.22</w:t>
      </w:r>
    </w:p>
  </w:footnote>
  <w:footnote w:id="208">
    <w:p w14:paraId="73B0DFE6" w14:textId="68477B83" w:rsidR="00065A73" w:rsidRDefault="00065A73">
      <w:pPr>
        <w:pStyle w:val="FootnoteText"/>
      </w:pPr>
      <w:r>
        <w:rPr>
          <w:rStyle w:val="FootnoteReference"/>
        </w:rPr>
        <w:footnoteRef/>
      </w:r>
      <w:r>
        <w:t xml:space="preserve"> </w:t>
      </w:r>
      <w:r w:rsidR="00F15A30">
        <w:t>The Edinburgh Study of Youth Transitions and Crime (2016).</w:t>
      </w:r>
      <w:r w:rsidR="00F15A30" w:rsidRPr="00F15A30">
        <w:t xml:space="preserve"> Study links school exclusion to prison</w:t>
      </w:r>
      <w:r w:rsidR="00F15A30">
        <w:t xml:space="preserve">. [press release] 6 April. Available at: </w:t>
      </w:r>
      <w:hyperlink r:id="rId103" w:history="1">
        <w:r w:rsidR="00F15A30" w:rsidRPr="00054B02">
          <w:rPr>
            <w:rStyle w:val="Hyperlink"/>
          </w:rPr>
          <w:t>https://www.ed.ac.uk/news/2013/exclusionprison-280213</w:t>
        </w:r>
      </w:hyperlink>
      <w:r w:rsidR="00F15A30">
        <w:t xml:space="preserve"> Accessed on: </w:t>
      </w:r>
      <w:r w:rsidR="00297CEB">
        <w:t>15.03.22</w:t>
      </w:r>
    </w:p>
  </w:footnote>
  <w:footnote w:id="209">
    <w:p w14:paraId="3D101CA4" w14:textId="0A63E899" w:rsidR="00F15A30" w:rsidRDefault="00F15A30">
      <w:pPr>
        <w:pStyle w:val="FootnoteText"/>
      </w:pPr>
      <w:r>
        <w:rPr>
          <w:rStyle w:val="FootnoteReference"/>
        </w:rPr>
        <w:footnoteRef/>
      </w:r>
      <w:r>
        <w:t xml:space="preserve"> </w:t>
      </w:r>
      <w:r>
        <w:t xml:space="preserve">Weale, S. (2017). </w:t>
      </w:r>
      <w:r w:rsidRPr="00F15A30">
        <w:t>School exclusions data in England only 'the tip of the iceberg'</w:t>
      </w:r>
      <w:r>
        <w:t xml:space="preserve">. </w:t>
      </w:r>
      <w:r>
        <w:rPr>
          <w:i/>
          <w:iCs/>
        </w:rPr>
        <w:t>The Guardian</w:t>
      </w:r>
      <w:r>
        <w:t>, [online] 17 October.</w:t>
      </w:r>
      <w:r w:rsidRPr="00F15A30">
        <w:t xml:space="preserve"> </w:t>
      </w:r>
      <w:r>
        <w:t xml:space="preserve">Available at: </w:t>
      </w:r>
      <w:hyperlink r:id="rId104" w:history="1">
        <w:r w:rsidRPr="00054B02">
          <w:rPr>
            <w:rStyle w:val="Hyperlink"/>
          </w:rPr>
          <w:t>https://www.theguardian.com/education/2017/oct/10/school-exclusion-figures-date-england-only-tip-iceberg</w:t>
        </w:r>
      </w:hyperlink>
      <w:r>
        <w:t xml:space="preserve"> Accessed on</w:t>
      </w:r>
      <w:r w:rsidR="00297CEB">
        <w:t>: 15.03.22</w:t>
      </w:r>
    </w:p>
  </w:footnote>
  <w:footnote w:id="210">
    <w:p w14:paraId="331DBC82" w14:textId="150E1D3A" w:rsidR="001A3DD5" w:rsidRPr="001A3DD5" w:rsidRDefault="001A3DD5">
      <w:pPr>
        <w:pStyle w:val="FootnoteText"/>
      </w:pPr>
      <w:r>
        <w:rPr>
          <w:rStyle w:val="FootnoteReference"/>
        </w:rPr>
        <w:footnoteRef/>
      </w:r>
      <w:r>
        <w:t xml:space="preserve"> </w:t>
      </w:r>
      <w:r>
        <w:t xml:space="preserve">Pring, J. (2020). </w:t>
      </w:r>
      <w:r w:rsidRPr="001A3DD5">
        <w:t>Disabled students ‘face appalling barriers’ at latest university to face discrimination claims</w:t>
      </w:r>
      <w:r>
        <w:t xml:space="preserve">. </w:t>
      </w:r>
      <w:r w:rsidRPr="001A3DD5">
        <w:rPr>
          <w:i/>
          <w:iCs/>
        </w:rPr>
        <w:t>Disability News Service</w:t>
      </w:r>
      <w:r>
        <w:t xml:space="preserve">, [online] </w:t>
      </w:r>
      <w:r w:rsidR="00AB6044">
        <w:t xml:space="preserve">13 August. Available at: </w:t>
      </w:r>
      <w:hyperlink r:id="rId105" w:history="1">
        <w:r w:rsidR="00AB6044" w:rsidRPr="00EB259E">
          <w:rPr>
            <w:rStyle w:val="Hyperlink"/>
          </w:rPr>
          <w:t>https://www.disabilitynewsservice.com/disabled-students-face-appalling-barriers-at-latest-university-to-face-discrimination-claims/</w:t>
        </w:r>
      </w:hyperlink>
      <w:r w:rsidR="00AB6044">
        <w:t xml:space="preserve"> Accessed on: </w:t>
      </w:r>
      <w:r w:rsidR="00297CEB">
        <w:t>15.03.22</w:t>
      </w:r>
    </w:p>
  </w:footnote>
  <w:footnote w:id="211">
    <w:p w14:paraId="440F7304" w14:textId="75BDCB3B" w:rsidR="00AB6044" w:rsidRDefault="00AB6044">
      <w:pPr>
        <w:pStyle w:val="FootnoteText"/>
      </w:pPr>
      <w:r>
        <w:rPr>
          <w:rStyle w:val="FootnoteReference"/>
        </w:rPr>
        <w:footnoteRef/>
      </w:r>
      <w:r>
        <w:t xml:space="preserve"> Higher Education Commission (2020). </w:t>
      </w:r>
      <w:r w:rsidRPr="00AB6044">
        <w:rPr>
          <w:i/>
          <w:iCs/>
        </w:rPr>
        <w:t>Arriving At Thriving: Learning from disabled students to ensure access for all</w:t>
      </w:r>
      <w:r>
        <w:t xml:space="preserve">. [online] 6 October. Available at: </w:t>
      </w:r>
      <w:hyperlink r:id="rId106" w:history="1">
        <w:r w:rsidRPr="00EB259E">
          <w:rPr>
            <w:rStyle w:val="Hyperlink"/>
          </w:rPr>
          <w:t>https://www.policyconnect.org.uk/research/arriving-thriving-learning-disabled-students-ensure-access-all</w:t>
        </w:r>
      </w:hyperlink>
      <w:r>
        <w:t xml:space="preserve"> Accessed on: </w:t>
      </w:r>
      <w:r w:rsidR="00297CEB">
        <w:t>15.03.22</w:t>
      </w:r>
      <w:r>
        <w:t xml:space="preserve">; </w:t>
      </w:r>
      <w:r>
        <w:t xml:space="preserve">Pring, J. (2020). </w:t>
      </w:r>
      <w:r w:rsidRPr="00AB6044">
        <w:t>Disabled students call for strict new rules for universities that fail on access</w:t>
      </w:r>
      <w:r>
        <w:t>.</w:t>
      </w:r>
      <w:r w:rsidR="00297CEB">
        <w:t xml:space="preserve"> </w:t>
      </w:r>
      <w:r w:rsidRPr="00AB6044">
        <w:rPr>
          <w:i/>
          <w:iCs/>
        </w:rPr>
        <w:t>Disability</w:t>
      </w:r>
      <w:r>
        <w:t xml:space="preserve"> </w:t>
      </w:r>
      <w:r w:rsidRPr="00AB6044">
        <w:rPr>
          <w:i/>
          <w:iCs/>
        </w:rPr>
        <w:t>News Service</w:t>
      </w:r>
      <w:r>
        <w:t xml:space="preserve">, [online] </w:t>
      </w:r>
      <w:r w:rsidR="00B00BDC">
        <w:t xml:space="preserve">5 November. Available on: </w:t>
      </w:r>
      <w:hyperlink r:id="rId107" w:history="1">
        <w:r w:rsidR="00B00BDC" w:rsidRPr="00EB259E">
          <w:rPr>
            <w:rStyle w:val="Hyperlink"/>
          </w:rPr>
          <w:t>https://www.disabilitynewsservice.com/disabled-students-call-for-strict-new-rules-for-universities-that-fail-on-access/</w:t>
        </w:r>
      </w:hyperlink>
      <w:r w:rsidR="00B00BDC">
        <w:t xml:space="preserve"> Accessed on: </w:t>
      </w:r>
      <w:r w:rsidR="00297CEB">
        <w:t>15.03.22</w:t>
      </w:r>
    </w:p>
  </w:footnote>
  <w:footnote w:id="212">
    <w:p w14:paraId="1AA4A359" w14:textId="089A6384" w:rsidR="00B00BDC" w:rsidRDefault="00B00BDC">
      <w:pPr>
        <w:pStyle w:val="FootnoteText"/>
      </w:pPr>
      <w:r>
        <w:rPr>
          <w:rStyle w:val="FootnoteReference"/>
        </w:rPr>
        <w:footnoteRef/>
      </w:r>
      <w:r>
        <w:t xml:space="preserve"> </w:t>
      </w:r>
      <w:r w:rsidR="00297CEB">
        <w:t>CBCE4 (unpublished due to inclusion of personal data); FG4</w:t>
      </w:r>
    </w:p>
  </w:footnote>
  <w:footnote w:id="213">
    <w:p w14:paraId="03D386B0" w14:textId="454D1342" w:rsidR="00356C4A" w:rsidRDefault="00356C4A">
      <w:pPr>
        <w:pStyle w:val="FootnoteText"/>
      </w:pPr>
      <w:r>
        <w:rPr>
          <w:rStyle w:val="FootnoteReference"/>
        </w:rPr>
        <w:footnoteRef/>
      </w:r>
      <w:r>
        <w:t xml:space="preserve"> </w:t>
      </w:r>
      <w:r w:rsidR="00297CEB">
        <w:t>FG1</w:t>
      </w:r>
    </w:p>
  </w:footnote>
  <w:footnote w:id="214">
    <w:p w14:paraId="59BB250B" w14:textId="2C2A7541" w:rsidR="00180156" w:rsidRPr="00390B61" w:rsidRDefault="00180156" w:rsidP="00180156">
      <w:pPr>
        <w:pStyle w:val="FootnoteText"/>
      </w:pPr>
      <w:r w:rsidRPr="00390B61">
        <w:rPr>
          <w:rStyle w:val="FootnoteReference"/>
        </w:rPr>
        <w:footnoteRef/>
      </w:r>
      <w:r w:rsidRPr="00390B61">
        <w:t xml:space="preserve"> </w:t>
      </w:r>
      <w:r w:rsidR="00390B61" w:rsidRPr="00390B61">
        <w:t>DDPO38</w:t>
      </w:r>
    </w:p>
  </w:footnote>
  <w:footnote w:id="215">
    <w:p w14:paraId="7B890F41" w14:textId="0B6408F1" w:rsidR="00180156" w:rsidRPr="00A73B48" w:rsidRDefault="00180156" w:rsidP="00180156">
      <w:pPr>
        <w:pStyle w:val="FootnoteText"/>
        <w:rPr>
          <w:highlight w:val="yellow"/>
        </w:rPr>
      </w:pPr>
      <w:r w:rsidRPr="00390B61">
        <w:rPr>
          <w:rStyle w:val="FootnoteReference"/>
        </w:rPr>
        <w:footnoteRef/>
      </w:r>
      <w:r w:rsidRPr="00390B61">
        <w:t xml:space="preserve"> </w:t>
      </w:r>
      <w:r w:rsidR="00390B61" w:rsidRPr="00390B61">
        <w:t>DDPO38; CBCE10</w:t>
      </w:r>
    </w:p>
  </w:footnote>
  <w:footnote w:id="216">
    <w:p w14:paraId="12F7A255" w14:textId="1A2126FE" w:rsidR="00001AF8" w:rsidRPr="00297CEB" w:rsidRDefault="00001AF8" w:rsidP="00001AF8">
      <w:pPr>
        <w:pStyle w:val="FootnoteText"/>
      </w:pPr>
      <w:r w:rsidRPr="00297CEB">
        <w:rPr>
          <w:rStyle w:val="FootnoteReference"/>
        </w:rPr>
        <w:footnoteRef/>
      </w:r>
      <w:r w:rsidRPr="00297CEB">
        <w:t xml:space="preserve"> </w:t>
      </w:r>
      <w:r w:rsidR="00297CEB" w:rsidRPr="00297CEB">
        <w:t>CBCE10</w:t>
      </w:r>
    </w:p>
  </w:footnote>
  <w:footnote w:id="217">
    <w:p w14:paraId="61D6E154" w14:textId="44E83523" w:rsidR="00A86A97" w:rsidRDefault="00A86A97">
      <w:pPr>
        <w:pStyle w:val="FootnoteText"/>
      </w:pPr>
      <w:r w:rsidRPr="00297CEB">
        <w:rPr>
          <w:rStyle w:val="FootnoteReference"/>
        </w:rPr>
        <w:footnoteRef/>
      </w:r>
      <w:r w:rsidRPr="00297CEB">
        <w:t xml:space="preserve"> </w:t>
      </w:r>
      <w:r w:rsidR="00297CEB" w:rsidRPr="00297CEB">
        <w:t>CBCE32</w:t>
      </w:r>
      <w:r w:rsidR="00297CEB" w:rsidRPr="0026645D">
        <w:t>; SR51</w:t>
      </w:r>
      <w:r w:rsidR="00297CEB">
        <w:t>, SR105, S107, R1SR222, SR234</w:t>
      </w:r>
    </w:p>
  </w:footnote>
  <w:footnote w:id="218">
    <w:p w14:paraId="1F6CAD04" w14:textId="19DF439C" w:rsidR="00AD4613" w:rsidRDefault="00AD4613" w:rsidP="00AD4613">
      <w:pPr>
        <w:pStyle w:val="FootnoteText"/>
      </w:pPr>
      <w:r>
        <w:rPr>
          <w:rStyle w:val="FootnoteReference"/>
        </w:rPr>
        <w:footnoteRef/>
      </w:r>
      <w:r>
        <w:t xml:space="preserve"> DDPO33</w:t>
      </w:r>
    </w:p>
  </w:footnote>
  <w:footnote w:id="219">
    <w:p w14:paraId="4EBF0DB5" w14:textId="77777777" w:rsidR="00510870" w:rsidRDefault="00510870" w:rsidP="00510870">
      <w:pPr>
        <w:pStyle w:val="FootnoteText"/>
      </w:pPr>
      <w:r>
        <w:rPr>
          <w:rStyle w:val="FootnoteReference"/>
        </w:rPr>
        <w:footnoteRef/>
      </w:r>
      <w:r>
        <w:t xml:space="preserve"> FG1; FG6</w:t>
      </w:r>
    </w:p>
  </w:footnote>
  <w:footnote w:id="220">
    <w:p w14:paraId="53CFBA50" w14:textId="208FAB2D" w:rsidR="00C649DF" w:rsidRPr="003661AE" w:rsidRDefault="00C649DF" w:rsidP="00C649DF">
      <w:pPr>
        <w:pStyle w:val="FootnoteText"/>
      </w:pPr>
      <w:r w:rsidRPr="003661AE">
        <w:rPr>
          <w:rStyle w:val="FootnoteReference"/>
        </w:rPr>
        <w:footnoteRef/>
      </w:r>
      <w:r w:rsidRPr="003661AE">
        <w:t xml:space="preserve"> </w:t>
      </w:r>
      <w:r w:rsidR="003661AE" w:rsidRPr="003661AE">
        <w:t>FG2</w:t>
      </w:r>
    </w:p>
  </w:footnote>
  <w:footnote w:id="221">
    <w:p w14:paraId="0CC20759" w14:textId="37BE6BA3" w:rsidR="00195572" w:rsidRDefault="00195572">
      <w:pPr>
        <w:pStyle w:val="FootnoteText"/>
      </w:pPr>
      <w:r>
        <w:rPr>
          <w:rStyle w:val="FootnoteReference"/>
        </w:rPr>
        <w:footnoteRef/>
      </w:r>
      <w:r>
        <w:t xml:space="preserve"> </w:t>
      </w:r>
      <w:r w:rsidRPr="00195572">
        <w:t>Namely, that they receive support from the Home Office under section 4(2) of the Immigration and Asylum Act 1999 or from a local authority under section 21 of the National Assistance Act 1948 or Part 1 (care and support) of the Care Act 2014.</w:t>
      </w:r>
    </w:p>
  </w:footnote>
  <w:footnote w:id="222">
    <w:p w14:paraId="4ACF6905" w14:textId="1B2C9244" w:rsidR="00FA1A2D" w:rsidRDefault="00FA1A2D" w:rsidP="00FA1A2D">
      <w:pPr>
        <w:pStyle w:val="FootnoteText"/>
      </w:pPr>
      <w:r>
        <w:rPr>
          <w:rStyle w:val="FootnoteReference"/>
        </w:rPr>
        <w:footnoteRef/>
      </w:r>
      <w:r>
        <w:t xml:space="preserve"> </w:t>
      </w:r>
      <w:r w:rsidRPr="00FA3546">
        <w:t>Ryan</w:t>
      </w:r>
      <w:r>
        <w:t>, F.</w:t>
      </w:r>
      <w:r w:rsidRPr="00FA3546">
        <w:t xml:space="preserve"> (2017) Need a Wheelchair? Pay for it yourself</w:t>
      </w:r>
      <w:r>
        <w:t>.</w:t>
      </w:r>
      <w:r w:rsidRPr="00FA3546">
        <w:t xml:space="preserve"> </w:t>
      </w:r>
      <w:r w:rsidR="00154418" w:rsidRPr="00154418">
        <w:rPr>
          <w:i/>
          <w:iCs/>
        </w:rPr>
        <w:t>The</w:t>
      </w:r>
      <w:r w:rsidR="00154418">
        <w:t xml:space="preserve"> </w:t>
      </w:r>
      <w:r w:rsidRPr="00FA3546">
        <w:rPr>
          <w:i/>
          <w:iCs/>
        </w:rPr>
        <w:t>Guardian</w:t>
      </w:r>
      <w:r w:rsidRPr="00FA3546">
        <w:t xml:space="preserve">, </w:t>
      </w:r>
      <w:r>
        <w:t xml:space="preserve">[online] </w:t>
      </w:r>
      <w:r w:rsidRPr="00FA3546">
        <w:t xml:space="preserve">19 July. Available at: </w:t>
      </w:r>
      <w:hyperlink r:id="rId108" w:history="1">
        <w:r w:rsidR="00297CEB" w:rsidRPr="00A97FBA">
          <w:rPr>
            <w:rStyle w:val="Hyperlink"/>
          </w:rPr>
          <w:t>https://www.theguardian.com/society/2017/jul/19/wheelchair-pay-yourself-disabled-people-crowdfunding</w:t>
        </w:r>
      </w:hyperlink>
      <w:r w:rsidR="00297CEB">
        <w:t>. Accessed on: 15.03.22</w:t>
      </w:r>
    </w:p>
  </w:footnote>
  <w:footnote w:id="223">
    <w:p w14:paraId="701C3E6D" w14:textId="26E1E73D" w:rsidR="00664509" w:rsidRDefault="00664509">
      <w:pPr>
        <w:pStyle w:val="FootnoteText"/>
      </w:pPr>
      <w:r>
        <w:rPr>
          <w:rStyle w:val="FootnoteReference"/>
        </w:rPr>
        <w:footnoteRef/>
      </w:r>
      <w:r>
        <w:t xml:space="preserve"> </w:t>
      </w:r>
      <w:r w:rsidR="00596771">
        <w:t>S</w:t>
      </w:r>
      <w:r w:rsidR="009E4768">
        <w:t>R</w:t>
      </w:r>
      <w:r w:rsidR="00596771">
        <w:t xml:space="preserve">74; </w:t>
      </w:r>
      <w:r w:rsidR="009E4768">
        <w:t>SR</w:t>
      </w:r>
      <w:r w:rsidR="00596771">
        <w:t xml:space="preserve">92; </w:t>
      </w:r>
      <w:r w:rsidR="009E4768">
        <w:t>SR</w:t>
      </w:r>
      <w:r w:rsidR="00596771">
        <w:t xml:space="preserve">109; </w:t>
      </w:r>
      <w:r w:rsidR="009E4768">
        <w:t>SR</w:t>
      </w:r>
      <w:r w:rsidR="00596771">
        <w:t xml:space="preserve">111; </w:t>
      </w:r>
      <w:r w:rsidR="009E4768">
        <w:t>SR</w:t>
      </w:r>
      <w:r w:rsidR="00596771">
        <w:t>209</w:t>
      </w:r>
    </w:p>
  </w:footnote>
  <w:footnote w:id="224">
    <w:p w14:paraId="4E556B8A" w14:textId="40D8A114" w:rsidR="004A2095" w:rsidRDefault="004A2095">
      <w:pPr>
        <w:pStyle w:val="FootnoteText"/>
      </w:pPr>
      <w:r w:rsidRPr="00297CEB">
        <w:rPr>
          <w:rStyle w:val="FootnoteReference"/>
        </w:rPr>
        <w:footnoteRef/>
      </w:r>
      <w:r w:rsidRPr="00297CEB">
        <w:t xml:space="preserve"> </w:t>
      </w:r>
      <w:r w:rsidR="00297CEB" w:rsidRPr="00297CEB">
        <w:t>DDPO12</w:t>
      </w:r>
    </w:p>
  </w:footnote>
  <w:footnote w:id="225">
    <w:p w14:paraId="656AABB0" w14:textId="571C59CF" w:rsidR="00A86A97" w:rsidRDefault="00A86A97">
      <w:pPr>
        <w:pStyle w:val="FootnoteText"/>
      </w:pPr>
      <w:r>
        <w:rPr>
          <w:rStyle w:val="FootnoteReference"/>
        </w:rPr>
        <w:footnoteRef/>
      </w:r>
      <w:r>
        <w:t xml:space="preserve"> </w:t>
      </w:r>
      <w:r w:rsidR="00297CEB">
        <w:t>See SR210 for an individual account relating to NICE guidelines and Lyme Disease.</w:t>
      </w:r>
    </w:p>
  </w:footnote>
  <w:footnote w:id="226">
    <w:p w14:paraId="387C5E1E" w14:textId="36CA7F82" w:rsidR="00996E80" w:rsidRDefault="00996E80" w:rsidP="000E3EF6">
      <w:pPr>
        <w:pStyle w:val="FootnoteText"/>
      </w:pPr>
      <w:r w:rsidRPr="00D309C4">
        <w:rPr>
          <w:rStyle w:val="FootnoteReference"/>
        </w:rPr>
        <w:footnoteRef/>
      </w:r>
      <w:r w:rsidRPr="00D309C4">
        <w:t xml:space="preserve"> </w:t>
      </w:r>
      <w:r w:rsidR="000E3EF6" w:rsidRPr="00D309C4">
        <w:t>TUC</w:t>
      </w:r>
      <w:r w:rsidR="000E3EF6">
        <w:t xml:space="preserve"> (2021). </w:t>
      </w:r>
      <w:r w:rsidR="000E3EF6" w:rsidRPr="000E3EF6">
        <w:rPr>
          <w:i/>
          <w:iCs/>
        </w:rPr>
        <w:t xml:space="preserve">Workers’ experiences of long </w:t>
      </w:r>
      <w:r w:rsidR="00C006F0">
        <w:rPr>
          <w:i/>
          <w:iCs/>
        </w:rPr>
        <w:t>COVID</w:t>
      </w:r>
      <w:r w:rsidR="0046390E">
        <w:rPr>
          <w:i/>
          <w:iCs/>
        </w:rPr>
        <w:t xml:space="preserve"> – </w:t>
      </w:r>
      <w:r w:rsidR="000E3EF6" w:rsidRPr="000E3EF6">
        <w:rPr>
          <w:i/>
          <w:iCs/>
        </w:rPr>
        <w:t>A TUC report.</w:t>
      </w:r>
      <w:r w:rsidR="000E3EF6">
        <w:rPr>
          <w:i/>
          <w:iCs/>
        </w:rPr>
        <w:t xml:space="preserve"> </w:t>
      </w:r>
      <w:r w:rsidR="000E3EF6" w:rsidRPr="000E3EF6">
        <w:t>[online]</w:t>
      </w:r>
      <w:r w:rsidR="000E3EF6">
        <w:t xml:space="preserve"> Available at: </w:t>
      </w:r>
      <w:hyperlink r:id="rId109" w:history="1">
        <w:r w:rsidR="000E3EF6" w:rsidRPr="00012462">
          <w:rPr>
            <w:rStyle w:val="Hyperlink"/>
          </w:rPr>
          <w:t>https://www.tuc.org.uk/sites/default/files/2021-06/Formatted%20version%20of%20Long%20</w:t>
        </w:r>
        <w:r w:rsidR="00C006F0">
          <w:rPr>
            <w:rStyle w:val="Hyperlink"/>
          </w:rPr>
          <w:t>COVID</w:t>
        </w:r>
        <w:r w:rsidR="000E3EF6" w:rsidRPr="00012462">
          <w:rPr>
            <w:rStyle w:val="Hyperlink"/>
          </w:rPr>
          <w:t>%20report%20-%20v1.3.pdf</w:t>
        </w:r>
      </w:hyperlink>
      <w:r w:rsidR="000E3EF6">
        <w:t xml:space="preserve"> Accessed on: </w:t>
      </w:r>
      <w:r w:rsidR="00D309C4">
        <w:t>15.03.22</w:t>
      </w:r>
    </w:p>
  </w:footnote>
  <w:footnote w:id="227">
    <w:p w14:paraId="03B611D3" w14:textId="32E765A1" w:rsidR="004A2095" w:rsidRPr="00D309C4" w:rsidRDefault="004A2095">
      <w:pPr>
        <w:pStyle w:val="FootnoteText"/>
      </w:pPr>
      <w:r w:rsidRPr="00D309C4">
        <w:rPr>
          <w:rStyle w:val="FootnoteReference"/>
        </w:rPr>
        <w:footnoteRef/>
      </w:r>
      <w:r w:rsidRPr="00D309C4">
        <w:t xml:space="preserve"> </w:t>
      </w:r>
      <w:r w:rsidR="00D309C4" w:rsidRPr="00D309C4">
        <w:t xml:space="preserve">CBCE8; DDPO12; </w:t>
      </w:r>
      <w:r w:rsidR="00D309C4" w:rsidRPr="00D309C4">
        <w:t>D.DP10, D.DP30</w:t>
      </w:r>
    </w:p>
  </w:footnote>
  <w:footnote w:id="228">
    <w:p w14:paraId="010C3B05" w14:textId="0C13F06D" w:rsidR="0083711A" w:rsidRPr="00D309C4" w:rsidRDefault="0083711A">
      <w:pPr>
        <w:pStyle w:val="FootnoteText"/>
      </w:pPr>
      <w:r w:rsidRPr="00D309C4">
        <w:rPr>
          <w:rStyle w:val="FootnoteReference"/>
        </w:rPr>
        <w:footnoteRef/>
      </w:r>
      <w:r w:rsidRPr="00D309C4">
        <w:t xml:space="preserve"> Dayan, M. (2021). What happened to those Brexit medicines shortages? </w:t>
      </w:r>
      <w:r w:rsidRPr="00D309C4">
        <w:rPr>
          <w:i/>
          <w:iCs/>
        </w:rPr>
        <w:t>NuffieldTrust.org.uk</w:t>
      </w:r>
      <w:r w:rsidRPr="00D309C4">
        <w:t xml:space="preserve">, [online] 29 September. Available at: </w:t>
      </w:r>
      <w:hyperlink r:id="rId110" w:history="1">
        <w:r w:rsidRPr="00D309C4">
          <w:rPr>
            <w:rStyle w:val="Hyperlink"/>
          </w:rPr>
          <w:t>https://www.nuffieldtrust.org.uk/news-item/what-happened-to-those-brexit-medicines-shortages</w:t>
        </w:r>
      </w:hyperlink>
      <w:r w:rsidRPr="00D309C4">
        <w:t xml:space="preserve"> Accessed on: </w:t>
      </w:r>
      <w:r w:rsidR="00D309C4" w:rsidRPr="00D309C4">
        <w:t>15.03.22</w:t>
      </w:r>
    </w:p>
  </w:footnote>
  <w:footnote w:id="229">
    <w:p w14:paraId="4E55BCB0" w14:textId="11E26DE5" w:rsidR="0083711A" w:rsidRPr="00D309C4" w:rsidRDefault="0083711A">
      <w:pPr>
        <w:pStyle w:val="FootnoteText"/>
      </w:pPr>
      <w:r w:rsidRPr="00D309C4">
        <w:rPr>
          <w:rStyle w:val="FootnoteReference"/>
        </w:rPr>
        <w:footnoteRef/>
      </w:r>
      <w:r w:rsidRPr="00D309C4">
        <w:t xml:space="preserve"> </w:t>
      </w:r>
      <w:r w:rsidR="00D309C4" w:rsidRPr="00D309C4">
        <w:t>CBCE32; SR107</w:t>
      </w:r>
    </w:p>
  </w:footnote>
  <w:footnote w:id="230">
    <w:p w14:paraId="278F113E" w14:textId="1C93298D" w:rsidR="00AE6FC8" w:rsidRPr="00D309C4" w:rsidRDefault="00AE6FC8" w:rsidP="00AE6FC8">
      <w:pPr>
        <w:pStyle w:val="FootnoteText"/>
      </w:pPr>
      <w:r w:rsidRPr="00D309C4">
        <w:rPr>
          <w:rStyle w:val="FootnoteReference"/>
        </w:rPr>
        <w:footnoteRef/>
      </w:r>
      <w:r w:rsidRPr="00D309C4">
        <w:t xml:space="preserve"> </w:t>
      </w:r>
      <w:r w:rsidR="00D309C4" w:rsidRPr="00D309C4">
        <w:t>DDPO37; FG1, FG3</w:t>
      </w:r>
    </w:p>
  </w:footnote>
  <w:footnote w:id="231">
    <w:p w14:paraId="56780286" w14:textId="271F4A7A" w:rsidR="009E482B" w:rsidRDefault="009E482B">
      <w:pPr>
        <w:pStyle w:val="FootnoteText"/>
      </w:pPr>
      <w:r w:rsidRPr="00D309C4">
        <w:rPr>
          <w:rStyle w:val="FootnoteReference"/>
        </w:rPr>
        <w:footnoteRef/>
      </w:r>
      <w:r w:rsidRPr="00D309C4">
        <w:t xml:space="preserve"> </w:t>
      </w:r>
      <w:r w:rsidR="00D309C4" w:rsidRPr="00D309C4">
        <w:t>OO9</w:t>
      </w:r>
    </w:p>
  </w:footnote>
  <w:footnote w:id="232">
    <w:p w14:paraId="25FAAEE7" w14:textId="764BC44A" w:rsidR="00AA27C2" w:rsidRDefault="00AA27C2">
      <w:pPr>
        <w:pStyle w:val="FootnoteText"/>
      </w:pPr>
      <w:r>
        <w:rPr>
          <w:rStyle w:val="FootnoteReference"/>
        </w:rPr>
        <w:footnoteRef/>
      </w:r>
      <w:r>
        <w:t xml:space="preserve"> </w:t>
      </w:r>
      <w:r>
        <w:t xml:space="preserve">healthwatch Birmingham (2020). </w:t>
      </w:r>
      <w:r w:rsidRPr="00AA27C2">
        <w:t>What challenges do people with sight loss face accessing vision rehabilitation services in Birmingham?</w:t>
      </w:r>
      <w:r>
        <w:t xml:space="preserve"> [online] 21 September. Available at: </w:t>
      </w:r>
      <w:hyperlink r:id="rId111" w:history="1">
        <w:r w:rsidRPr="00EB259E">
          <w:rPr>
            <w:rStyle w:val="Hyperlink"/>
          </w:rPr>
          <w:t>https://healthwatchbirmingham.co.uk/report/what-challenges-do-people-with-sight-loss-face-accessing-vision-rehabilitation-services-in-birmingham/</w:t>
        </w:r>
      </w:hyperlink>
      <w:r>
        <w:t xml:space="preserve"> Accessed on: </w:t>
      </w:r>
      <w:r w:rsidR="00D309C4">
        <w:t>15.03.22</w:t>
      </w:r>
    </w:p>
  </w:footnote>
  <w:footnote w:id="233">
    <w:p w14:paraId="27A53F58" w14:textId="383CE2E3" w:rsidR="00AA27C2" w:rsidRDefault="00AA27C2">
      <w:pPr>
        <w:pStyle w:val="FootnoteText"/>
      </w:pPr>
      <w:r>
        <w:rPr>
          <w:rStyle w:val="FootnoteReference"/>
        </w:rPr>
        <w:footnoteRef/>
      </w:r>
      <w:r>
        <w:t xml:space="preserve"> </w:t>
      </w:r>
      <w:r>
        <w:t xml:space="preserve">healthwatch Birmingham (2022). </w:t>
      </w:r>
      <w:r w:rsidRPr="00AA27C2">
        <w:rPr>
          <w:i/>
          <w:iCs/>
        </w:rPr>
        <w:t>Improving services for people with vision impairment</w:t>
      </w:r>
      <w:r>
        <w:t xml:space="preserve">. [press release] 4 March. Available at: Accessed on: </w:t>
      </w:r>
      <w:r w:rsidR="00D309C4">
        <w:t>15.03.22</w:t>
      </w:r>
    </w:p>
  </w:footnote>
  <w:footnote w:id="234">
    <w:p w14:paraId="7B40F611" w14:textId="56CF3339" w:rsidR="005F224F" w:rsidRPr="005F224F" w:rsidRDefault="005F224F">
      <w:pPr>
        <w:pStyle w:val="FootnoteText"/>
      </w:pPr>
      <w:r>
        <w:rPr>
          <w:rStyle w:val="FootnoteReference"/>
        </w:rPr>
        <w:footnoteRef/>
      </w:r>
      <w:r>
        <w:t xml:space="preserve"> Wass, V. and Jones, M</w:t>
      </w:r>
      <w:r w:rsidR="00282F30">
        <w:t>.</w:t>
      </w:r>
      <w:r>
        <w:t xml:space="preserve"> (2020). </w:t>
      </w:r>
      <w:r w:rsidRPr="005F224F">
        <w:t>MEASURING DISABILITY AND INTERPRETING TRENDS IN DISABILITYRELATED DISADVANTAGE</w:t>
      </w:r>
      <w:r>
        <w:t xml:space="preserve">. </w:t>
      </w:r>
      <w:r>
        <w:rPr>
          <w:i/>
          <w:iCs/>
        </w:rPr>
        <w:t>Disabilityatwork.co.uk</w:t>
      </w:r>
      <w:r>
        <w:t xml:space="preserve">, [online]. Available at: </w:t>
      </w:r>
      <w:hyperlink r:id="rId112" w:history="1">
        <w:r w:rsidR="000925AE" w:rsidRPr="002A3E64">
          <w:rPr>
            <w:rStyle w:val="Hyperlink"/>
          </w:rPr>
          <w:t>https://www.disabilityatwork.co.uk/wp-content/uploads/2020/08/Briefing-Note-disability-measurement-.pdf</w:t>
        </w:r>
      </w:hyperlink>
      <w:r w:rsidR="000925AE">
        <w:t xml:space="preserve"> Accessed on: </w:t>
      </w:r>
      <w:r w:rsidR="00D309C4">
        <w:t>15.03.22</w:t>
      </w:r>
    </w:p>
  </w:footnote>
  <w:footnote w:id="235">
    <w:p w14:paraId="2E42A95E" w14:textId="18B22484" w:rsidR="00DB71C6" w:rsidRPr="00DB71C6" w:rsidRDefault="00DB71C6">
      <w:pPr>
        <w:pStyle w:val="FootnoteText"/>
      </w:pPr>
      <w:r>
        <w:rPr>
          <w:rStyle w:val="FootnoteReference"/>
        </w:rPr>
        <w:footnoteRef/>
      </w:r>
      <w:r>
        <w:t xml:space="preserve"> </w:t>
      </w:r>
      <w:r>
        <w:t xml:space="preserve">Pring, J. (2022). </w:t>
      </w:r>
      <w:r w:rsidRPr="00DB71C6">
        <w:t>Ministers ‘should admit figures show zero progress on disability employment’</w:t>
      </w:r>
      <w:r>
        <w:t xml:space="preserve">. </w:t>
      </w:r>
      <w:r>
        <w:rPr>
          <w:i/>
          <w:iCs/>
        </w:rPr>
        <w:t>Disability News Service</w:t>
      </w:r>
      <w:r>
        <w:t xml:space="preserve">, [online] 24 February. Available at: </w:t>
      </w:r>
      <w:hyperlink r:id="rId113" w:history="1">
        <w:r w:rsidRPr="00012462">
          <w:rPr>
            <w:rStyle w:val="Hyperlink"/>
          </w:rPr>
          <w:t>https://www.disabilitynewsservice.com/ministers-should-admit-figures-show-zero-progress-on-disability-employment/</w:t>
        </w:r>
      </w:hyperlink>
      <w:r>
        <w:t xml:space="preserve"> Accessed on</w:t>
      </w:r>
      <w:r w:rsidR="00D309C4">
        <w:t>: 15.03.22</w:t>
      </w:r>
    </w:p>
  </w:footnote>
  <w:footnote w:id="236">
    <w:p w14:paraId="7E818765" w14:textId="52921995" w:rsidR="00980BB4" w:rsidRPr="00980BB4" w:rsidRDefault="00980BB4">
      <w:pPr>
        <w:pStyle w:val="FootnoteText"/>
      </w:pPr>
      <w:r>
        <w:rPr>
          <w:rStyle w:val="FootnoteReference"/>
        </w:rPr>
        <w:footnoteRef/>
      </w:r>
      <w:r>
        <w:t xml:space="preserve"> TUC (2020). </w:t>
      </w:r>
      <w:r w:rsidRPr="00980BB4">
        <w:t>Disabled workers earning a fifth less than non-disabled peers</w:t>
      </w:r>
      <w:r w:rsidR="0046390E">
        <w:t xml:space="preserve"> – </w:t>
      </w:r>
      <w:r w:rsidRPr="00980BB4">
        <w:t>TUC analysis reveals</w:t>
      </w:r>
      <w:r>
        <w:t xml:space="preserve">. </w:t>
      </w:r>
      <w:r>
        <w:rPr>
          <w:i/>
          <w:iCs/>
        </w:rPr>
        <w:t>TUC.org.uk</w:t>
      </w:r>
      <w:r>
        <w:t xml:space="preserve">, [online], 31 October. Available at: </w:t>
      </w:r>
      <w:hyperlink r:id="rId114" w:history="1">
        <w:r w:rsidR="000925AE" w:rsidRPr="002A3E64">
          <w:rPr>
            <w:rStyle w:val="Hyperlink"/>
          </w:rPr>
          <w:t>https://www.tuc.org.uk/news/disabled-workers-earning-fifth-less-non-disabled-peers-tuc-analysis-reveals</w:t>
        </w:r>
      </w:hyperlink>
      <w:r w:rsidR="000925AE">
        <w:t xml:space="preserve"> Accessed on</w:t>
      </w:r>
      <w:r w:rsidR="00D309C4">
        <w:t>: 15.03.22</w:t>
      </w:r>
    </w:p>
  </w:footnote>
  <w:footnote w:id="237">
    <w:p w14:paraId="778B636D" w14:textId="114A77DE" w:rsidR="00282F30" w:rsidRDefault="00282F30" w:rsidP="00282F30">
      <w:pPr>
        <w:pStyle w:val="FootnoteText"/>
      </w:pPr>
      <w:r>
        <w:rPr>
          <w:rStyle w:val="FootnoteReference"/>
        </w:rPr>
        <w:footnoteRef/>
      </w:r>
      <w:r>
        <w:t xml:space="preserve"> </w:t>
      </w:r>
      <w:r w:rsidR="00EA2F70">
        <w:t xml:space="preserve">Richardson, J. (2021). </w:t>
      </w:r>
      <w:r w:rsidR="00EA2F70" w:rsidRPr="00EA2F70">
        <w:rPr>
          <w:i/>
          <w:iCs/>
        </w:rPr>
        <w:t>The Insecurity Complex: Low Paid Workers and the Growth of Insecure Work</w:t>
      </w:r>
      <w:r w:rsidR="00EA2F70">
        <w:t xml:space="preserve">. </w:t>
      </w:r>
      <w:r w:rsidR="00EA2F70" w:rsidRPr="00EA2F70">
        <w:t xml:space="preserve">Living Wage Foundation, [online] p.20. Available on: </w:t>
      </w:r>
      <w:hyperlink r:id="rId115" w:history="1">
        <w:r w:rsidR="00EA2F70" w:rsidRPr="00EA2F70">
          <w:rPr>
            <w:rStyle w:val="Hyperlink"/>
          </w:rPr>
          <w:t>https://www.livingwage.org.uk/sites/default/files/The%20Insecurity%20Complex%20-%</w:t>
        </w:r>
      </w:hyperlink>
      <w:r w:rsidR="00EA2F70">
        <w:t xml:space="preserve"> Accessed on: </w:t>
      </w:r>
      <w:bookmarkStart w:id="28" w:name="_Hlk96541152"/>
      <w:r w:rsidR="00D309C4">
        <w:t>15.03.22</w:t>
      </w:r>
    </w:p>
    <w:bookmarkEnd w:id="28"/>
  </w:footnote>
  <w:footnote w:id="238">
    <w:p w14:paraId="6CE2338B" w14:textId="34B94244" w:rsidR="00282F30" w:rsidRPr="0010511B" w:rsidRDefault="00282F30" w:rsidP="00282F30">
      <w:pPr>
        <w:pStyle w:val="FootnoteText"/>
        <w:rPr>
          <w:highlight w:val="yellow"/>
        </w:rPr>
      </w:pPr>
      <w:r w:rsidRPr="00EA2F70">
        <w:rPr>
          <w:rStyle w:val="FootnoteReference"/>
        </w:rPr>
        <w:footnoteRef/>
      </w:r>
      <w:r w:rsidRPr="00EA2F70">
        <w:t xml:space="preserve"> </w:t>
      </w:r>
      <w:r w:rsidR="00EA2F70" w:rsidRPr="00EA2F70">
        <w:t xml:space="preserve">Pring, J. (2016). Employers ‘reluctant’ to provide adjustments in zero hours culture. </w:t>
      </w:r>
      <w:r w:rsidR="00EA2F70" w:rsidRPr="00EA2F70">
        <w:rPr>
          <w:i/>
          <w:iCs/>
        </w:rPr>
        <w:t xml:space="preserve">Disability News </w:t>
      </w:r>
      <w:r w:rsidR="00EA2F70" w:rsidRPr="00EA2F70">
        <w:t xml:space="preserve">Service, [online] 24 November. Available on: </w:t>
      </w:r>
      <w:hyperlink r:id="rId116" w:history="1">
        <w:r w:rsidR="00EA2F70" w:rsidRPr="00EA2F70">
          <w:rPr>
            <w:rStyle w:val="Hyperlink"/>
          </w:rPr>
          <w:t>https://www.disabilitynewsservice.com/employers-reluctant-to-provide-adjustments-in-zero-hours-culture/</w:t>
        </w:r>
      </w:hyperlink>
      <w:r w:rsidR="00EA2F70" w:rsidRPr="00EA2F70">
        <w:t xml:space="preserve"> Accessed on: </w:t>
      </w:r>
      <w:r w:rsidR="00D309C4">
        <w:t>15.03.22</w:t>
      </w:r>
    </w:p>
  </w:footnote>
  <w:footnote w:id="239">
    <w:p w14:paraId="68973997" w14:textId="6B5922ED" w:rsidR="000925AE" w:rsidRDefault="000925AE">
      <w:pPr>
        <w:pStyle w:val="FootnoteText"/>
      </w:pPr>
      <w:r w:rsidRPr="00EA2F70">
        <w:rPr>
          <w:rStyle w:val="FootnoteReference"/>
        </w:rPr>
        <w:footnoteRef/>
      </w:r>
      <w:r w:rsidRPr="00EA2F70">
        <w:t xml:space="preserve"> </w:t>
      </w:r>
      <w:r w:rsidR="00EA2F70" w:rsidRPr="00EA2F70">
        <w:t>Richardson 2021, p.20.</w:t>
      </w:r>
    </w:p>
  </w:footnote>
  <w:footnote w:id="240">
    <w:p w14:paraId="64B21EC3" w14:textId="2D1DB67C" w:rsidR="00282F30" w:rsidRPr="0010511B" w:rsidRDefault="00282F30" w:rsidP="00282F30">
      <w:pPr>
        <w:pStyle w:val="FootnoteText"/>
        <w:rPr>
          <w:highlight w:val="yellow"/>
        </w:rPr>
      </w:pPr>
      <w:r w:rsidRPr="00EA2F70">
        <w:rPr>
          <w:rStyle w:val="FootnoteReference"/>
        </w:rPr>
        <w:footnoteRef/>
      </w:r>
      <w:r w:rsidRPr="00EA2F70">
        <w:t xml:space="preserve"> </w:t>
      </w:r>
      <w:r w:rsidR="00EA2F70" w:rsidRPr="00EA2F70">
        <w:t xml:space="preserve">Hoque, K. and Bacon, N. (2022). Working from home and disabled people’s employment outcomes. BIJR, [online]. Available on: </w:t>
      </w:r>
      <w:hyperlink r:id="rId117" w:history="1">
        <w:r w:rsidR="00EA2F70" w:rsidRPr="00EA2F70">
          <w:rPr>
            <w:rStyle w:val="Hyperlink"/>
          </w:rPr>
          <w:t>https://onlinelibrary.wiley.com/doi/10.1111/bjir.12645</w:t>
        </w:r>
      </w:hyperlink>
      <w:r w:rsidR="00EA2F70" w:rsidRPr="00EA2F70">
        <w:t xml:space="preserve"> Accessed on: </w:t>
      </w:r>
      <w:r w:rsidR="00D309C4">
        <w:t>15.03.22</w:t>
      </w:r>
    </w:p>
  </w:footnote>
  <w:footnote w:id="241">
    <w:p w14:paraId="2A1DF247" w14:textId="3973F932" w:rsidR="00282F30" w:rsidRPr="0010511B" w:rsidRDefault="00282F30" w:rsidP="00282F30">
      <w:pPr>
        <w:pStyle w:val="FootnoteText"/>
        <w:rPr>
          <w:highlight w:val="yellow"/>
        </w:rPr>
      </w:pPr>
      <w:r w:rsidRPr="00EB1098">
        <w:rPr>
          <w:rStyle w:val="FootnoteReference"/>
        </w:rPr>
        <w:footnoteRef/>
      </w:r>
      <w:r w:rsidRPr="00EB1098">
        <w:t xml:space="preserve"> </w:t>
      </w:r>
      <w:r w:rsidR="00EB1098" w:rsidRPr="00EB1098">
        <w:t xml:space="preserve">Kim, T.K. and von </w:t>
      </w:r>
      <w:r w:rsidR="00EB1098" w:rsidRPr="00EB1098">
        <w:t xml:space="preserve">dem Knesebeck, O. (2015). Is an insecure job better for health than having no job at all? A systematic review of studies investigating the health-related risks of both job insecurity and unemployment. </w:t>
      </w:r>
      <w:r w:rsidR="00EB1098" w:rsidRPr="00EB1098">
        <w:rPr>
          <w:i/>
          <w:iCs/>
        </w:rPr>
        <w:t>BMC Public Health</w:t>
      </w:r>
      <w:r w:rsidR="00EB1098" w:rsidRPr="00EB1098">
        <w:t xml:space="preserve"> 15, 985 (2015). </w:t>
      </w:r>
      <w:r w:rsidR="00EB1098">
        <w:t xml:space="preserve">Available at: </w:t>
      </w:r>
      <w:hyperlink r:id="rId118" w:history="1">
        <w:r w:rsidR="00EB1098" w:rsidRPr="00054B02">
          <w:rPr>
            <w:rStyle w:val="Hyperlink"/>
          </w:rPr>
          <w:t>https://doi.org/10.1186/s12889-015-2313-1</w:t>
        </w:r>
      </w:hyperlink>
      <w:r w:rsidR="00EB1098">
        <w:t xml:space="preserve"> Accessed on: </w:t>
      </w:r>
      <w:r w:rsidR="00D309C4">
        <w:t>15.03.22</w:t>
      </w:r>
    </w:p>
  </w:footnote>
  <w:footnote w:id="242">
    <w:p w14:paraId="7A58B197" w14:textId="7DC97EA6" w:rsidR="007813AD" w:rsidRPr="0075674A" w:rsidRDefault="007813AD" w:rsidP="007813AD">
      <w:pPr>
        <w:pStyle w:val="FootnoteText"/>
      </w:pPr>
      <w:r w:rsidRPr="0075674A">
        <w:rPr>
          <w:rStyle w:val="FootnoteReference"/>
        </w:rPr>
        <w:footnoteRef/>
      </w:r>
      <w:r w:rsidRPr="0075674A">
        <w:t xml:space="preserve"> </w:t>
      </w:r>
      <w:r w:rsidR="00590B17">
        <w:rPr>
          <w:i/>
          <w:iCs/>
        </w:rPr>
        <w:t>Panorama: T</w:t>
      </w:r>
      <w:r w:rsidRPr="0075674A">
        <w:rPr>
          <w:i/>
          <w:iCs/>
        </w:rPr>
        <w:t xml:space="preserve">he Million Pound Disability </w:t>
      </w:r>
      <w:r w:rsidRPr="0075674A">
        <w:rPr>
          <w:i/>
          <w:iCs/>
        </w:rPr>
        <w:t>Payout</w:t>
      </w:r>
      <w:r w:rsidR="0075674A" w:rsidRPr="0075674A">
        <w:t xml:space="preserve"> (2020). [TV</w:t>
      </w:r>
      <w:r w:rsidR="00733851" w:rsidRPr="0075674A">
        <w:t xml:space="preserve"> </w:t>
      </w:r>
      <w:r w:rsidR="0075674A" w:rsidRPr="0075674A">
        <w:t xml:space="preserve">programme], </w:t>
      </w:r>
      <w:r w:rsidR="00733851" w:rsidRPr="0075674A">
        <w:t>BBC</w:t>
      </w:r>
      <w:r w:rsidR="00590B17">
        <w:t>, 9 March: 20:30</w:t>
      </w:r>
    </w:p>
  </w:footnote>
  <w:footnote w:id="243">
    <w:p w14:paraId="37A1EB36" w14:textId="01E17C6D" w:rsidR="007813AD" w:rsidRPr="0010511B" w:rsidRDefault="007813AD" w:rsidP="00733851">
      <w:pPr>
        <w:pStyle w:val="FootnoteText"/>
        <w:rPr>
          <w:highlight w:val="yellow"/>
        </w:rPr>
      </w:pPr>
      <w:r w:rsidRPr="00733851">
        <w:rPr>
          <w:rStyle w:val="FootnoteReference"/>
        </w:rPr>
        <w:footnoteRef/>
      </w:r>
      <w:r w:rsidRPr="00733851">
        <w:t xml:space="preserve"> </w:t>
      </w:r>
      <w:r w:rsidR="00733851" w:rsidRPr="00733851">
        <w:t xml:space="preserve">Pring, J. (2020). </w:t>
      </w:r>
      <w:r w:rsidR="00733851">
        <w:t xml:space="preserve">DWP staff describe their discriminatory department as ‘callous’ and uncaring. </w:t>
      </w:r>
      <w:r w:rsidR="00733851">
        <w:rPr>
          <w:i/>
          <w:iCs/>
        </w:rPr>
        <w:t xml:space="preserve">Disability News </w:t>
      </w:r>
      <w:r w:rsidR="00733851" w:rsidRPr="00733851">
        <w:t>Service</w:t>
      </w:r>
      <w:r w:rsidR="00733851">
        <w:t>, [online] 19 March. Available a</w:t>
      </w:r>
      <w:r w:rsidR="00733851" w:rsidRPr="00733851">
        <w:t xml:space="preserve">t: </w:t>
      </w:r>
      <w:hyperlink r:id="rId119" w:history="1">
        <w:r w:rsidR="00733851" w:rsidRPr="00733851">
          <w:rPr>
            <w:rStyle w:val="Hyperlink"/>
          </w:rPr>
          <w:t>https://www.disabilitynewsservice.com/dwp-staff-describe-their-discriminatory-department-as-callous-and-uncaring/</w:t>
        </w:r>
      </w:hyperlink>
      <w:r w:rsidR="00733851" w:rsidRPr="00733851">
        <w:t xml:space="preserve"> Accessed on:</w:t>
      </w:r>
      <w:r w:rsidR="00D309C4">
        <w:t xml:space="preserve"> 15.03.22</w:t>
      </w:r>
    </w:p>
  </w:footnote>
  <w:footnote w:id="244">
    <w:p w14:paraId="59C94C1C" w14:textId="1B1533AB" w:rsidR="007813AD" w:rsidRPr="0010511B" w:rsidRDefault="007813AD" w:rsidP="007813AD">
      <w:pPr>
        <w:pStyle w:val="FootnoteText"/>
        <w:rPr>
          <w:highlight w:val="yellow"/>
        </w:rPr>
      </w:pPr>
      <w:r w:rsidRPr="0075674A">
        <w:rPr>
          <w:rStyle w:val="FootnoteReference"/>
        </w:rPr>
        <w:footnoteRef/>
      </w:r>
      <w:r w:rsidRPr="0075674A">
        <w:t xml:space="preserve"> </w:t>
      </w:r>
      <w:r w:rsidR="0075674A" w:rsidRPr="0075674A">
        <w:t xml:space="preserve">Pring, J. (2021). DWP admits losing six more disability-related employment tribunals. </w:t>
      </w:r>
      <w:r w:rsidR="0075674A" w:rsidRPr="0075674A">
        <w:rPr>
          <w:i/>
          <w:iCs/>
        </w:rPr>
        <w:t xml:space="preserve">Disability News </w:t>
      </w:r>
      <w:r w:rsidR="0075674A" w:rsidRPr="0075674A">
        <w:t xml:space="preserve">Service, </w:t>
      </w:r>
      <w:r w:rsidR="0075674A">
        <w:t xml:space="preserve">[online] </w:t>
      </w:r>
      <w:r w:rsidR="0075674A" w:rsidRPr="0075674A">
        <w:t xml:space="preserve">25 November. Available at: </w:t>
      </w:r>
      <w:hyperlink r:id="rId120" w:history="1">
        <w:r w:rsidR="0075674A" w:rsidRPr="0075674A">
          <w:rPr>
            <w:rStyle w:val="Hyperlink"/>
          </w:rPr>
          <w:t>https://www.disabilitynewsservice.com/dwp-admits-losing-six-more-disability-related-employment-tribunals/</w:t>
        </w:r>
      </w:hyperlink>
      <w:r w:rsidR="0075674A" w:rsidRPr="0075674A">
        <w:t xml:space="preserve"> Accessed on: </w:t>
      </w:r>
      <w:r w:rsidR="00D309C4">
        <w:t>15.03.22</w:t>
      </w:r>
    </w:p>
  </w:footnote>
  <w:footnote w:id="245">
    <w:p w14:paraId="1A79B1AE" w14:textId="4D08F6C8" w:rsidR="007813AD" w:rsidRPr="0075674A" w:rsidRDefault="007813AD" w:rsidP="0075674A">
      <w:pPr>
        <w:pStyle w:val="FootnoteText"/>
        <w:rPr>
          <w:highlight w:val="yellow"/>
        </w:rPr>
      </w:pPr>
      <w:r w:rsidRPr="0075674A">
        <w:rPr>
          <w:rStyle w:val="FootnoteReference"/>
        </w:rPr>
        <w:footnoteRef/>
      </w:r>
      <w:r w:rsidR="0075674A" w:rsidRPr="0075674A">
        <w:t xml:space="preserve"> EHRC (2020). </w:t>
      </w:r>
      <w:r w:rsidRPr="0075674A">
        <w:t xml:space="preserve"> </w:t>
      </w:r>
      <w:r w:rsidR="0075674A" w:rsidRPr="0075674A">
        <w:t xml:space="preserve">DWP signs legally binding agreement to improve equality and diversity in the workplace. [press release], 17 December. Available at: </w:t>
      </w:r>
      <w:hyperlink r:id="rId121" w:history="1">
        <w:r w:rsidR="0075674A" w:rsidRPr="002A3E64">
          <w:rPr>
            <w:rStyle w:val="Hyperlink"/>
          </w:rPr>
          <w:t>https://www.equalityhumanrights.com/en/our-work/news/dwp-signs-legally-binding-agreement-improve-equality-and-diversity-workplace</w:t>
        </w:r>
      </w:hyperlink>
      <w:r w:rsidR="0075674A">
        <w:t xml:space="preserve"> Accessed on: </w:t>
      </w:r>
      <w:r w:rsidR="00D309C4">
        <w:t>15.03.22</w:t>
      </w:r>
    </w:p>
  </w:footnote>
  <w:footnote w:id="246">
    <w:p w14:paraId="49A21C14" w14:textId="472C7C66" w:rsidR="007813AD" w:rsidRPr="00694883" w:rsidRDefault="007813AD" w:rsidP="007813AD">
      <w:pPr>
        <w:pStyle w:val="FootnoteText"/>
      </w:pPr>
      <w:r w:rsidRPr="00694883">
        <w:rPr>
          <w:rStyle w:val="FootnoteReference"/>
        </w:rPr>
        <w:footnoteRef/>
      </w:r>
      <w:r w:rsidRPr="00694883">
        <w:t xml:space="preserve"> See point regarding assessment</w:t>
      </w:r>
      <w:r w:rsidR="0075674A" w:rsidRPr="00694883">
        <w:t xml:space="preserve"> delays, p.</w:t>
      </w:r>
      <w:fldSimple w:instr=" PAGEREF Para91 ">
        <w:r w:rsidR="00694883" w:rsidRPr="00694883">
          <w:rPr>
            <w:noProof/>
          </w:rPr>
          <w:t>46</w:t>
        </w:r>
      </w:fldSimple>
      <w:r w:rsidRPr="00694883">
        <w:t>.</w:t>
      </w:r>
    </w:p>
  </w:footnote>
  <w:footnote w:id="247">
    <w:p w14:paraId="6A22DA4B" w14:textId="62079BA6" w:rsidR="00AE6FC8" w:rsidRDefault="00AE6FC8" w:rsidP="00AE6FC8">
      <w:pPr>
        <w:pStyle w:val="FootnoteText"/>
      </w:pPr>
      <w:r>
        <w:rPr>
          <w:rStyle w:val="FootnoteReference"/>
        </w:rPr>
        <w:footnoteRef/>
      </w:r>
      <w:r>
        <w:t xml:space="preserve"> Hale, C. (2017). </w:t>
      </w:r>
      <w:r w:rsidRPr="00AE6FC8">
        <w:rPr>
          <w:i/>
          <w:iCs/>
        </w:rPr>
        <w:t>Barriers to Work: A survey of Deaf and Disabled people’s experiences of the Access to Work programme in 2015/2016</w:t>
      </w:r>
      <w:r>
        <w:t xml:space="preserve">. Inclusion London, [online. Available at: </w:t>
      </w:r>
      <w:hyperlink r:id="rId122" w:history="1">
        <w:r w:rsidRPr="00012462">
          <w:rPr>
            <w:rStyle w:val="Hyperlink"/>
          </w:rPr>
          <w:t>https://www.inclusionlondon.org.uk/wp-content/uploads/2017/10/Barriers-to-Work_InclusionLondon_Oct-2017-1.pdf</w:t>
        </w:r>
      </w:hyperlink>
      <w:r>
        <w:t xml:space="preserve"> Accessed on: </w:t>
      </w:r>
      <w:r w:rsidR="00D309C4">
        <w:t>15.03.22</w:t>
      </w:r>
    </w:p>
  </w:footnote>
  <w:footnote w:id="248">
    <w:p w14:paraId="083190F8" w14:textId="0539CA0C" w:rsidR="003F044A" w:rsidRDefault="003F044A">
      <w:pPr>
        <w:pStyle w:val="FootnoteText"/>
      </w:pPr>
      <w:r>
        <w:rPr>
          <w:rStyle w:val="FootnoteReference"/>
        </w:rPr>
        <w:footnoteRef/>
      </w:r>
      <w:r>
        <w:t xml:space="preserve"> McVey, E. (2018). </w:t>
      </w:r>
      <w:r w:rsidRPr="003F044A">
        <w:rPr>
          <w:i/>
          <w:iCs/>
        </w:rPr>
        <w:t>Access To Work Scheme</w:t>
      </w:r>
      <w:r>
        <w:t xml:space="preserve">. </w:t>
      </w:r>
      <w:r w:rsidRPr="003F044A">
        <w:t>Statement UIN HCWS563</w:t>
      </w:r>
      <w:r>
        <w:t xml:space="preserve">, [online] 20 March. Available at: </w:t>
      </w:r>
      <w:hyperlink r:id="rId123" w:history="1">
        <w:r w:rsidRPr="00CE080A">
          <w:rPr>
            <w:rStyle w:val="Hyperlink"/>
          </w:rPr>
          <w:t>https://questions-statements.parliament.uk/written-statements/detail/2018-03-20/HCWS563</w:t>
        </w:r>
      </w:hyperlink>
      <w:r>
        <w:t xml:space="preserve"> Accessed on: </w:t>
      </w:r>
      <w:r w:rsidR="00D309C4">
        <w:t>15.03.22</w:t>
      </w:r>
    </w:p>
  </w:footnote>
  <w:footnote w:id="249">
    <w:p w14:paraId="73F5CA2C" w14:textId="482C6422" w:rsidR="00B85C48" w:rsidRDefault="00B85C48">
      <w:pPr>
        <w:pStyle w:val="FootnoteText"/>
      </w:pPr>
      <w:r>
        <w:rPr>
          <w:rStyle w:val="FootnoteReference"/>
        </w:rPr>
        <w:footnoteRef/>
      </w:r>
      <w:r>
        <w:t xml:space="preserve"> </w:t>
      </w:r>
      <w:r w:rsidR="0097479A">
        <w:t xml:space="preserve">ONS (2021). </w:t>
      </w:r>
      <w:r w:rsidR="0097479A" w:rsidRPr="00D80241">
        <w:rPr>
          <w:i/>
          <w:iCs/>
        </w:rPr>
        <w:t>Coronavirus and redundancies in the UK labour market: September to November 2020</w:t>
      </w:r>
      <w:r w:rsidR="00D80241" w:rsidRPr="00D80241">
        <w:rPr>
          <w:i/>
          <w:iCs/>
        </w:rPr>
        <w:t>.</w:t>
      </w:r>
      <w:r w:rsidR="00D80241">
        <w:t xml:space="preserve"> [online]. Available at: </w:t>
      </w:r>
      <w:hyperlink r:id="rId124" w:anchor="redundancies-among-different-groups-of-employees-and-industries" w:history="1">
        <w:r w:rsidR="005E4203" w:rsidRPr="002A3E64">
          <w:rPr>
            <w:rStyle w:val="Hyperlink"/>
          </w:rPr>
          <w:t>https://www.ons.gov.uk/employmentandlabourmarket/peopleinwork/employmentandemployeetypes/articles/labourmarketeconomicanalysisquarterly/december2020#redundancies-among-different-groups-of-employees-and-industries</w:t>
        </w:r>
      </w:hyperlink>
      <w:r w:rsidR="005E4203">
        <w:t xml:space="preserve"> Accessed on: </w:t>
      </w:r>
      <w:r w:rsidR="00D309C4">
        <w:t>15.03.22</w:t>
      </w:r>
    </w:p>
  </w:footnote>
  <w:footnote w:id="250">
    <w:p w14:paraId="709910E4" w14:textId="4D7FFD57" w:rsidR="0005515E" w:rsidRPr="0010511B" w:rsidRDefault="0005515E" w:rsidP="0005515E">
      <w:pPr>
        <w:pStyle w:val="FootnoteText"/>
        <w:rPr>
          <w:highlight w:val="yellow"/>
        </w:rPr>
      </w:pPr>
      <w:r w:rsidRPr="0075674A">
        <w:rPr>
          <w:rStyle w:val="FootnoteReference"/>
        </w:rPr>
        <w:footnoteRef/>
      </w:r>
      <w:r w:rsidRPr="0075674A">
        <w:t xml:space="preserve"> </w:t>
      </w:r>
      <w:r w:rsidRPr="0075674A">
        <w:t xml:space="preserve">Pring, J. (2019). ‘Dismal’ job figures show failure of Disability Confident, says de Cordova. Disability News Service, [online] 10 October. Available on: </w:t>
      </w:r>
      <w:hyperlink r:id="rId125" w:history="1">
        <w:r w:rsidRPr="0075674A">
          <w:rPr>
            <w:rStyle w:val="Hyperlink"/>
          </w:rPr>
          <w:t>https://www.disabilitynewsservice.com/dismal-job-figures-show-failure-of-disability-confident-says-de-cordova/</w:t>
        </w:r>
      </w:hyperlink>
      <w:r w:rsidRPr="0075674A">
        <w:t xml:space="preserve"> Accessed on: </w:t>
      </w:r>
      <w:r w:rsidR="00D309C4">
        <w:t>15.03.22</w:t>
      </w:r>
    </w:p>
  </w:footnote>
  <w:footnote w:id="251">
    <w:p w14:paraId="679449BC" w14:textId="709CAB08" w:rsidR="00340C66" w:rsidRPr="00EE6C60" w:rsidRDefault="00340C66">
      <w:pPr>
        <w:pStyle w:val="FootnoteText"/>
      </w:pPr>
      <w:r w:rsidRPr="00EE6C60">
        <w:rPr>
          <w:rStyle w:val="FootnoteReference"/>
        </w:rPr>
        <w:footnoteRef/>
      </w:r>
      <w:r w:rsidRPr="00EE6C60">
        <w:t xml:space="preserve"> </w:t>
      </w:r>
      <w:r w:rsidR="00EE6C60" w:rsidRPr="00EE6C60">
        <w:t>FG6</w:t>
      </w:r>
    </w:p>
  </w:footnote>
  <w:footnote w:id="252">
    <w:p w14:paraId="491BBB80" w14:textId="368DCC11" w:rsidR="00340C66" w:rsidRPr="00EE6C60" w:rsidRDefault="00340C66">
      <w:pPr>
        <w:pStyle w:val="FootnoteText"/>
      </w:pPr>
      <w:r w:rsidRPr="00EE6C60">
        <w:rPr>
          <w:rStyle w:val="FootnoteReference"/>
        </w:rPr>
        <w:footnoteRef/>
      </w:r>
      <w:r w:rsidRPr="00EE6C60">
        <w:t xml:space="preserve"> </w:t>
      </w:r>
      <w:r w:rsidR="00EE6C60" w:rsidRPr="00EE6C60">
        <w:t>DDPO47</w:t>
      </w:r>
    </w:p>
  </w:footnote>
  <w:footnote w:id="253">
    <w:p w14:paraId="76FA402D" w14:textId="363D5CE4" w:rsidR="00705393" w:rsidRDefault="00705393">
      <w:pPr>
        <w:pStyle w:val="FootnoteText"/>
      </w:pPr>
      <w:r w:rsidRPr="00EE6C60">
        <w:rPr>
          <w:rStyle w:val="FootnoteReference"/>
        </w:rPr>
        <w:footnoteRef/>
      </w:r>
      <w:r w:rsidRPr="00EE6C60">
        <w:t xml:space="preserve"> </w:t>
      </w:r>
      <w:r w:rsidR="00EE6C60" w:rsidRPr="00EE6C60">
        <w:t>DDPO46</w:t>
      </w:r>
      <w:r w:rsidR="00EE6C60" w:rsidRPr="00622038">
        <w:t>; OO13</w:t>
      </w:r>
    </w:p>
  </w:footnote>
  <w:footnote w:id="254">
    <w:p w14:paraId="68E94E90" w14:textId="72EB1F89" w:rsidR="00EE6C60" w:rsidRDefault="00520C4E" w:rsidP="00520C4E">
      <w:pPr>
        <w:pStyle w:val="FootnoteText"/>
      </w:pPr>
      <w:r>
        <w:rPr>
          <w:rStyle w:val="FootnoteReference"/>
        </w:rPr>
        <w:footnoteRef/>
      </w:r>
      <w:r>
        <w:t xml:space="preserve"> </w:t>
      </w:r>
      <w:r w:rsidR="00EE6C60" w:rsidRPr="00622038">
        <w:t>CBCE7, CBCE16.</w:t>
      </w:r>
      <w:r w:rsidR="00EE6C60">
        <w:t xml:space="preserve">  See for examples Appendix 6</w:t>
      </w:r>
      <w:r w:rsidR="00EE6C60" w:rsidRPr="00B65518">
        <w:t>, p.</w:t>
      </w:r>
      <w:fldSimple w:instr=" PAGEREF Appendix6 ">
        <w:r w:rsidR="00B65518" w:rsidRPr="00B65518">
          <w:rPr>
            <w:noProof/>
          </w:rPr>
          <w:t>134</w:t>
        </w:r>
      </w:fldSimple>
      <w:r w:rsidR="00EE6C60">
        <w:t xml:space="preserve">, deaths of Elaine </w:t>
      </w:r>
      <w:r w:rsidR="00EE6C60">
        <w:t>Morral, Danielle Obeng and Brian Bailey whose suicides were linked to conditionality and sanctions.</w:t>
      </w:r>
    </w:p>
  </w:footnote>
  <w:footnote w:id="255">
    <w:p w14:paraId="0DD81AB6" w14:textId="2D53C66E" w:rsidR="00520C4E" w:rsidRDefault="00520C4E" w:rsidP="00520C4E">
      <w:pPr>
        <w:pStyle w:val="FootnoteText"/>
      </w:pPr>
      <w:r>
        <w:rPr>
          <w:rStyle w:val="FootnoteReference"/>
        </w:rPr>
        <w:footnoteRef/>
      </w:r>
      <w:r>
        <w:t xml:space="preserve"> </w:t>
      </w:r>
      <w:r w:rsidRPr="00890777">
        <w:t xml:space="preserve">Geiger, B.B. (2018). A Better WCA is Possible. London: Demos, p.17. Available at: </w:t>
      </w:r>
      <w:hyperlink r:id="rId126" w:history="1">
        <w:r w:rsidR="00802D33" w:rsidRPr="00A97FBA">
          <w:rPr>
            <w:rStyle w:val="Hyperlink"/>
          </w:rPr>
          <w:t>https://demosuk.wpengine.com/wp-content/uploads/2018/02/2018_A_Better_WCA_is_possible_FULL-4.pdf</w:t>
        </w:r>
      </w:hyperlink>
      <w:r w:rsidR="00802D33">
        <w:t xml:space="preserve">. </w:t>
      </w:r>
      <w:r w:rsidRPr="00890777">
        <w:t xml:space="preserve">Accessed on: </w:t>
      </w:r>
      <w:r w:rsidR="00802D33">
        <w:t>15.03.22</w:t>
      </w:r>
    </w:p>
  </w:footnote>
  <w:footnote w:id="256">
    <w:p w14:paraId="36856214" w14:textId="77777777" w:rsidR="00520C4E" w:rsidRDefault="00520C4E" w:rsidP="00520C4E">
      <w:pPr>
        <w:pStyle w:val="FootnoteText"/>
      </w:pPr>
      <w:r>
        <w:rPr>
          <w:rStyle w:val="FootnoteReference"/>
        </w:rPr>
        <w:footnoteRef/>
      </w:r>
      <w:r>
        <w:t xml:space="preserve"> </w:t>
      </w:r>
      <w:r w:rsidRPr="00890777">
        <w:t>Mehta, J</w:t>
      </w:r>
      <w:r>
        <w:t>.,</w:t>
      </w:r>
      <w:r w:rsidRPr="00890777">
        <w:t xml:space="preserve"> Clifford, E.</w:t>
      </w:r>
      <w:r>
        <w:t>,</w:t>
      </w:r>
      <w:r w:rsidRPr="00890777">
        <w:t xml:space="preserve"> Taggart, D</w:t>
      </w:r>
      <w:r>
        <w:t>.</w:t>
      </w:r>
      <w:r w:rsidRPr="00890777">
        <w:t xml:space="preserve"> </w:t>
      </w:r>
      <w:r>
        <w:t>and</w:t>
      </w:r>
      <w:r w:rsidRPr="00890777">
        <w:t xml:space="preserve"> Speed, E. (2018). When your mental health disappears overnight: Constant anxiety of benefit sanctions is toxic for mental health of disabled people. </w:t>
      </w:r>
      <w:r w:rsidRPr="00890777">
        <w:rPr>
          <w:i/>
          <w:iCs/>
        </w:rPr>
        <w:t>Clinical Psychology Forum</w:t>
      </w:r>
      <w:r>
        <w:t>, (312),</w:t>
      </w:r>
      <w:r w:rsidRPr="00890777">
        <w:t xml:space="preserve"> 4-6.</w:t>
      </w:r>
    </w:p>
  </w:footnote>
  <w:footnote w:id="257">
    <w:p w14:paraId="7DE4BC2C" w14:textId="1EB43B79" w:rsidR="00EE6C60" w:rsidRDefault="00EE6C60">
      <w:pPr>
        <w:pStyle w:val="FootnoteText"/>
      </w:pPr>
      <w:r>
        <w:rPr>
          <w:rStyle w:val="FootnoteReference"/>
        </w:rPr>
        <w:footnoteRef/>
      </w:r>
      <w:r>
        <w:t xml:space="preserve"> </w:t>
      </w:r>
      <w:r>
        <w:t xml:space="preserve">Pring, J. (2022). </w:t>
      </w:r>
      <w:r w:rsidRPr="00E115CB">
        <w:t>DWP is forcing distressed claimants to attend weekly meetings, says whistleblower</w:t>
      </w:r>
      <w:r>
        <w:t xml:space="preserve">. </w:t>
      </w:r>
      <w:r w:rsidRPr="00E115CB">
        <w:rPr>
          <w:i/>
          <w:iCs/>
        </w:rPr>
        <w:t>Disability News Service</w:t>
      </w:r>
      <w:r>
        <w:t xml:space="preserve">, [online] 10 March. Available at: </w:t>
      </w:r>
      <w:hyperlink r:id="rId127" w:history="1">
        <w:r w:rsidRPr="009918C0">
          <w:rPr>
            <w:rStyle w:val="Hyperlink"/>
          </w:rPr>
          <w:t>https://www.disabilitynewsservice.com/dwp-is-forcing-distressed-claimants-to-attend-weekly-meetings-says-whistleblower/</w:t>
        </w:r>
      </w:hyperlink>
      <w:r>
        <w:t xml:space="preserve"> Accessed on: 15.03.22</w:t>
      </w:r>
    </w:p>
  </w:footnote>
  <w:footnote w:id="258">
    <w:p w14:paraId="36106851" w14:textId="481CB4ED" w:rsidR="00520C4E" w:rsidRDefault="00520C4E" w:rsidP="00520C4E">
      <w:pPr>
        <w:pStyle w:val="FootnoteText"/>
      </w:pPr>
      <w:r>
        <w:rPr>
          <w:rStyle w:val="FootnoteReference"/>
        </w:rPr>
        <w:footnoteRef/>
      </w:r>
      <w:r>
        <w:t xml:space="preserve"> </w:t>
      </w:r>
      <w:r w:rsidR="00BF37FA" w:rsidRPr="00BF37FA">
        <w:t>D.DP38</w:t>
      </w:r>
    </w:p>
  </w:footnote>
  <w:footnote w:id="259">
    <w:p w14:paraId="6F57CABA" w14:textId="356DEABD" w:rsidR="004B176E" w:rsidRPr="0010511B" w:rsidRDefault="004B176E" w:rsidP="004B176E">
      <w:pPr>
        <w:pStyle w:val="FootnoteText"/>
        <w:rPr>
          <w:highlight w:val="yellow"/>
        </w:rPr>
      </w:pPr>
      <w:r w:rsidRPr="00BA4EBA">
        <w:rPr>
          <w:rStyle w:val="FootnoteReference"/>
        </w:rPr>
        <w:footnoteRef/>
      </w:r>
      <w:r w:rsidRPr="00BA4EBA">
        <w:t xml:space="preserve"> </w:t>
      </w:r>
      <w:r w:rsidR="00D80241">
        <w:t xml:space="preserve">Portes and Reed </w:t>
      </w:r>
      <w:r w:rsidR="008357CC">
        <w:t>2018</w:t>
      </w:r>
    </w:p>
  </w:footnote>
  <w:footnote w:id="260">
    <w:p w14:paraId="7B3305D9" w14:textId="5C69FDFD" w:rsidR="004B176E" w:rsidRPr="000406C6" w:rsidRDefault="004B176E" w:rsidP="004B176E">
      <w:pPr>
        <w:pStyle w:val="FootnoteText"/>
      </w:pPr>
      <w:r w:rsidRPr="005E4203">
        <w:rPr>
          <w:rStyle w:val="FootnoteReference"/>
        </w:rPr>
        <w:footnoteRef/>
      </w:r>
      <w:r w:rsidRPr="005E4203">
        <w:t xml:space="preserve"> </w:t>
      </w:r>
      <w:r w:rsidR="005E4203" w:rsidRPr="005E4203">
        <w:t xml:space="preserve">Social Metrics Commission (2019). Measuring Poverty 2019. [online]. Available at: </w:t>
      </w:r>
      <w:hyperlink r:id="rId128" w:history="1">
        <w:r w:rsidR="005E4203" w:rsidRPr="005E4203">
          <w:rPr>
            <w:rStyle w:val="Hyperlink"/>
          </w:rPr>
          <w:t>https://socialmetricscommission.org.uk/wp-content/uploads/2019/07/SMC_measuring-poverty-201908_full-report.pdf</w:t>
        </w:r>
      </w:hyperlink>
      <w:r w:rsidR="005E4203" w:rsidRPr="005E4203">
        <w:t xml:space="preserve"> Accessed</w:t>
      </w:r>
      <w:r w:rsidR="005E4203">
        <w:t xml:space="preserve"> on</w:t>
      </w:r>
      <w:r w:rsidR="00802D33">
        <w:t>: 15.03.22</w:t>
      </w:r>
    </w:p>
  </w:footnote>
  <w:footnote w:id="261">
    <w:p w14:paraId="6F7462D8" w14:textId="7DC26E1A" w:rsidR="004B176E" w:rsidRPr="00BA4EBA" w:rsidRDefault="004B176E" w:rsidP="008D6A2A">
      <w:pPr>
        <w:pStyle w:val="FootnoteText"/>
      </w:pPr>
      <w:r w:rsidRPr="000406C6">
        <w:rPr>
          <w:rStyle w:val="FootnoteReference"/>
        </w:rPr>
        <w:footnoteRef/>
      </w:r>
      <w:r w:rsidRPr="000406C6">
        <w:t xml:space="preserve"> </w:t>
      </w:r>
      <w:r w:rsidR="008D6A2A">
        <w:t>Alston</w:t>
      </w:r>
      <w:r w:rsidR="009A7286">
        <w:t xml:space="preserve"> </w:t>
      </w:r>
      <w:r w:rsidR="008D6A2A">
        <w:t>2018</w:t>
      </w:r>
    </w:p>
  </w:footnote>
  <w:footnote w:id="262">
    <w:p w14:paraId="4D3FB087" w14:textId="35E7D08F" w:rsidR="00733851" w:rsidRDefault="00733851" w:rsidP="00733851">
      <w:pPr>
        <w:pStyle w:val="FootnoteText"/>
      </w:pPr>
      <w:r>
        <w:rPr>
          <w:rStyle w:val="FootnoteReference"/>
        </w:rPr>
        <w:footnoteRef/>
      </w:r>
      <w:r>
        <w:t xml:space="preserve"> </w:t>
      </w:r>
      <w:r w:rsidRPr="004E689E">
        <w:t>S</w:t>
      </w:r>
      <w:r w:rsidR="009E4768">
        <w:t>R</w:t>
      </w:r>
      <w:r w:rsidRPr="004E689E">
        <w:t xml:space="preserve">3; </w:t>
      </w:r>
      <w:r w:rsidR="009E4768">
        <w:t>SR</w:t>
      </w:r>
      <w:r w:rsidRPr="004E689E">
        <w:t xml:space="preserve">142; </w:t>
      </w:r>
      <w:r w:rsidR="009E4768">
        <w:t>SR</w:t>
      </w:r>
      <w:r w:rsidRPr="004E689E">
        <w:t xml:space="preserve">217; </w:t>
      </w:r>
      <w:r w:rsidR="009E4768">
        <w:t>SR</w:t>
      </w:r>
      <w:r w:rsidRPr="004E689E">
        <w:t>232</w:t>
      </w:r>
    </w:p>
  </w:footnote>
  <w:footnote w:id="263">
    <w:p w14:paraId="4C9E381A" w14:textId="0DC0015F" w:rsidR="004B176E" w:rsidRPr="00E47F23" w:rsidRDefault="004B176E" w:rsidP="004B176E">
      <w:pPr>
        <w:pStyle w:val="FootnoteText"/>
      </w:pPr>
      <w:r w:rsidRPr="00E47F23">
        <w:rPr>
          <w:rStyle w:val="FootnoteReference"/>
        </w:rPr>
        <w:footnoteRef/>
      </w:r>
      <w:r w:rsidRPr="00E47F23">
        <w:t xml:space="preserve"> </w:t>
      </w:r>
      <w:r w:rsidR="00E260D0" w:rsidRPr="00E47F23">
        <w:t xml:space="preserve">Barnard, H. (2019). End the Benefit Freeze to Stop People Being Swept into Poverty. </w:t>
      </w:r>
      <w:r w:rsidR="00E260D0" w:rsidRPr="00E47F23">
        <w:rPr>
          <w:i/>
          <w:iCs/>
        </w:rPr>
        <w:t>Joseph Rowntree Foundation</w:t>
      </w:r>
      <w:r w:rsidR="00E260D0" w:rsidRPr="00E47F23">
        <w:t xml:space="preserve">, [online] 9 March. Available at: </w:t>
      </w:r>
      <w:hyperlink r:id="rId129" w:history="1">
        <w:r w:rsidR="005E4203" w:rsidRPr="002A3E64">
          <w:rPr>
            <w:rStyle w:val="Hyperlink"/>
          </w:rPr>
          <w:t>https://www.jrf.org.uk/report/end-benefit-freeze-stop-people-being-swept-poverty</w:t>
        </w:r>
      </w:hyperlink>
      <w:r w:rsidR="005E4203">
        <w:t xml:space="preserve"> Accessed on: </w:t>
      </w:r>
      <w:r w:rsidR="00802D33">
        <w:t>15.03.22</w:t>
      </w:r>
    </w:p>
  </w:footnote>
  <w:footnote w:id="264">
    <w:p w14:paraId="6AA26FC6" w14:textId="7138E331" w:rsidR="00567ED6" w:rsidRDefault="00567ED6" w:rsidP="00567ED6">
      <w:pPr>
        <w:pStyle w:val="FootnoteText"/>
      </w:pPr>
      <w:r w:rsidRPr="008357CC">
        <w:rPr>
          <w:rStyle w:val="FootnoteReference"/>
        </w:rPr>
        <w:footnoteRef/>
      </w:r>
      <w:r w:rsidRPr="008357CC">
        <w:t xml:space="preserve"> Trussell Trust (2021)</w:t>
      </w:r>
      <w:r w:rsidR="008357CC" w:rsidRPr="008357CC">
        <w:t>.</w:t>
      </w:r>
      <w:r w:rsidRPr="008357CC">
        <w:t xml:space="preserve"> </w:t>
      </w:r>
      <w:r w:rsidRPr="009304BD">
        <w:rPr>
          <w:i/>
          <w:iCs/>
        </w:rPr>
        <w:t>The state of hunger: it's not right that disabled people are being forced to turn to food banks</w:t>
      </w:r>
      <w:r w:rsidRPr="008357CC">
        <w:t xml:space="preserve">. </w:t>
      </w:r>
      <w:r w:rsidR="009304BD">
        <w:t xml:space="preserve">[online]. </w:t>
      </w:r>
      <w:r w:rsidRPr="008357CC">
        <w:t xml:space="preserve">Available at: </w:t>
      </w:r>
      <w:hyperlink r:id="rId130" w:history="1">
        <w:r w:rsidR="00802D33" w:rsidRPr="00A97FBA">
          <w:rPr>
            <w:rStyle w:val="Hyperlink"/>
          </w:rPr>
          <w:t>https://www.trusselltrust.org/2021/06/28/the-state-of-hunger-its-not-right-that-disabled-people-are-being-forced-to-turn-to-food-banks/</w:t>
        </w:r>
      </w:hyperlink>
      <w:r w:rsidR="00802D33">
        <w:t xml:space="preserve">. </w:t>
      </w:r>
      <w:r w:rsidR="008357CC" w:rsidRPr="008357CC">
        <w:t xml:space="preserve">Accessed on: </w:t>
      </w:r>
    </w:p>
  </w:footnote>
  <w:footnote w:id="265">
    <w:p w14:paraId="74A6FF35" w14:textId="7C8E7AC1" w:rsidR="00567ED6" w:rsidRDefault="00567ED6" w:rsidP="00567ED6">
      <w:pPr>
        <w:pStyle w:val="FootnoteText"/>
      </w:pPr>
      <w:r w:rsidRPr="00B72255">
        <w:rPr>
          <w:rStyle w:val="FootnoteReference"/>
        </w:rPr>
        <w:footnoteRef/>
      </w:r>
      <w:r w:rsidRPr="00B72255">
        <w:t xml:space="preserve"> </w:t>
      </w:r>
      <w:r w:rsidR="00B72255" w:rsidRPr="00B72255">
        <w:t xml:space="preserve">DLUHC (2021). </w:t>
      </w:r>
      <w:r w:rsidR="00B72255" w:rsidRPr="00B72255">
        <w:rPr>
          <w:i/>
          <w:iCs/>
        </w:rPr>
        <w:t>Statutory Homelessness: Detailed local authority-level tables – April to June 2021, England</w:t>
      </w:r>
      <w:r w:rsidR="00B72255" w:rsidRPr="00B72255">
        <w:t xml:space="preserve">. [online] 28 October. Available at: </w:t>
      </w:r>
      <w:hyperlink r:id="rId131" w:history="1">
        <w:r w:rsidR="00B72255" w:rsidRPr="00B72255">
          <w:rPr>
            <w:rStyle w:val="Hyperlink"/>
          </w:rPr>
          <w:t>https://assets.publishing.service.gov.uk/government/uploads/system/uploads/attachment_data/file/1028995/DetailedLA_202106.ods</w:t>
        </w:r>
      </w:hyperlink>
      <w:r w:rsidR="00B72255">
        <w:t xml:space="preserve"> Accessed on: </w:t>
      </w:r>
      <w:r w:rsidR="00C51401">
        <w:t>15.03.22</w:t>
      </w:r>
    </w:p>
  </w:footnote>
  <w:footnote w:id="266">
    <w:p w14:paraId="7EEF4C86" w14:textId="14DA8CD3" w:rsidR="004C611C" w:rsidRPr="00C51401" w:rsidRDefault="004C611C">
      <w:pPr>
        <w:pStyle w:val="FootnoteText"/>
      </w:pPr>
      <w:r w:rsidRPr="00C51401">
        <w:rPr>
          <w:rStyle w:val="FootnoteReference"/>
        </w:rPr>
        <w:footnoteRef/>
      </w:r>
      <w:r w:rsidRPr="00C51401">
        <w:t xml:space="preserve"> </w:t>
      </w:r>
      <w:r w:rsidR="00C51401" w:rsidRPr="00C51401">
        <w:t>DDPO13; D.DP8</w:t>
      </w:r>
    </w:p>
  </w:footnote>
  <w:footnote w:id="267">
    <w:p w14:paraId="2A92DD3E" w14:textId="6DD87CEC" w:rsidR="00412A77" w:rsidRDefault="00412A77">
      <w:pPr>
        <w:pStyle w:val="FootnoteText"/>
      </w:pPr>
      <w:r w:rsidRPr="00C51401">
        <w:rPr>
          <w:rStyle w:val="FootnoteReference"/>
        </w:rPr>
        <w:footnoteRef/>
      </w:r>
      <w:r w:rsidRPr="00C51401">
        <w:t xml:space="preserve"> </w:t>
      </w:r>
      <w:r w:rsidR="00C51401" w:rsidRPr="00C51401">
        <w:t>CBCE6</w:t>
      </w:r>
      <w:r w:rsidR="00C51401">
        <w:t>, CBCE7, CBCE16, CBCE33; DDPO26, SR38, SR74, SR117, SR136, SR142, SR170, SR202, SR203, SR205, SR226, SR232, SR242, SR251, SR331</w:t>
      </w:r>
    </w:p>
  </w:footnote>
  <w:footnote w:id="268">
    <w:p w14:paraId="28EE397C" w14:textId="0E0B6710" w:rsidR="00B72255" w:rsidRDefault="00B72255">
      <w:pPr>
        <w:pStyle w:val="FootnoteText"/>
      </w:pPr>
      <w:r>
        <w:rPr>
          <w:rStyle w:val="FootnoteReference"/>
        </w:rPr>
        <w:footnoteRef/>
      </w:r>
      <w:r>
        <w:t xml:space="preserve"> </w:t>
      </w:r>
      <w:r w:rsidR="00C51401">
        <w:t xml:space="preserve">See: Disabled People Against Cuts (2021). </w:t>
      </w:r>
      <w:r w:rsidR="00C51401" w:rsidRPr="005D6533">
        <w:rPr>
          <w:i/>
          <w:iCs/>
        </w:rPr>
        <w:t>#20More4All - Why the £20 per week uplift to Universal Credit must be applied to legacy benefits: testimonies, stats &amp; facts</w:t>
      </w:r>
      <w:r w:rsidR="00C51401" w:rsidRPr="00A222CB">
        <w:t>. [online</w:t>
      </w:r>
      <w:r w:rsidR="00C51401">
        <w:t xml:space="preserve">]. Available at: </w:t>
      </w:r>
      <w:r w:rsidR="00C51401" w:rsidRPr="005D6533">
        <w:t xml:space="preserve">https://dpac.uk.net/2021/03/20more4all-testimonies-stats-facts/ </w:t>
      </w:r>
      <w:r w:rsidR="00C51401">
        <w:t>Accessed on: 15.03.22</w:t>
      </w:r>
    </w:p>
  </w:footnote>
  <w:footnote w:id="269">
    <w:p w14:paraId="75101479" w14:textId="1B8E315B" w:rsidR="003A4373" w:rsidRPr="003A4373" w:rsidRDefault="003A4373">
      <w:pPr>
        <w:pStyle w:val="FootnoteText"/>
        <w:rPr>
          <w:i/>
          <w:iCs/>
        </w:rPr>
      </w:pPr>
      <w:r>
        <w:rPr>
          <w:rStyle w:val="FootnoteReference"/>
        </w:rPr>
        <w:footnoteRef/>
      </w:r>
      <w:r>
        <w:t xml:space="preserve"> Disability Benefits Consortium (2021). </w:t>
      </w:r>
      <w:r w:rsidRPr="003A4373">
        <w:rPr>
          <w:i/>
          <w:iCs/>
        </w:rPr>
        <w:t>The Millions Missing Out</w:t>
      </w:r>
      <w:r>
        <w:t xml:space="preserve">. [press release] 26 August. Available at: </w:t>
      </w:r>
      <w:hyperlink r:id="rId132" w:history="1">
        <w:r w:rsidRPr="00054B02">
          <w:rPr>
            <w:rStyle w:val="Hyperlink"/>
          </w:rPr>
          <w:t>https://disabilitybenefitsconsortium.com/2021/08/26/test-post/</w:t>
        </w:r>
      </w:hyperlink>
      <w:r>
        <w:t xml:space="preserve"> Accessed on</w:t>
      </w:r>
      <w:r w:rsidR="00C51401">
        <w:t>: 15.03.22</w:t>
      </w:r>
    </w:p>
  </w:footnote>
  <w:footnote w:id="270">
    <w:p w14:paraId="23FF4029" w14:textId="0B9A766E" w:rsidR="003A4373" w:rsidRDefault="003A4373">
      <w:pPr>
        <w:pStyle w:val="FootnoteText"/>
      </w:pPr>
      <w:r>
        <w:rPr>
          <w:rStyle w:val="FootnoteReference"/>
        </w:rPr>
        <w:footnoteRef/>
      </w:r>
      <w:r>
        <w:t xml:space="preserve"> </w:t>
      </w:r>
      <w:r w:rsidR="00A222CB">
        <w:t xml:space="preserve">Disabled People Against Cuts (2021). </w:t>
      </w:r>
      <w:r w:rsidR="00A222CB" w:rsidRPr="005D6533">
        <w:rPr>
          <w:i/>
          <w:iCs/>
        </w:rPr>
        <w:t>#20More4All</w:t>
      </w:r>
      <w:r w:rsidR="0046390E">
        <w:rPr>
          <w:i/>
          <w:iCs/>
        </w:rPr>
        <w:t xml:space="preserve"> – </w:t>
      </w:r>
      <w:r w:rsidR="00A222CB" w:rsidRPr="005D6533">
        <w:rPr>
          <w:i/>
          <w:iCs/>
        </w:rPr>
        <w:t>Why the £20 per week uplift to Universal Credit must be applied to legacy benefits: testimonies, stats &amp; facts</w:t>
      </w:r>
      <w:r w:rsidR="00A222CB" w:rsidRPr="00A222CB">
        <w:t>. [online</w:t>
      </w:r>
      <w:r w:rsidR="00A222CB">
        <w:t xml:space="preserve">]. Available at: </w:t>
      </w:r>
      <w:hyperlink r:id="rId133" w:history="1">
        <w:r w:rsidR="008347F1" w:rsidRPr="00A97FBA">
          <w:rPr>
            <w:rStyle w:val="Hyperlink"/>
          </w:rPr>
          <w:t>https://dpac.uk.net/2021/03/20more4all-testimonies-stats-facts/</w:t>
        </w:r>
      </w:hyperlink>
      <w:r w:rsidR="008347F1">
        <w:t xml:space="preserve">. </w:t>
      </w:r>
      <w:r w:rsidR="00A222CB">
        <w:t xml:space="preserve">Accessed on: </w:t>
      </w:r>
      <w:r w:rsidR="008347F1">
        <w:t>15.03.22</w:t>
      </w:r>
    </w:p>
  </w:footnote>
  <w:footnote w:id="271">
    <w:p w14:paraId="72FC082B" w14:textId="5E316923" w:rsidR="00D12DCB" w:rsidRPr="003802C4" w:rsidRDefault="00D12DCB">
      <w:pPr>
        <w:pStyle w:val="FootnoteText"/>
      </w:pPr>
      <w:r w:rsidRPr="003802C4">
        <w:rPr>
          <w:rStyle w:val="FootnoteReference"/>
        </w:rPr>
        <w:footnoteRef/>
      </w:r>
      <w:r w:rsidRPr="003802C4">
        <w:t xml:space="preserve"> </w:t>
      </w:r>
      <w:r w:rsidR="003802C4">
        <w:rPr>
          <w:i/>
          <w:iCs/>
        </w:rPr>
        <w:t xml:space="preserve">The Martin Lewis Money Show </w:t>
      </w:r>
      <w:r w:rsidR="003802C4">
        <w:t>(2021). [TV programme] ITV, 5 March</w:t>
      </w:r>
      <w:r w:rsidR="00590B17">
        <w:t>: 20:30</w:t>
      </w:r>
      <w:r w:rsidR="003802C4">
        <w:t xml:space="preserve"> </w:t>
      </w:r>
    </w:p>
  </w:footnote>
  <w:footnote w:id="272">
    <w:p w14:paraId="1D534FA9" w14:textId="0EDF6C1C" w:rsidR="00067765" w:rsidRDefault="00067765">
      <w:pPr>
        <w:pStyle w:val="FootnoteText"/>
      </w:pPr>
      <w:r w:rsidRPr="008347F1">
        <w:rPr>
          <w:rStyle w:val="FootnoteReference"/>
        </w:rPr>
        <w:footnoteRef/>
      </w:r>
      <w:r w:rsidRPr="008347F1">
        <w:t xml:space="preserve"> </w:t>
      </w:r>
      <w:r w:rsidR="008347F1" w:rsidRPr="008347F1">
        <w:t>Direct references to disability hostility and feelings that the Westminster Government does not</w:t>
      </w:r>
      <w:r w:rsidR="008347F1">
        <w:t xml:space="preserve"> value Deaf and Disabled people’s lives: CBCE6, CBCE8, CBCE9, CBCE13, CBCE14, CBCE27, CBCE28, DDPO42, </w:t>
      </w:r>
      <w:r w:rsidR="008347F1">
        <w:t>D.DP29, FG2, SR15, SR22, SR100, SR114, SR134, SR145, SR148, SR180, SR182, SR188, SR190, SR208, SR224, SR258, SR266, SR284, SR289, SR293, SR327, SR333</w:t>
      </w:r>
    </w:p>
  </w:footnote>
  <w:footnote w:id="273">
    <w:p w14:paraId="549D0FE0" w14:textId="2E756222" w:rsidR="00673817" w:rsidRPr="003802C4" w:rsidRDefault="00673817">
      <w:pPr>
        <w:pStyle w:val="FootnoteText"/>
      </w:pPr>
      <w:r>
        <w:rPr>
          <w:rStyle w:val="FootnoteReference"/>
        </w:rPr>
        <w:footnoteRef/>
      </w:r>
      <w:r>
        <w:t xml:space="preserve"> </w:t>
      </w:r>
      <w:r w:rsidR="003802C4">
        <w:t xml:space="preserve">Money Saving Expert (2021). </w:t>
      </w:r>
      <w:r w:rsidR="003802C4" w:rsidRPr="003802C4">
        <w:t>Martin Lewis grills Chancellor Rishi Sunak on self-employed income support, stamp duty, benefits help &amp; more</w:t>
      </w:r>
      <w:r w:rsidR="003802C4">
        <w:t xml:space="preserve">. </w:t>
      </w:r>
      <w:r w:rsidR="003802C4">
        <w:rPr>
          <w:i/>
          <w:iCs/>
        </w:rPr>
        <w:t>moneysavingexpert.com</w:t>
      </w:r>
      <w:r w:rsidR="003802C4">
        <w:t xml:space="preserve">, [online] 5 March. Available at: </w:t>
      </w:r>
      <w:hyperlink r:id="rId134" w:history="1">
        <w:r w:rsidR="003802C4" w:rsidRPr="00054B02">
          <w:rPr>
            <w:rStyle w:val="Hyperlink"/>
          </w:rPr>
          <w:t>https://www.moneysavingexpert.com/news/2021/03/martin-lewis-interviews-chancellor-rishi-sunak---the-key-questio/</w:t>
        </w:r>
      </w:hyperlink>
      <w:r w:rsidR="003802C4">
        <w:t xml:space="preserve"> Accessed on: </w:t>
      </w:r>
      <w:r w:rsidR="008347F1">
        <w:t>15.03.22</w:t>
      </w:r>
    </w:p>
  </w:footnote>
  <w:footnote w:id="274">
    <w:p w14:paraId="43751BB1" w14:textId="5B5C8D3B" w:rsidR="00567ED6" w:rsidRPr="00673817" w:rsidRDefault="00567ED6" w:rsidP="00567ED6">
      <w:pPr>
        <w:pStyle w:val="FootnoteText"/>
        <w:rPr>
          <w:highlight w:val="yellow"/>
        </w:rPr>
      </w:pPr>
      <w:r w:rsidRPr="00673817">
        <w:rPr>
          <w:rStyle w:val="FootnoteReference"/>
        </w:rPr>
        <w:footnoteRef/>
      </w:r>
      <w:r w:rsidRPr="00673817">
        <w:t xml:space="preserve"> </w:t>
      </w:r>
      <w:r w:rsidR="00673817" w:rsidRPr="00673817">
        <w:t xml:space="preserve">Joseph Rowntree Foundation (2021). </w:t>
      </w:r>
      <w:r w:rsidR="00673817" w:rsidRPr="00673817">
        <w:rPr>
          <w:i/>
          <w:iCs/>
        </w:rPr>
        <w:t>Planned cuts to Universal Credit will hit incomes of millions of households unable to afford a minimum living standard</w:t>
      </w:r>
      <w:r w:rsidR="00673817">
        <w:t xml:space="preserve">. [press release] 14 July. Available at: </w:t>
      </w:r>
      <w:hyperlink r:id="rId135" w:history="1">
        <w:r w:rsidR="00673817" w:rsidRPr="00054B02">
          <w:rPr>
            <w:rStyle w:val="Hyperlink"/>
          </w:rPr>
          <w:t>https://www.jrf.org.uk/press/planned-cuts-universal-credit-will-hit-incomes-millions-households-unable-afford-minimum</w:t>
        </w:r>
      </w:hyperlink>
      <w:r w:rsidR="00673817">
        <w:t xml:space="preserve"> Accessed on: </w:t>
      </w:r>
      <w:r w:rsidR="008347F1">
        <w:t>15.03.22</w:t>
      </w:r>
    </w:p>
  </w:footnote>
  <w:footnote w:id="275">
    <w:p w14:paraId="7EB43B33" w14:textId="6F807463" w:rsidR="00567ED6" w:rsidRPr="002C487E" w:rsidRDefault="00567ED6" w:rsidP="00567ED6">
      <w:pPr>
        <w:pStyle w:val="FootnoteText"/>
        <w:rPr>
          <w:highlight w:val="magenta"/>
        </w:rPr>
      </w:pPr>
      <w:r w:rsidRPr="002C487E">
        <w:rPr>
          <w:rStyle w:val="FootnoteReference"/>
        </w:rPr>
        <w:footnoteRef/>
      </w:r>
      <w:r w:rsidRPr="002C487E">
        <w:t xml:space="preserve"> </w:t>
      </w:r>
      <w:r w:rsidR="002C487E" w:rsidRPr="002C487E">
        <w:t xml:space="preserve">Jones, H. (2021). Six ex Tory ministers call for Universal Credit increase to become permanent. </w:t>
      </w:r>
      <w:r w:rsidR="002C487E" w:rsidRPr="002C487E">
        <w:rPr>
          <w:i/>
          <w:iCs/>
        </w:rPr>
        <w:t>Metro</w:t>
      </w:r>
      <w:r w:rsidR="002C487E" w:rsidRPr="002C487E">
        <w:t xml:space="preserve">, 4 July. Available at: </w:t>
      </w:r>
      <w:hyperlink r:id="rId136" w:history="1">
        <w:r w:rsidR="002C487E" w:rsidRPr="002C487E">
          <w:rPr>
            <w:rStyle w:val="Hyperlink"/>
          </w:rPr>
          <w:t>https://metro.co.uk/2021/07/04/six-ex-tory-ministers-call-for-universal-credit-increase-to-become-permanent-14871676/</w:t>
        </w:r>
      </w:hyperlink>
      <w:r w:rsidR="002C487E">
        <w:t xml:space="preserve"> Accessed on: </w:t>
      </w:r>
      <w:r w:rsidR="008347F1">
        <w:t>15.03.22</w:t>
      </w:r>
    </w:p>
  </w:footnote>
  <w:footnote w:id="276">
    <w:p w14:paraId="2390E5C4" w14:textId="592B2FDA" w:rsidR="008357CC" w:rsidRPr="002C487E" w:rsidRDefault="008357CC">
      <w:pPr>
        <w:pStyle w:val="FootnoteText"/>
      </w:pPr>
      <w:r w:rsidRPr="002C487E">
        <w:rPr>
          <w:rStyle w:val="FootnoteReference"/>
        </w:rPr>
        <w:footnoteRef/>
      </w:r>
      <w:r w:rsidRPr="002C487E">
        <w:t xml:space="preserve"> </w:t>
      </w:r>
      <w:r w:rsidR="002C487E" w:rsidRPr="002C487E">
        <w:t xml:space="preserve">Leigh Day (2022). </w:t>
      </w:r>
      <w:r w:rsidR="002C487E" w:rsidRPr="002C487E">
        <w:rPr>
          <w:i/>
          <w:iCs/>
        </w:rPr>
        <w:t>Severely disabled benefits claimants win legal challenge over loss of income caused by move on to Universal Credit</w:t>
      </w:r>
      <w:r w:rsidR="002C487E" w:rsidRPr="002C487E">
        <w:t xml:space="preserve">. [press release] 21 January. Available at: </w:t>
      </w:r>
      <w:hyperlink r:id="rId137" w:history="1">
        <w:r w:rsidR="008347F1" w:rsidRPr="00A97FBA">
          <w:rPr>
            <w:rStyle w:val="Hyperlink"/>
          </w:rPr>
          <w:t>https://www.leighday.co.uk/latest-updates/news/2022-news/severely-disabled-benefits-claimants-win-legal-challenge-over-loss-of-income-caused-by-move-on-to-universal-credit/</w:t>
        </w:r>
      </w:hyperlink>
      <w:r w:rsidR="008347F1">
        <w:t xml:space="preserve">. </w:t>
      </w:r>
      <w:r w:rsidR="008347F1" w:rsidRPr="009C5B85">
        <w:t>Accessed on: 15.03.22</w:t>
      </w:r>
    </w:p>
  </w:footnote>
  <w:footnote w:id="277">
    <w:p w14:paraId="5EAB811E" w14:textId="4CF5BDC3" w:rsidR="00892CF4" w:rsidRDefault="00892CF4" w:rsidP="00892CF4">
      <w:pPr>
        <w:pStyle w:val="FootnoteText"/>
      </w:pPr>
      <w:r w:rsidRPr="002C487E">
        <w:rPr>
          <w:rStyle w:val="FootnoteReference"/>
        </w:rPr>
        <w:footnoteRef/>
      </w:r>
      <w:r w:rsidRPr="002C487E">
        <w:t xml:space="preserve"> </w:t>
      </w:r>
      <w:r w:rsidR="002C487E">
        <w:t>Leigh Day 2022</w:t>
      </w:r>
    </w:p>
  </w:footnote>
  <w:footnote w:id="278">
    <w:p w14:paraId="428CFD1B" w14:textId="4F338DD9" w:rsidR="004B176E" w:rsidRPr="00E47F23" w:rsidRDefault="004B176E" w:rsidP="004B176E">
      <w:pPr>
        <w:pStyle w:val="FootnoteText"/>
      </w:pPr>
      <w:r w:rsidRPr="00E47F23">
        <w:rPr>
          <w:rStyle w:val="FootnoteReference"/>
        </w:rPr>
        <w:footnoteRef/>
      </w:r>
      <w:r w:rsidRPr="00E47F23">
        <w:t xml:space="preserve"> </w:t>
      </w:r>
      <w:r w:rsidR="00D12DCB">
        <w:t>WPC</w:t>
      </w:r>
      <w:r w:rsidR="00E47F23" w:rsidRPr="00E47F23">
        <w:t xml:space="preserve"> (2018</w:t>
      </w:r>
      <w:r w:rsidR="008347F1">
        <w:t>a</w:t>
      </w:r>
      <w:r w:rsidR="00E47F23" w:rsidRPr="00E47F23">
        <w:t xml:space="preserve">). </w:t>
      </w:r>
      <w:r w:rsidR="00E47F23" w:rsidRPr="00E47F23">
        <w:rPr>
          <w:i/>
          <w:iCs/>
        </w:rPr>
        <w:t>PIP and ESA Assessments</w:t>
      </w:r>
      <w:r w:rsidR="00E47F23" w:rsidRPr="00E47F23">
        <w:t xml:space="preserve">. HC 829, </w:t>
      </w:r>
      <w:r w:rsidR="00947320">
        <w:t xml:space="preserve">2017-2018 [online] </w:t>
      </w:r>
      <w:r w:rsidR="00E47F23" w:rsidRPr="00E47F23">
        <w:t xml:space="preserve">14 February. Available at: </w:t>
      </w:r>
      <w:hyperlink r:id="rId138" w:history="1">
        <w:r w:rsidR="00D12DCB" w:rsidRPr="00002AC9">
          <w:rPr>
            <w:rStyle w:val="Hyperlink"/>
          </w:rPr>
          <w:t>https://publications.parliament.uk/pa/cm201719/cmselect/cmworpen/829/82902.htm</w:t>
        </w:r>
      </w:hyperlink>
      <w:r w:rsidR="00D12DCB">
        <w:t xml:space="preserve"> Accessed on: </w:t>
      </w:r>
      <w:r w:rsidR="008347F1" w:rsidRPr="009C5B85">
        <w:t>15.03.22</w:t>
      </w:r>
    </w:p>
  </w:footnote>
  <w:footnote w:id="279">
    <w:p w14:paraId="35D6BE3D" w14:textId="365872DC" w:rsidR="004B176E" w:rsidRDefault="004B176E" w:rsidP="004B176E">
      <w:pPr>
        <w:pStyle w:val="FootnoteText"/>
        <w:tabs>
          <w:tab w:val="left" w:pos="1185"/>
        </w:tabs>
      </w:pPr>
      <w:r w:rsidRPr="00E47F23">
        <w:rPr>
          <w:rStyle w:val="FootnoteReference"/>
        </w:rPr>
        <w:footnoteRef/>
      </w:r>
      <w:r w:rsidRPr="00E47F23">
        <w:t xml:space="preserve"> </w:t>
      </w:r>
      <w:r w:rsidR="00E47F23" w:rsidRPr="00E47F23">
        <w:t>WPC (2018</w:t>
      </w:r>
      <w:r w:rsidR="008347F1">
        <w:t>b</w:t>
      </w:r>
      <w:r w:rsidR="00E47F23" w:rsidRPr="00E47F23">
        <w:t xml:space="preserve">). </w:t>
      </w:r>
      <w:r w:rsidR="00E47F23" w:rsidRPr="00E47F23">
        <w:rPr>
          <w:i/>
          <w:iCs/>
        </w:rPr>
        <w:t>PIP and ESA Assessments: claimant experiences</w:t>
      </w:r>
      <w:r w:rsidR="00E47F23" w:rsidRPr="00E47F23">
        <w:t>. HC 355</w:t>
      </w:r>
      <w:r w:rsidR="00947320">
        <w:t xml:space="preserve"> [2017-2018]</w:t>
      </w:r>
      <w:r w:rsidR="00E47F23" w:rsidRPr="00E47F23">
        <w:t xml:space="preserve">, 8 February. Available at: </w:t>
      </w:r>
      <w:hyperlink r:id="rId139" w:history="1">
        <w:r w:rsidR="008347F1" w:rsidRPr="00A97FBA">
          <w:rPr>
            <w:rStyle w:val="Hyperlink"/>
          </w:rPr>
          <w:t>https://publications.parliament.uk/pa/cm201719/cmselect/cmworpen/355/35502.htm</w:t>
        </w:r>
      </w:hyperlink>
      <w:r w:rsidR="008347F1">
        <w:t xml:space="preserve">. Accessed on: </w:t>
      </w:r>
      <w:r w:rsidR="008347F1" w:rsidRPr="009C5B85">
        <w:t>15.03.22</w:t>
      </w:r>
    </w:p>
  </w:footnote>
  <w:footnote w:id="280">
    <w:p w14:paraId="4151F007" w14:textId="78E48838" w:rsidR="00412A77" w:rsidRPr="00412A77" w:rsidRDefault="00412A77" w:rsidP="00412A77">
      <w:pPr>
        <w:pStyle w:val="FootnoteText"/>
        <w:rPr>
          <w:highlight w:val="yellow"/>
        </w:rPr>
      </w:pPr>
      <w:r w:rsidRPr="00B72255">
        <w:rPr>
          <w:rStyle w:val="FootnoteReference"/>
        </w:rPr>
        <w:footnoteRef/>
      </w:r>
      <w:r w:rsidRPr="00B72255">
        <w:t xml:space="preserve"> </w:t>
      </w:r>
      <w:r w:rsidR="00B72255" w:rsidRPr="00B72255">
        <w:t xml:space="preserve">UK Parliament (2021). </w:t>
      </w:r>
      <w:r w:rsidR="00B72255" w:rsidRPr="001503DE">
        <w:rPr>
          <w:i/>
          <w:iCs/>
        </w:rPr>
        <w:t>Experts questioned on flaws in assessments for disability and health-related benefits</w:t>
      </w:r>
      <w:r w:rsidR="00B72255" w:rsidRPr="00B72255">
        <w:t>. [</w:t>
      </w:r>
      <w:r w:rsidR="001503DE">
        <w:t>press release</w:t>
      </w:r>
      <w:r w:rsidR="00B72255" w:rsidRPr="00B72255">
        <w:t xml:space="preserve">] 30 November. Available on: </w:t>
      </w:r>
      <w:hyperlink r:id="rId140" w:history="1">
        <w:r w:rsidR="00B72255" w:rsidRPr="00B72255">
          <w:rPr>
            <w:rStyle w:val="Hyperlink"/>
          </w:rPr>
          <w:t>https://committees.parliament.uk/committee/164/work-and-pensions-committee/news/159277/experts-questioned-on-flaws-in-assessments-for-disability-and-healthrelated-benefits/</w:t>
        </w:r>
      </w:hyperlink>
      <w:r w:rsidR="008347F1">
        <w:rPr>
          <w:rStyle w:val="Hyperlink"/>
        </w:rPr>
        <w:t>.</w:t>
      </w:r>
      <w:r w:rsidR="00B72255" w:rsidRPr="00B72255">
        <w:t xml:space="preserve"> </w:t>
      </w:r>
      <w:r w:rsidR="008347F1">
        <w:t xml:space="preserve">Accessed on: </w:t>
      </w:r>
      <w:r w:rsidR="008347F1" w:rsidRPr="009C5B85">
        <w:t>15.03.22</w:t>
      </w:r>
    </w:p>
  </w:footnote>
  <w:footnote w:id="281">
    <w:p w14:paraId="7F720585" w14:textId="7A004F06" w:rsidR="00412A77" w:rsidRPr="008347F1" w:rsidRDefault="00412A77" w:rsidP="00A0137F">
      <w:pPr>
        <w:pStyle w:val="FootnoteText"/>
      </w:pPr>
      <w:r w:rsidRPr="00A0137F">
        <w:rPr>
          <w:rStyle w:val="FootnoteReference"/>
        </w:rPr>
        <w:footnoteRef/>
      </w:r>
      <w:r w:rsidRPr="00A0137F">
        <w:t xml:space="preserve"> </w:t>
      </w:r>
      <w:r w:rsidR="00A0137F" w:rsidRPr="00A0137F">
        <w:t xml:space="preserve">WPC (2021). </w:t>
      </w:r>
      <w:r w:rsidR="00A0137F" w:rsidRPr="00A0137F">
        <w:rPr>
          <w:i/>
          <w:iCs/>
        </w:rPr>
        <w:t>Oral evidence: Health assessments for benefits</w:t>
      </w:r>
      <w:r w:rsidR="00A0137F" w:rsidRPr="00A0137F">
        <w:t>, HC</w:t>
      </w:r>
      <w:r w:rsidR="00A0137F">
        <w:t xml:space="preserve"> </w:t>
      </w:r>
      <w:r w:rsidR="00A0137F" w:rsidRPr="00A0137F">
        <w:t xml:space="preserve">604, </w:t>
      </w:r>
      <w:r w:rsidR="001503DE">
        <w:t>[online] 1 Decembe</w:t>
      </w:r>
      <w:r w:rsidR="001503DE" w:rsidRPr="008347F1">
        <w:t xml:space="preserve">r, </w:t>
      </w:r>
      <w:r w:rsidR="00A0137F" w:rsidRPr="008347F1">
        <w:t xml:space="preserve">Q4. Available on: </w:t>
      </w:r>
      <w:hyperlink r:id="rId141" w:history="1">
        <w:r w:rsidR="008347F1" w:rsidRPr="008347F1">
          <w:rPr>
            <w:rStyle w:val="Hyperlink"/>
          </w:rPr>
          <w:t>https://committees.parliament.uk/oralevidence/3122/pdf/</w:t>
        </w:r>
      </w:hyperlink>
      <w:r w:rsidR="008347F1" w:rsidRPr="008347F1">
        <w:t xml:space="preserve">. </w:t>
      </w:r>
      <w:r w:rsidR="00A0137F" w:rsidRPr="008347F1">
        <w:t>Accessed on</w:t>
      </w:r>
      <w:r w:rsidR="008347F1" w:rsidRPr="008347F1">
        <w:t>: 15.03.22</w:t>
      </w:r>
    </w:p>
  </w:footnote>
  <w:footnote w:id="282">
    <w:p w14:paraId="49A5963C" w14:textId="60ED385F" w:rsidR="00412A77" w:rsidRPr="008347F1" w:rsidRDefault="00412A77">
      <w:pPr>
        <w:pStyle w:val="FootnoteText"/>
      </w:pPr>
      <w:r w:rsidRPr="008347F1">
        <w:rPr>
          <w:rStyle w:val="FootnoteReference"/>
        </w:rPr>
        <w:footnoteRef/>
      </w:r>
      <w:r w:rsidRPr="008347F1">
        <w:t xml:space="preserve"> </w:t>
      </w:r>
      <w:r w:rsidR="008347F1" w:rsidRPr="008347F1">
        <w:t xml:space="preserve">CBCE11, CBCE17, CBCE28; DDPO27, DDPO47; D.DP5, D.DP8, </w:t>
      </w:r>
      <w:r w:rsidR="008347F1" w:rsidRPr="008347F1">
        <w:t>D.DP35; FG1, FG3</w:t>
      </w:r>
    </w:p>
  </w:footnote>
  <w:footnote w:id="283">
    <w:p w14:paraId="45D363F7" w14:textId="18AA3131" w:rsidR="00121892" w:rsidRPr="008347F1" w:rsidRDefault="00121892">
      <w:pPr>
        <w:pStyle w:val="FootnoteText"/>
      </w:pPr>
      <w:r w:rsidRPr="008347F1">
        <w:rPr>
          <w:rStyle w:val="FootnoteReference"/>
        </w:rPr>
        <w:footnoteRef/>
      </w:r>
      <w:r w:rsidRPr="008347F1">
        <w:t xml:space="preserve"> </w:t>
      </w:r>
      <w:r w:rsidR="008347F1" w:rsidRPr="008347F1">
        <w:t xml:space="preserve">DDPO3, DDPO37; D.DP5, D.DP8, </w:t>
      </w:r>
      <w:r w:rsidR="008347F1" w:rsidRPr="008347F1">
        <w:t>D.DP14; FG1</w:t>
      </w:r>
    </w:p>
  </w:footnote>
  <w:footnote w:id="284">
    <w:p w14:paraId="299430A0" w14:textId="72D0DDAD" w:rsidR="00121892" w:rsidRPr="008347F1" w:rsidRDefault="00121892">
      <w:pPr>
        <w:pStyle w:val="FootnoteText"/>
      </w:pPr>
      <w:r w:rsidRPr="008347F1">
        <w:rPr>
          <w:rStyle w:val="FootnoteReference"/>
        </w:rPr>
        <w:footnoteRef/>
      </w:r>
      <w:r w:rsidRPr="008347F1">
        <w:t xml:space="preserve"> </w:t>
      </w:r>
      <w:r w:rsidR="008347F1" w:rsidRPr="008347F1">
        <w:t>DDPO3</w:t>
      </w:r>
    </w:p>
  </w:footnote>
  <w:footnote w:id="285">
    <w:p w14:paraId="2828E49C" w14:textId="586C5036" w:rsidR="00121892" w:rsidRDefault="00121892">
      <w:pPr>
        <w:pStyle w:val="FootnoteText"/>
      </w:pPr>
      <w:r w:rsidRPr="008347F1">
        <w:rPr>
          <w:rStyle w:val="FootnoteReference"/>
        </w:rPr>
        <w:footnoteRef/>
      </w:r>
      <w:r w:rsidRPr="008347F1">
        <w:t xml:space="preserve"> </w:t>
      </w:r>
      <w:r w:rsidR="008347F1" w:rsidRPr="008347F1">
        <w:t>CBCE5; SR183, SR331</w:t>
      </w:r>
    </w:p>
  </w:footnote>
  <w:footnote w:id="286">
    <w:p w14:paraId="56D6785C" w14:textId="77777777" w:rsidR="001D0C15" w:rsidRDefault="001D0C15" w:rsidP="001D0C15">
      <w:pPr>
        <w:pStyle w:val="FootnoteText"/>
      </w:pPr>
      <w:r>
        <w:rPr>
          <w:rStyle w:val="FootnoteReference"/>
        </w:rPr>
        <w:footnoteRef/>
      </w:r>
      <w:r>
        <w:t xml:space="preserve"> D.DP42</w:t>
      </w:r>
    </w:p>
  </w:footnote>
  <w:footnote w:id="287">
    <w:p w14:paraId="7CD44107" w14:textId="2505BA4B" w:rsidR="001D0C15" w:rsidRDefault="001D0C15" w:rsidP="001D0C15">
      <w:pPr>
        <w:pStyle w:val="FootnoteText"/>
      </w:pPr>
      <w:r w:rsidRPr="00FC2A38">
        <w:rPr>
          <w:rStyle w:val="FootnoteReference"/>
        </w:rPr>
        <w:footnoteRef/>
      </w:r>
      <w:r w:rsidRPr="00FC2A38">
        <w:t xml:space="preserve"> Statista (2019). Share of illnesses or disabilities, if any, of carers in England in 2018/19. [online], June. Available at: </w:t>
      </w:r>
      <w:hyperlink r:id="rId142" w:history="1">
        <w:r w:rsidRPr="00FC2A38">
          <w:rPr>
            <w:rStyle w:val="Hyperlink"/>
          </w:rPr>
          <w:t>https://www.statista.com/statistics/535320/distribution-of-ailments-of-carers-in-england/</w:t>
        </w:r>
      </w:hyperlink>
    </w:p>
  </w:footnote>
  <w:footnote w:id="288">
    <w:p w14:paraId="591C828B" w14:textId="230D3158" w:rsidR="00733851" w:rsidRDefault="00733851">
      <w:pPr>
        <w:pStyle w:val="FootnoteText"/>
      </w:pPr>
      <w:r w:rsidRPr="008347F1">
        <w:rPr>
          <w:rStyle w:val="FootnoteReference"/>
        </w:rPr>
        <w:footnoteRef/>
      </w:r>
      <w:r w:rsidRPr="008347F1">
        <w:t xml:space="preserve"> </w:t>
      </w:r>
      <w:r w:rsidR="008347F1" w:rsidRPr="008347F1">
        <w:t>2018a</w:t>
      </w:r>
      <w:r w:rsidR="008347F1" w:rsidRPr="00566A38">
        <w:t>, p.3</w:t>
      </w:r>
    </w:p>
  </w:footnote>
  <w:footnote w:id="289">
    <w:p w14:paraId="5D1C47E6" w14:textId="186E7204" w:rsidR="00121892" w:rsidRDefault="00412A77" w:rsidP="00412A77">
      <w:pPr>
        <w:pStyle w:val="FootnoteText"/>
      </w:pPr>
      <w:r w:rsidRPr="005F7687">
        <w:rPr>
          <w:rStyle w:val="FootnoteReference"/>
        </w:rPr>
        <w:footnoteRef/>
      </w:r>
      <w:r w:rsidR="008347F1">
        <w:t xml:space="preserve"> </w:t>
      </w:r>
      <w:r w:rsidR="005F7687" w:rsidRPr="005F7687">
        <w:t xml:space="preserve">DWP (2021). </w:t>
      </w:r>
      <w:r w:rsidR="005F7687" w:rsidRPr="005F7687">
        <w:rPr>
          <w:i/>
          <w:iCs/>
        </w:rPr>
        <w:t>Shaping Future Support: The Health and Disability Green Paper</w:t>
      </w:r>
      <w:r w:rsidR="005F7687" w:rsidRPr="005F7687">
        <w:t>. CP 470, [online] p.40. Available on:</w:t>
      </w:r>
      <w:r w:rsidR="005F7687">
        <w:t xml:space="preserve"> </w:t>
      </w:r>
      <w:hyperlink r:id="rId143" w:history="1">
        <w:r w:rsidR="005F7687" w:rsidRPr="002A3E64">
          <w:rPr>
            <w:rStyle w:val="Hyperlink"/>
          </w:rPr>
          <w:t>https://assets.publishing.service.gov.uk/government/uploads/system/uploads/attachment_data/file/1004042/shaping-future-support-the-health-and-disability-green-paper.pdf</w:t>
        </w:r>
      </w:hyperlink>
      <w:r w:rsidR="005F7687">
        <w:t xml:space="preserve"> Accessed on: </w:t>
      </w:r>
      <w:r w:rsidR="008347F1">
        <w:t>15.03.22</w:t>
      </w:r>
    </w:p>
  </w:footnote>
  <w:footnote w:id="290">
    <w:p w14:paraId="5BA32292" w14:textId="123B3F53" w:rsidR="00412A77" w:rsidRDefault="00412A77" w:rsidP="00412A77">
      <w:pPr>
        <w:pStyle w:val="FootnoteText"/>
      </w:pPr>
      <w:r>
        <w:rPr>
          <w:rStyle w:val="FootnoteReference"/>
        </w:rPr>
        <w:footnoteRef/>
      </w:r>
      <w:r>
        <w:t xml:space="preserve"> </w:t>
      </w:r>
      <w:r w:rsidRPr="000316C7">
        <w:t>W</w:t>
      </w:r>
      <w:r w:rsidR="00D12DCB">
        <w:t>PC</w:t>
      </w:r>
      <w:r w:rsidRPr="000316C7">
        <w:t xml:space="preserve"> (2018)</w:t>
      </w:r>
      <w:r w:rsidR="00D12DCB">
        <w:t>.</w:t>
      </w:r>
      <w:r w:rsidRPr="000316C7">
        <w:t xml:space="preserve"> </w:t>
      </w:r>
      <w:r w:rsidRPr="00D12DCB">
        <w:rPr>
          <w:i/>
          <w:iCs/>
        </w:rPr>
        <w:t>PIP and ESA Assessments</w:t>
      </w:r>
      <w:r w:rsidR="00D12DCB" w:rsidRPr="00D12DCB">
        <w:rPr>
          <w:i/>
          <w:iCs/>
        </w:rPr>
        <w:t>.</w:t>
      </w:r>
      <w:r w:rsidR="00D12DCB">
        <w:t xml:space="preserve"> HC 828,</w:t>
      </w:r>
      <w:r w:rsidRPr="000316C7">
        <w:t xml:space="preserve"> </w:t>
      </w:r>
      <w:r w:rsidR="00947320">
        <w:t xml:space="preserve">2017-2019 [online] </w:t>
      </w:r>
      <w:r w:rsidR="00D12DCB">
        <w:t>14 February</w:t>
      </w:r>
      <w:r w:rsidR="00947320">
        <w:t>, p.3</w:t>
      </w:r>
      <w:r w:rsidRPr="000316C7">
        <w:t xml:space="preserve"> Available at: </w:t>
      </w:r>
      <w:bookmarkStart w:id="31" w:name="_Hlk97062220"/>
      <w:r w:rsidR="000A426F">
        <w:fldChar w:fldCharType="begin"/>
      </w:r>
      <w:r w:rsidR="000A426F">
        <w:instrText xml:space="preserve"> HYPERLINK "https://publications.parliament.uk/pa/cm201719/cmselect/cmworpen/829/829.pdf" </w:instrText>
      </w:r>
      <w:r w:rsidR="000A426F">
        <w:fldChar w:fldCharType="separate"/>
      </w:r>
      <w:r w:rsidR="00FA3B11" w:rsidRPr="00002AC9">
        <w:rPr>
          <w:rStyle w:val="Hyperlink"/>
        </w:rPr>
        <w:t>https://publications.parliament.uk/pa/cm201719/cmselect/cmworpen/829/829.pdf</w:t>
      </w:r>
      <w:r w:rsidR="000A426F">
        <w:rPr>
          <w:rStyle w:val="Hyperlink"/>
        </w:rPr>
        <w:fldChar w:fldCharType="end"/>
      </w:r>
      <w:bookmarkEnd w:id="31"/>
      <w:r w:rsidR="00FA3B11">
        <w:t xml:space="preserve"> Accessed on: </w:t>
      </w:r>
      <w:r w:rsidR="008347F1">
        <w:t>15.03.22</w:t>
      </w:r>
    </w:p>
  </w:footnote>
  <w:footnote w:id="291">
    <w:p w14:paraId="1C7227FD" w14:textId="3BF4FE78" w:rsidR="00412A77" w:rsidRDefault="00412A77" w:rsidP="00412A77">
      <w:pPr>
        <w:pStyle w:val="FootnoteText"/>
      </w:pPr>
      <w:r>
        <w:rPr>
          <w:rStyle w:val="FootnoteReference"/>
        </w:rPr>
        <w:footnoteRef/>
      </w:r>
      <w:r>
        <w:t xml:space="preserve"> </w:t>
      </w:r>
      <w:r w:rsidRPr="000316C7">
        <w:t xml:space="preserve">Pring, J. (2018) DWP figures on ‘unacceptable’ WCA reports cast doubt on decisions made on tens of thousands of ESA claims [online] Disability News Service. Available at: </w:t>
      </w:r>
      <w:hyperlink r:id="rId144" w:history="1">
        <w:r w:rsidR="008347F1" w:rsidRPr="00A97FBA">
          <w:rPr>
            <w:rStyle w:val="Hyperlink"/>
          </w:rPr>
          <w:t>https://www.disabilitynewsservice.com/dwp-figures-on-unacceptable-wca-reports-cast-doubt-on-decisions-made-on-tens-of-thousands-of-esa-claims/</w:t>
        </w:r>
      </w:hyperlink>
      <w:r w:rsidR="008347F1">
        <w:t xml:space="preserve">. </w:t>
      </w:r>
      <w:r w:rsidR="00FA3B11">
        <w:t xml:space="preserve">Accessed on: </w:t>
      </w:r>
      <w:r w:rsidR="008347F1">
        <w:t>15.03.22</w:t>
      </w:r>
    </w:p>
  </w:footnote>
  <w:footnote w:id="292">
    <w:p w14:paraId="6274CC6E" w14:textId="6593DB39" w:rsidR="00412A77" w:rsidRDefault="00412A77" w:rsidP="00412A77">
      <w:pPr>
        <w:pStyle w:val="FootnoteText"/>
      </w:pPr>
      <w:r>
        <w:rPr>
          <w:rStyle w:val="FootnoteReference"/>
        </w:rPr>
        <w:footnoteRef/>
      </w:r>
      <w:r>
        <w:t xml:space="preserve"> </w:t>
      </w:r>
      <w:r w:rsidRPr="00447014">
        <w:t xml:space="preserve">MoJ, (2019). </w:t>
      </w:r>
      <w:r w:rsidRPr="00D12DCB">
        <w:rPr>
          <w:i/>
          <w:iCs/>
        </w:rPr>
        <w:t>Tribunal Statistics Quarterly, April to June 2019 (Provisional).</w:t>
      </w:r>
      <w:r w:rsidRPr="00447014">
        <w:t xml:space="preserve"> [online]. Available at: </w:t>
      </w:r>
      <w:hyperlink r:id="rId145" w:history="1">
        <w:r w:rsidR="000A2B08" w:rsidRPr="00A97FBA">
          <w:rPr>
            <w:rStyle w:val="Hyperlink"/>
          </w:rPr>
          <w:t>https://assets.publishing.service.gov.uk/government/uploads/system/uploads/attachment_data/file/830965/Tribunal_and_GRC_statistics_Q1_201920.pdf</w:t>
        </w:r>
      </w:hyperlink>
      <w:r w:rsidR="000A2B08">
        <w:t xml:space="preserve">. </w:t>
      </w:r>
      <w:r w:rsidR="000A2B08" w:rsidRPr="0009464B">
        <w:t>Accessed on: 15.03.22</w:t>
      </w:r>
    </w:p>
  </w:footnote>
  <w:footnote w:id="293">
    <w:p w14:paraId="41A0B432" w14:textId="24F81871" w:rsidR="005F7687" w:rsidRDefault="005F7687">
      <w:pPr>
        <w:pStyle w:val="FootnoteText"/>
      </w:pPr>
      <w:r>
        <w:rPr>
          <w:rStyle w:val="FootnoteReference"/>
        </w:rPr>
        <w:footnoteRef/>
      </w:r>
      <w:r>
        <w:t xml:space="preserve"> p.</w:t>
      </w:r>
      <w:fldSimple w:instr=" PAGEREF Appendix8 ">
        <w:r w:rsidR="00582C57">
          <w:rPr>
            <w:noProof/>
          </w:rPr>
          <w:t>140</w:t>
        </w:r>
      </w:fldSimple>
    </w:p>
  </w:footnote>
  <w:footnote w:id="294">
    <w:p w14:paraId="4EB0DFD5" w14:textId="5426654B" w:rsidR="00DD00B5" w:rsidRDefault="00DD00B5">
      <w:pPr>
        <w:pStyle w:val="FootnoteText"/>
      </w:pPr>
      <w:r>
        <w:rPr>
          <w:rStyle w:val="FootnoteReference"/>
        </w:rPr>
        <w:footnoteRef/>
      </w:r>
      <w:r>
        <w:t xml:space="preserve"> </w:t>
      </w:r>
      <w:r w:rsidR="00EF6430">
        <w:t xml:space="preserve">Between 2013 and 2018, only 11% of MRs for ESA over-turned the original decision whereas at </w:t>
      </w:r>
      <w:r w:rsidR="00EF6430">
        <w:t>Appeal 60% of decisions were over-turned; for PIP the figure was 19% over-turned at MR and 63% at Appeal. WCA 2018a p.7.</w:t>
      </w:r>
    </w:p>
  </w:footnote>
  <w:footnote w:id="295">
    <w:p w14:paraId="7F2F8FA2" w14:textId="77777777" w:rsidR="00EF6430" w:rsidRDefault="00D222CB" w:rsidP="00EF6430">
      <w:pPr>
        <w:pStyle w:val="FootnoteText"/>
      </w:pPr>
      <w:r w:rsidRPr="00EF6430">
        <w:rPr>
          <w:rStyle w:val="FootnoteReference"/>
        </w:rPr>
        <w:footnoteRef/>
      </w:r>
      <w:r w:rsidRPr="00EF6430">
        <w:t xml:space="preserve"> </w:t>
      </w:r>
      <w:r w:rsidR="00EF6430" w:rsidRPr="00EF6430">
        <w:rPr>
          <w:i/>
          <w:iCs/>
        </w:rPr>
        <w:t>Connor</w:t>
      </w:r>
      <w:r w:rsidR="00EF6430" w:rsidRPr="0009464B">
        <w:rPr>
          <w:i/>
          <w:iCs/>
        </w:rPr>
        <w:t xml:space="preserve">, R (On the Application Of) v The Secretary of State for Work </w:t>
      </w:r>
      <w:r w:rsidR="00EF6430" w:rsidRPr="0009464B">
        <w:rPr>
          <w:i/>
          <w:iCs/>
        </w:rPr>
        <w:t>And Pensions</w:t>
      </w:r>
      <w:r w:rsidR="00EF6430" w:rsidRPr="0009464B">
        <w:t xml:space="preserve"> [2020] EWHC 1999 (Admin) Available at: </w:t>
      </w:r>
      <w:hyperlink r:id="rId146" w:history="1">
        <w:r w:rsidR="00EF6430" w:rsidRPr="0009464B">
          <w:rPr>
            <w:rStyle w:val="Hyperlink"/>
          </w:rPr>
          <w:t>https://www.bailii.org/ew/cases/EWHC/Admin/2020/1999.html</w:t>
        </w:r>
      </w:hyperlink>
      <w:r w:rsidR="00EF6430" w:rsidRPr="0009464B">
        <w:t xml:space="preserve"> Accessed on: 15.03.22</w:t>
      </w:r>
    </w:p>
    <w:p w14:paraId="4116AE07" w14:textId="21293CA4" w:rsidR="00D222CB" w:rsidRDefault="00EF6430">
      <w:pPr>
        <w:pStyle w:val="FootnoteText"/>
      </w:pPr>
      <w:r>
        <w:t xml:space="preserve">For an explanation of what the judgement means and who it applies to, see: Disability Rights UK (2020). </w:t>
      </w:r>
      <w:r w:rsidRPr="0009464B">
        <w:t>High Court rules mandatory reconsideration requirement for ESA claimants unlawful</w:t>
      </w:r>
      <w:r>
        <w:t xml:space="preserve">. </w:t>
      </w:r>
      <w:r>
        <w:rPr>
          <w:i/>
          <w:iCs/>
        </w:rPr>
        <w:t>Disabilityrightsuk.org</w:t>
      </w:r>
      <w:r>
        <w:t xml:space="preserve">, [online] 11 August. Available at: </w:t>
      </w:r>
      <w:hyperlink r:id="rId147" w:history="1">
        <w:r w:rsidRPr="00953FC3">
          <w:rPr>
            <w:rStyle w:val="Hyperlink"/>
          </w:rPr>
          <w:t>https://www.disabilityrightsuk.org/news/2020/august/high-court-rules-mandatory-reconsideration-requirement-esa-claimants-unlawful</w:t>
        </w:r>
      </w:hyperlink>
      <w:r>
        <w:t xml:space="preserve"> Accessed on: 15.03.22</w:t>
      </w:r>
    </w:p>
  </w:footnote>
  <w:footnote w:id="296">
    <w:p w14:paraId="0F2E4FB4" w14:textId="74A25C8F" w:rsidR="00412A77" w:rsidRDefault="00412A77" w:rsidP="00412A77">
      <w:pPr>
        <w:pStyle w:val="FootnoteText"/>
      </w:pPr>
      <w:r>
        <w:rPr>
          <w:rStyle w:val="FootnoteReference"/>
        </w:rPr>
        <w:footnoteRef/>
      </w:r>
      <w:r>
        <w:t xml:space="preserve"> </w:t>
      </w:r>
      <w:r w:rsidR="004057D9">
        <w:t xml:space="preserve">Field, F. (2019). Letter to Sarah Newton, Minister for Disabled People, 11 January. Available at:  </w:t>
      </w:r>
      <w:hyperlink r:id="rId148" w:history="1">
        <w:r w:rsidR="004057D9" w:rsidRPr="002A3E64">
          <w:rPr>
            <w:rStyle w:val="Hyperlink"/>
          </w:rPr>
          <w:t>https://old.parliament.uk/documents/commons-committees/work-and-pensions/FF-SN-ESA-GP-letters-17-19.pdf</w:t>
        </w:r>
      </w:hyperlink>
      <w:r w:rsidR="004057D9">
        <w:t xml:space="preserve"> Accessed on: </w:t>
      </w:r>
      <w:r w:rsidR="00B45975" w:rsidRPr="0009464B">
        <w:t>15.03.22</w:t>
      </w:r>
    </w:p>
  </w:footnote>
  <w:footnote w:id="297">
    <w:p w14:paraId="3581A5AA" w14:textId="71D1485F" w:rsidR="004057D9" w:rsidRPr="001503DE" w:rsidRDefault="00DD00B5" w:rsidP="004057D9">
      <w:pPr>
        <w:pStyle w:val="FootnoteText"/>
        <w:rPr>
          <w:i/>
          <w:iCs/>
        </w:rPr>
      </w:pPr>
      <w:r w:rsidRPr="001503DE">
        <w:rPr>
          <w:rStyle w:val="FootnoteReference"/>
        </w:rPr>
        <w:footnoteRef/>
      </w:r>
      <w:r w:rsidRPr="001503DE">
        <w:t xml:space="preserve"> </w:t>
      </w:r>
      <w:r w:rsidR="004057D9" w:rsidRPr="001503DE">
        <w:t xml:space="preserve">WPC (2020). </w:t>
      </w:r>
      <w:r w:rsidR="004057D9" w:rsidRPr="001503DE">
        <w:rPr>
          <w:i/>
          <w:iCs/>
        </w:rPr>
        <w:t xml:space="preserve">Oral evidence: DWP’s response to the coronavirus </w:t>
      </w:r>
    </w:p>
    <w:p w14:paraId="4F67A562" w14:textId="248EC71D" w:rsidR="00DD00B5" w:rsidRDefault="004057D9" w:rsidP="004057D9">
      <w:pPr>
        <w:pStyle w:val="FootnoteText"/>
      </w:pPr>
      <w:r w:rsidRPr="001503DE">
        <w:rPr>
          <w:i/>
          <w:iCs/>
        </w:rPr>
        <w:t>Outbreak</w:t>
      </w:r>
      <w:r w:rsidRPr="001503DE">
        <w:t xml:space="preserve">. HC 178, [online] 30 September, Q230. Available at: </w:t>
      </w:r>
      <w:hyperlink r:id="rId149" w:history="1">
        <w:r w:rsidRPr="001503DE">
          <w:rPr>
            <w:rStyle w:val="Hyperlink"/>
          </w:rPr>
          <w:t>https://committees.parliament.uk/oralevidence/963/default/</w:t>
        </w:r>
      </w:hyperlink>
      <w:r w:rsidR="00DD00B5" w:rsidRPr="001503DE">
        <w:t xml:space="preserve"> </w:t>
      </w:r>
      <w:r w:rsidRPr="001503DE">
        <w:t>Accessed</w:t>
      </w:r>
      <w:r>
        <w:t xml:space="preserve"> on: </w:t>
      </w:r>
      <w:r w:rsidR="00B45975" w:rsidRPr="0009464B">
        <w:t>15.03.22</w:t>
      </w:r>
    </w:p>
  </w:footnote>
  <w:footnote w:id="298">
    <w:p w14:paraId="56407784" w14:textId="0E53BC88" w:rsidR="00DD00B5" w:rsidRDefault="00DD00B5" w:rsidP="00DD00B5">
      <w:pPr>
        <w:pStyle w:val="FootnoteText"/>
      </w:pPr>
      <w:r w:rsidRPr="001503DE">
        <w:rPr>
          <w:rStyle w:val="FootnoteReference"/>
        </w:rPr>
        <w:footnoteRef/>
      </w:r>
      <w:r w:rsidRPr="001503DE">
        <w:t xml:space="preserve"> </w:t>
      </w:r>
      <w:r w:rsidR="001503DE" w:rsidRPr="001503DE">
        <w:t xml:space="preserve">UK Parliament (2021). </w:t>
      </w:r>
      <w:r w:rsidR="001503DE" w:rsidRPr="001503DE">
        <w:rPr>
          <w:i/>
          <w:iCs/>
        </w:rPr>
        <w:t>Disabled people’s experiences of the benefits system: Work and Pensions Secretary given ‘final chance’ to publish report</w:t>
      </w:r>
      <w:r w:rsidR="001503DE" w:rsidRPr="001503DE">
        <w:t xml:space="preserve">. [press release] 16 December. Available on: </w:t>
      </w:r>
      <w:hyperlink r:id="rId150" w:history="1">
        <w:r w:rsidR="001503DE" w:rsidRPr="001503DE">
          <w:rPr>
            <w:rStyle w:val="Hyperlink"/>
          </w:rPr>
          <w:t>https://committees.parliament.uk/committee/164/work-and-pensions-committee/news/159956/disabled-peoples-experiences-of-the-benefits-system-work-and-pensions-secretary-given-final-chance-to-publish-report/</w:t>
        </w:r>
      </w:hyperlink>
      <w:r w:rsidR="001503DE">
        <w:t xml:space="preserve"> Accessed on: </w:t>
      </w:r>
      <w:r w:rsidR="00B45975" w:rsidRPr="0009464B">
        <w:t>15.03.22</w:t>
      </w:r>
    </w:p>
  </w:footnote>
  <w:footnote w:id="299">
    <w:p w14:paraId="4185CC92" w14:textId="36731BBB" w:rsidR="00E61650" w:rsidRPr="00A34C88" w:rsidRDefault="00E61650" w:rsidP="00E61650">
      <w:pPr>
        <w:pStyle w:val="FootnoteText"/>
        <w:rPr>
          <w:highlight w:val="yellow"/>
        </w:rPr>
      </w:pPr>
      <w:r>
        <w:rPr>
          <w:rStyle w:val="FootnoteReference"/>
        </w:rPr>
        <w:footnoteRef/>
      </w:r>
      <w:r>
        <w:t xml:space="preserve"> </w:t>
      </w:r>
      <w:r w:rsidRPr="00D77E7C">
        <w:t xml:space="preserve">Smallman, E. (2021). The truth about disability benefits: ‘People are killing themselves because of this system’. </w:t>
      </w:r>
      <w:r w:rsidRPr="00D77E7C">
        <w:rPr>
          <w:i/>
          <w:iCs/>
        </w:rPr>
        <w:t>iNews</w:t>
      </w:r>
      <w:r w:rsidRPr="00D77E7C">
        <w:t xml:space="preserve">, [online] 16 December. Available at: </w:t>
      </w:r>
      <w:hyperlink r:id="rId151" w:history="1">
        <w:r w:rsidRPr="00D77E7C">
          <w:rPr>
            <w:rStyle w:val="Hyperlink"/>
          </w:rPr>
          <w:t>https://inews.co.uk/news/long-reads/the-truth-about-disability-benefits-people-killing-themselves-system-1353558</w:t>
        </w:r>
      </w:hyperlink>
      <w:r w:rsidRPr="00D77E7C">
        <w:t xml:space="preserve"> Accessed on: </w:t>
      </w:r>
      <w:r w:rsidR="00B45975" w:rsidRPr="0009464B">
        <w:t>15.03.22</w:t>
      </w:r>
    </w:p>
  </w:footnote>
  <w:footnote w:id="300">
    <w:p w14:paraId="4505DEF9" w14:textId="77777777" w:rsidR="00E61650" w:rsidRPr="001B6B3C" w:rsidRDefault="00E61650" w:rsidP="00E61650">
      <w:pPr>
        <w:pStyle w:val="FootnoteText"/>
        <w:rPr>
          <w:highlight w:val="yellow"/>
        </w:rPr>
      </w:pPr>
      <w:r>
        <w:rPr>
          <w:rStyle w:val="FootnoteReference"/>
        </w:rPr>
        <w:footnoteRef/>
      </w:r>
      <w:r>
        <w:t xml:space="preserve"> </w:t>
      </w:r>
      <w:r w:rsidRPr="000827A5">
        <w:t>Smallman 2021</w:t>
      </w:r>
    </w:p>
  </w:footnote>
  <w:footnote w:id="301">
    <w:p w14:paraId="7B991CC5" w14:textId="509210A7" w:rsidR="001503DE" w:rsidRPr="001503DE" w:rsidRDefault="00412A77" w:rsidP="001503DE">
      <w:pPr>
        <w:pStyle w:val="FootnoteText"/>
        <w:rPr>
          <w:i/>
          <w:iCs/>
        </w:rPr>
      </w:pPr>
      <w:r w:rsidRPr="001503DE">
        <w:rPr>
          <w:rStyle w:val="FootnoteReference"/>
        </w:rPr>
        <w:footnoteRef/>
      </w:r>
      <w:r w:rsidRPr="001503DE">
        <w:t xml:space="preserve"> </w:t>
      </w:r>
      <w:r w:rsidR="001503DE" w:rsidRPr="001503DE">
        <w:t xml:space="preserve">Clow, G. (2021). </w:t>
      </w:r>
      <w:r w:rsidR="001503DE" w:rsidRPr="001503DE">
        <w:rPr>
          <w:i/>
          <w:iCs/>
        </w:rPr>
        <w:t xml:space="preserve">Regulation 28: REPORT TO PREVENT FUTURE DEATHS </w:t>
      </w:r>
    </w:p>
    <w:p w14:paraId="6A192A72" w14:textId="1C28E026" w:rsidR="00412A77" w:rsidRPr="003613A7" w:rsidRDefault="001503DE" w:rsidP="00412A77">
      <w:pPr>
        <w:pStyle w:val="FootnoteText"/>
        <w:rPr>
          <w:highlight w:val="yellow"/>
        </w:rPr>
      </w:pPr>
      <w:r w:rsidRPr="001503DE">
        <w:rPr>
          <w:i/>
          <w:iCs/>
        </w:rPr>
        <w:t>Philippa Jane Louise Day (died 16 October 2019).</w:t>
      </w:r>
      <w:r>
        <w:t xml:space="preserve"> [online] 12 February. Available at: </w:t>
      </w:r>
      <w:r w:rsidR="00412A77" w:rsidRPr="003613A7">
        <w:rPr>
          <w:highlight w:val="yellow"/>
        </w:rPr>
        <w:t xml:space="preserve"> </w:t>
      </w:r>
      <w:hyperlink r:id="rId152" w:history="1">
        <w:r w:rsidR="00412A77" w:rsidRPr="00B45975">
          <w:rPr>
            <w:rStyle w:val="Hyperlink"/>
          </w:rPr>
          <w:t>https://www.judiciary.uk/wp-content/uploads/2021/02/Phillipa-Day-2021-0043.pdf</w:t>
        </w:r>
      </w:hyperlink>
      <w:r w:rsidRPr="00B45975">
        <w:rPr>
          <w:rStyle w:val="Hyperlink"/>
        </w:rPr>
        <w:t xml:space="preserve"> </w:t>
      </w:r>
      <w:r w:rsidRPr="00B45975">
        <w:rPr>
          <w:rStyle w:val="Hyperlink"/>
          <w:color w:val="auto"/>
          <w:u w:val="none"/>
        </w:rPr>
        <w:t xml:space="preserve">Accessed on: </w:t>
      </w:r>
      <w:r w:rsidR="00B45975" w:rsidRPr="00B45975">
        <w:t>15.03.22</w:t>
      </w:r>
      <w:r w:rsidR="00412A77" w:rsidRPr="00B45975">
        <w:t xml:space="preserve">;  </w:t>
      </w:r>
      <w:r w:rsidRPr="00B45975">
        <w:t>Leigh</w:t>
      </w:r>
      <w:r w:rsidRPr="001503DE">
        <w:t xml:space="preserve"> Day (2021). </w:t>
      </w:r>
      <w:r w:rsidRPr="001503DE">
        <w:rPr>
          <w:i/>
          <w:iCs/>
        </w:rPr>
        <w:t>Conclusion of inquest into death of Philippa Day.</w:t>
      </w:r>
      <w:r w:rsidRPr="001503DE">
        <w:t xml:space="preserve"> [press release] 27 January. Available at: </w:t>
      </w:r>
      <w:hyperlink r:id="rId153" w:history="1">
        <w:r w:rsidRPr="001503DE">
          <w:rPr>
            <w:rStyle w:val="Hyperlink"/>
          </w:rPr>
          <w:t>https://www.leighday.co.uk/latest-updates/news/2021-news/conclusion-of-inquest-into-death-of-philippa-day/</w:t>
        </w:r>
      </w:hyperlink>
      <w:r w:rsidRPr="001503DE">
        <w:t xml:space="preserve"> Accessed on: </w:t>
      </w:r>
      <w:r w:rsidR="00B45975" w:rsidRPr="0009464B">
        <w:t>15.03.22</w:t>
      </w:r>
    </w:p>
  </w:footnote>
  <w:footnote w:id="302">
    <w:p w14:paraId="627E49AE" w14:textId="196C5C98" w:rsidR="00412A77" w:rsidRDefault="00412A77" w:rsidP="00412A77">
      <w:pPr>
        <w:pStyle w:val="FootnoteText"/>
      </w:pPr>
      <w:r w:rsidRPr="00D77E7C">
        <w:rPr>
          <w:rStyle w:val="FootnoteReference"/>
        </w:rPr>
        <w:footnoteRef/>
      </w:r>
      <w:r w:rsidRPr="00D77E7C">
        <w:t xml:space="preserve"> </w:t>
      </w:r>
      <w:r w:rsidR="00D77E7C" w:rsidRPr="00D77E7C">
        <w:t xml:space="preserve">Hayes, S. (2021). </w:t>
      </w:r>
      <w:r w:rsidR="00D77E7C" w:rsidRPr="00D77E7C">
        <w:rPr>
          <w:i/>
          <w:iCs/>
        </w:rPr>
        <w:t>ANNEX A</w:t>
      </w:r>
      <w:r w:rsidR="0046390E">
        <w:rPr>
          <w:i/>
          <w:iCs/>
        </w:rPr>
        <w:t xml:space="preserve"> – </w:t>
      </w:r>
      <w:r w:rsidR="00D77E7C" w:rsidRPr="00D77E7C">
        <w:rPr>
          <w:i/>
          <w:iCs/>
        </w:rPr>
        <w:t>REGULATION 28: REPORT TO PREVENT FUTURE DEATHS (1)</w:t>
      </w:r>
      <w:r w:rsidR="00D77E7C" w:rsidRPr="00D77E7C">
        <w:t xml:space="preserve">. [online] 3 December. Available at: </w:t>
      </w:r>
      <w:hyperlink r:id="rId154" w:history="1">
        <w:r w:rsidR="00D77E7C" w:rsidRPr="00D77E7C">
          <w:rPr>
            <w:rStyle w:val="Hyperlink"/>
          </w:rPr>
          <w:t>https://www.judiciary.uk/wp-content/uploads/2021/12/Terence-Talbot-Prevention-of-future-deaths-report-2021-0419_Published.pdf</w:t>
        </w:r>
      </w:hyperlink>
      <w:r w:rsidR="00D77E7C">
        <w:t xml:space="preserve"> Accessed on: </w:t>
      </w:r>
      <w:r w:rsidR="00B45975" w:rsidRPr="0009464B">
        <w:t>15.03.22</w:t>
      </w:r>
    </w:p>
  </w:footnote>
  <w:footnote w:id="303">
    <w:p w14:paraId="54217E51" w14:textId="54B131A3" w:rsidR="001B6B3C" w:rsidRDefault="00DD00B5" w:rsidP="00DD00B5">
      <w:pPr>
        <w:pStyle w:val="FootnoteText"/>
      </w:pPr>
      <w:r>
        <w:rPr>
          <w:rStyle w:val="FootnoteReference"/>
        </w:rPr>
        <w:footnoteRef/>
      </w:r>
      <w:r>
        <w:t xml:space="preserve"> Express and Star (2021). </w:t>
      </w:r>
      <w:r w:rsidRPr="003613A7">
        <w:t>Bereaved families call for public inquiry into deaths of benefits claimants</w:t>
      </w:r>
      <w:r>
        <w:t xml:space="preserve">. </w:t>
      </w:r>
      <w:r w:rsidRPr="003613A7">
        <w:rPr>
          <w:i/>
          <w:iCs/>
        </w:rPr>
        <w:t>expressandstar.com</w:t>
      </w:r>
      <w:r>
        <w:t xml:space="preserve">, 20 July. Available at: </w:t>
      </w:r>
      <w:hyperlink r:id="rId155" w:history="1">
        <w:r w:rsidR="001B6B3C" w:rsidRPr="00002AC9">
          <w:rPr>
            <w:rStyle w:val="Hyperlink"/>
          </w:rPr>
          <w:t>https://www.expressandstar.com/news/uk-news/2021/07/20/bereaved-families-call-for-public-inquiry-into-deaths-of-benefits-claimants/</w:t>
        </w:r>
      </w:hyperlink>
      <w:r w:rsidR="001B6B3C">
        <w:t xml:space="preserve"> Accessed on: </w:t>
      </w:r>
      <w:r w:rsidR="00B45975" w:rsidRPr="0009464B">
        <w:t>15.03.22</w:t>
      </w:r>
    </w:p>
  </w:footnote>
  <w:footnote w:id="304">
    <w:p w14:paraId="3BF131D7" w14:textId="4839133B" w:rsidR="00DD00B5" w:rsidRDefault="00DD00B5" w:rsidP="00DD00B5">
      <w:pPr>
        <w:pStyle w:val="FootnoteText"/>
      </w:pPr>
      <w:r>
        <w:rPr>
          <w:rStyle w:val="FootnoteReference"/>
        </w:rPr>
        <w:footnoteRef/>
      </w:r>
      <w:r>
        <w:t xml:space="preserve"> </w:t>
      </w:r>
      <w:r w:rsidR="00D91300">
        <w:t>p</w:t>
      </w:r>
      <w:r w:rsidR="002201ED">
        <w:t>.</w:t>
      </w:r>
      <w:fldSimple w:instr=" PAGEREF Appendix6 ">
        <w:r w:rsidR="002201ED">
          <w:rPr>
            <w:noProof/>
          </w:rPr>
          <w:t>134</w:t>
        </w:r>
      </w:fldSimple>
    </w:p>
  </w:footnote>
  <w:footnote w:id="305">
    <w:p w14:paraId="4F3BE161" w14:textId="61B4D4A2" w:rsidR="004B176E" w:rsidRPr="001B6B3C" w:rsidRDefault="004B176E" w:rsidP="00B82627">
      <w:pPr>
        <w:pStyle w:val="FootnoteText"/>
        <w:rPr>
          <w:highlight w:val="yellow"/>
        </w:rPr>
      </w:pPr>
      <w:r w:rsidRPr="00B82627">
        <w:rPr>
          <w:rStyle w:val="FootnoteReference"/>
        </w:rPr>
        <w:footnoteRef/>
      </w:r>
      <w:r w:rsidRPr="00B82627">
        <w:t xml:space="preserve"> </w:t>
      </w:r>
      <w:r w:rsidR="000827A5" w:rsidRPr="00B82627">
        <w:t>APPG for Terminal Illness</w:t>
      </w:r>
      <w:r w:rsidR="00B82627" w:rsidRPr="00B82627">
        <w:t xml:space="preserve"> (2019). </w:t>
      </w:r>
      <w:r w:rsidR="00B82627" w:rsidRPr="00B82627">
        <w:rPr>
          <w:i/>
          <w:iCs/>
        </w:rPr>
        <w:t xml:space="preserve">Six Months </w:t>
      </w:r>
      <w:r w:rsidR="00B82627" w:rsidRPr="00B82627">
        <w:rPr>
          <w:i/>
          <w:iCs/>
        </w:rPr>
        <w:t>To Live?</w:t>
      </w:r>
      <w:r w:rsidR="00B82627" w:rsidRPr="00B82627">
        <w:t xml:space="preserve"> [online] Available at: </w:t>
      </w:r>
      <w:hyperlink r:id="rId156" w:history="1">
        <w:r w:rsidR="00B82627" w:rsidRPr="00B82627">
          <w:rPr>
            <w:rStyle w:val="Hyperlink"/>
          </w:rPr>
          <w:t>https://www.mariecurie.org.uk/globalassets/media/documents/policy/appg/all-party-parliamentary-group-for-terminal-illness-report-2019.pdf</w:t>
        </w:r>
      </w:hyperlink>
      <w:r w:rsidR="00B82627" w:rsidRPr="00B82627">
        <w:t xml:space="preserve"> Accessed on: </w:t>
      </w:r>
      <w:r w:rsidR="00B45975" w:rsidRPr="0009464B">
        <w:t>15.03.22</w:t>
      </w:r>
    </w:p>
  </w:footnote>
  <w:footnote w:id="306">
    <w:p w14:paraId="761BD4B5" w14:textId="0B6558D0" w:rsidR="001B6B3C" w:rsidRDefault="001B6B3C">
      <w:pPr>
        <w:pStyle w:val="FootnoteText"/>
      </w:pPr>
      <w:r w:rsidRPr="00B45975">
        <w:rPr>
          <w:rStyle w:val="FootnoteReference"/>
        </w:rPr>
        <w:footnoteRef/>
      </w:r>
      <w:r w:rsidRPr="00B45975">
        <w:t xml:space="preserve"> </w:t>
      </w:r>
      <w:r w:rsidR="00B45975" w:rsidRPr="00B45975">
        <w:t>HM</w:t>
      </w:r>
      <w:r w:rsidR="00B45975" w:rsidRPr="006C7BDC">
        <w:t xml:space="preserve"> Treasury (2021). </w:t>
      </w:r>
      <w:r w:rsidR="00B45975" w:rsidRPr="006C7BDC">
        <w:rPr>
          <w:i/>
          <w:iCs/>
        </w:rPr>
        <w:t xml:space="preserve">Autumn Budget and Spending Review 2021: Policy </w:t>
      </w:r>
      <w:r w:rsidR="00B45975" w:rsidRPr="006C7BDC">
        <w:rPr>
          <w:i/>
          <w:iCs/>
        </w:rPr>
        <w:t>Costings</w:t>
      </w:r>
      <w:r w:rsidR="00B45975" w:rsidRPr="006C7BDC">
        <w:t>.[online] October, p.54. Available at:</w:t>
      </w:r>
      <w:r w:rsidR="00B45975">
        <w:t xml:space="preserve"> </w:t>
      </w:r>
      <w:hyperlink r:id="rId157" w:history="1">
        <w:r w:rsidR="00B45975" w:rsidRPr="00953FC3">
          <w:rPr>
            <w:rStyle w:val="Hyperlink"/>
          </w:rPr>
          <w:t>https://assets.publishing.service.gov.uk/government/uploads/system/uploads/attachment_data/file/1029980/Policy_Costings_Document_FINAL.pdf</w:t>
        </w:r>
      </w:hyperlink>
      <w:r w:rsidR="00B45975">
        <w:t xml:space="preserve"> Accessed on: 15.03.22</w:t>
      </w:r>
    </w:p>
  </w:footnote>
  <w:footnote w:id="307">
    <w:p w14:paraId="4E3FF7A9" w14:textId="280DC7C3" w:rsidR="004B176E" w:rsidRPr="00B82627" w:rsidRDefault="004B176E" w:rsidP="004B176E">
      <w:pPr>
        <w:pStyle w:val="FootnoteText"/>
      </w:pPr>
      <w:r w:rsidRPr="00B82627">
        <w:rPr>
          <w:rStyle w:val="FootnoteReference"/>
        </w:rPr>
        <w:footnoteRef/>
      </w:r>
      <w:r w:rsidRPr="00B82627">
        <w:t xml:space="preserve"> </w:t>
      </w:r>
      <w:r w:rsidR="00B82627" w:rsidRPr="00B82627">
        <w:t>DWP 2021</w:t>
      </w:r>
    </w:p>
  </w:footnote>
  <w:footnote w:id="308">
    <w:p w14:paraId="38557838" w14:textId="2D059AF1" w:rsidR="00941F7B" w:rsidRDefault="00941F7B" w:rsidP="00941F7B">
      <w:pPr>
        <w:pStyle w:val="FootnoteText"/>
      </w:pPr>
      <w:r w:rsidRPr="00B82627">
        <w:rPr>
          <w:rStyle w:val="FootnoteReference"/>
        </w:rPr>
        <w:footnoteRef/>
      </w:r>
      <w:r w:rsidRPr="00B82627">
        <w:t xml:space="preserve"> </w:t>
      </w:r>
      <w:r w:rsidR="00B82627" w:rsidRPr="00B82627">
        <w:t>DWP 2021, p.37;</w:t>
      </w:r>
      <w:r w:rsidR="00B45975">
        <w:t xml:space="preserve"> </w:t>
      </w:r>
      <w:r w:rsidR="00B82627" w:rsidRPr="00B82627">
        <w:t>p.56;</w:t>
      </w:r>
      <w:r w:rsidR="00B45975">
        <w:t xml:space="preserve"> </w:t>
      </w:r>
      <w:r w:rsidR="00B82627" w:rsidRPr="00B82627">
        <w:t>p.57;</w:t>
      </w:r>
      <w:r w:rsidR="00B45975">
        <w:t xml:space="preserve"> </w:t>
      </w:r>
      <w:r w:rsidR="00B82627" w:rsidRPr="00B82627">
        <w:t>p.61;</w:t>
      </w:r>
      <w:r w:rsidR="00B45975">
        <w:t xml:space="preserve"> </w:t>
      </w:r>
      <w:r w:rsidR="00B82627" w:rsidRPr="00B82627">
        <w:t>p.67.</w:t>
      </w:r>
    </w:p>
  </w:footnote>
  <w:footnote w:id="309">
    <w:p w14:paraId="76E09F6D" w14:textId="7F793A63" w:rsidR="009037D2" w:rsidRDefault="009037D2">
      <w:pPr>
        <w:pStyle w:val="FootnoteText"/>
      </w:pPr>
      <w:r>
        <w:rPr>
          <w:rStyle w:val="FootnoteReference"/>
        </w:rPr>
        <w:footnoteRef/>
      </w:r>
      <w:r w:rsidR="00B45975">
        <w:t xml:space="preserve"> </w:t>
      </w:r>
      <w:r>
        <w:t>As below – p.</w:t>
      </w:r>
      <w:fldSimple w:instr=" PAGEREF judicialreview ">
        <w:r w:rsidR="00DB6508">
          <w:rPr>
            <w:noProof/>
          </w:rPr>
          <w:t>65</w:t>
        </w:r>
      </w:fldSimple>
    </w:p>
  </w:footnote>
  <w:footnote w:id="310">
    <w:p w14:paraId="307D3720" w14:textId="28603483" w:rsidR="00FA1A2D" w:rsidRPr="001B6B3C" w:rsidRDefault="00FA1A2D" w:rsidP="00FA1A2D">
      <w:pPr>
        <w:pStyle w:val="FootnoteText"/>
      </w:pPr>
      <w:r w:rsidRPr="002D3A5A">
        <w:rPr>
          <w:rStyle w:val="FootnoteReference"/>
        </w:rPr>
        <w:footnoteRef/>
      </w:r>
      <w:r w:rsidRPr="002D3A5A">
        <w:t xml:space="preserve"> </w:t>
      </w:r>
      <w:r w:rsidR="001B6B3C">
        <w:t xml:space="preserve">For confirmation of the role of the BPS model within welfare reform see comments to Parliament made by Lord Freud. </w:t>
      </w:r>
      <w:r>
        <w:t>Hansard HL Debate,17 January 2012</w:t>
      </w:r>
      <w:r w:rsidR="001B6B3C">
        <w:t xml:space="preserve">, col. </w:t>
      </w:r>
      <w:r>
        <w:t xml:space="preserve">496. Available at:  </w:t>
      </w:r>
      <w:hyperlink r:id="rId158" w:history="1">
        <w:r w:rsidRPr="00321F14">
          <w:rPr>
            <w:rStyle w:val="Hyperlink"/>
          </w:rPr>
          <w:t>https://hansard.parliament.uk/lords/2012-01-17/debates/12011740000437/WelfareReformBill</w:t>
        </w:r>
      </w:hyperlink>
      <w:r w:rsidR="001B6B3C">
        <w:rPr>
          <w:rStyle w:val="Hyperlink"/>
          <w:u w:val="none"/>
        </w:rPr>
        <w:t xml:space="preserve"> </w:t>
      </w:r>
      <w:r w:rsidR="001B6B3C">
        <w:rPr>
          <w:rStyle w:val="Hyperlink"/>
          <w:color w:val="auto"/>
          <w:u w:val="none"/>
        </w:rPr>
        <w:t xml:space="preserve">Accessed on: </w:t>
      </w:r>
      <w:r w:rsidR="00B45975">
        <w:t>15.03.22</w:t>
      </w:r>
    </w:p>
    <w:p w14:paraId="4EB89C7E" w14:textId="2F6EE016" w:rsidR="00FA1A2D" w:rsidRPr="002D3A5A" w:rsidRDefault="00FA1A2D" w:rsidP="00FA1A2D">
      <w:pPr>
        <w:pStyle w:val="FootnoteText"/>
      </w:pPr>
      <w:r>
        <w:t xml:space="preserve">For a good explanation of how the Waddell-Aylward model is contrary to a human rights approach see: </w:t>
      </w:r>
      <w:r w:rsidRPr="003B6A88">
        <w:t xml:space="preserve">Shakespeare, T., Watson, N., &amp; </w:t>
      </w:r>
      <w:r w:rsidRPr="003B6A88">
        <w:t xml:space="preserve">Alghaib, O. A. (2017). Blaming the victim, all over again: Waddell and Aylward’s biopsychosocial (BPS) model of disability. </w:t>
      </w:r>
      <w:r w:rsidRPr="001B6B3C">
        <w:rPr>
          <w:i/>
          <w:iCs/>
        </w:rPr>
        <w:t>Critical Social Policy</w:t>
      </w:r>
      <w:r w:rsidRPr="003B6A88">
        <w:t xml:space="preserve">, vol. 37, no. 1, pp. 22–41. Available at: </w:t>
      </w:r>
      <w:hyperlink r:id="rId159" w:history="1">
        <w:r w:rsidR="00DF3ECA" w:rsidRPr="00A97FBA">
          <w:rPr>
            <w:rStyle w:val="Hyperlink"/>
          </w:rPr>
          <w:t>https://doi.org/10.1177/0261018316649120</w:t>
        </w:r>
      </w:hyperlink>
      <w:r w:rsidR="00DF3ECA">
        <w:t xml:space="preserve">. </w:t>
      </w:r>
    </w:p>
  </w:footnote>
  <w:footnote w:id="311">
    <w:p w14:paraId="2B5FCF1C" w14:textId="26C08B4E" w:rsidR="002811C5" w:rsidRPr="00DF3ECA" w:rsidRDefault="002811C5">
      <w:pPr>
        <w:pStyle w:val="FootnoteText"/>
      </w:pPr>
      <w:r w:rsidRPr="00DF3ECA">
        <w:rPr>
          <w:rStyle w:val="FootnoteReference"/>
        </w:rPr>
        <w:footnoteRef/>
      </w:r>
      <w:r w:rsidRPr="00DF3ECA">
        <w:t xml:space="preserve"> </w:t>
      </w:r>
      <w:r w:rsidR="00DF3ECA" w:rsidRPr="00DF3ECA">
        <w:t xml:space="preserve">National Audit Office (2018). </w:t>
      </w:r>
      <w:r w:rsidR="00DF3ECA" w:rsidRPr="00DF3ECA">
        <w:rPr>
          <w:i/>
          <w:iCs/>
        </w:rPr>
        <w:t>Rolling out Universal Credit</w:t>
      </w:r>
      <w:r w:rsidR="00DF3ECA" w:rsidRPr="00DF3ECA">
        <w:t xml:space="preserve">. HC 1123, 2017–2019, [online] 15 June, p.8. Available at: </w:t>
      </w:r>
      <w:hyperlink r:id="rId160" w:history="1">
        <w:r w:rsidR="00DF3ECA" w:rsidRPr="00DF3ECA">
          <w:rPr>
            <w:rStyle w:val="Hyperlink"/>
          </w:rPr>
          <w:t>https://www.nao.org.uk/wp-content/uploads/2018/06/Rolling-out-Universal-Credit.pdf</w:t>
        </w:r>
      </w:hyperlink>
      <w:r w:rsidR="00DF3ECA" w:rsidRPr="00DF3ECA">
        <w:t xml:space="preserve"> Accessed on: 15.03.22</w:t>
      </w:r>
    </w:p>
  </w:footnote>
  <w:footnote w:id="312">
    <w:p w14:paraId="20CB3DB7" w14:textId="2CEC057F" w:rsidR="002811C5" w:rsidRPr="00DF3ECA" w:rsidRDefault="002811C5">
      <w:pPr>
        <w:pStyle w:val="FootnoteText"/>
      </w:pPr>
      <w:r w:rsidRPr="00DF3ECA">
        <w:rPr>
          <w:rStyle w:val="FootnoteReference"/>
        </w:rPr>
        <w:footnoteRef/>
      </w:r>
      <w:r w:rsidRPr="00DF3ECA">
        <w:t xml:space="preserve"> </w:t>
      </w:r>
      <w:r w:rsidR="00DF3ECA" w:rsidRPr="00DF3ECA">
        <w:t xml:space="preserve">WPC (2019). </w:t>
      </w:r>
      <w:r w:rsidR="00DF3ECA" w:rsidRPr="00DF3ECA">
        <w:rPr>
          <w:i/>
          <w:iCs/>
        </w:rPr>
        <w:t>Universal Credit and “survival sex”.</w:t>
      </w:r>
      <w:r w:rsidR="00DF3ECA" w:rsidRPr="00DF3ECA">
        <w:t xml:space="preserve">  HC 83, [online] 16 October, p.43. Available at: </w:t>
      </w:r>
      <w:hyperlink r:id="rId161" w:history="1">
        <w:r w:rsidR="00DF3ECA" w:rsidRPr="00DF3ECA">
          <w:rPr>
            <w:rStyle w:val="Hyperlink"/>
          </w:rPr>
          <w:t>https://publications.parliament.uk/pa/cm201919/cmselect/cmworpen/83/83.pdf</w:t>
        </w:r>
      </w:hyperlink>
      <w:r w:rsidR="00DF3ECA" w:rsidRPr="00DF3ECA">
        <w:t xml:space="preserve"> Accessed on: 15.03.22</w:t>
      </w:r>
    </w:p>
  </w:footnote>
  <w:footnote w:id="313">
    <w:p w14:paraId="5FC1CF95" w14:textId="1B0BCBB7" w:rsidR="002811C5" w:rsidRPr="00DF3ECA" w:rsidRDefault="002811C5">
      <w:pPr>
        <w:pStyle w:val="FootnoteText"/>
      </w:pPr>
      <w:r w:rsidRPr="00DF3ECA">
        <w:rPr>
          <w:rStyle w:val="FootnoteReference"/>
        </w:rPr>
        <w:footnoteRef/>
      </w:r>
      <w:r w:rsidRPr="00DF3ECA">
        <w:t xml:space="preserve"> </w:t>
      </w:r>
      <w:r w:rsidR="00DF3ECA" w:rsidRPr="00DF3ECA">
        <w:t>Alston 2018, p.5</w:t>
      </w:r>
    </w:p>
  </w:footnote>
  <w:footnote w:id="314">
    <w:p w14:paraId="5E2118FE" w14:textId="4297ACC2" w:rsidR="00E068B8" w:rsidRDefault="00E068B8">
      <w:pPr>
        <w:pStyle w:val="FootnoteText"/>
      </w:pPr>
      <w:r w:rsidRPr="00DF3ECA">
        <w:rPr>
          <w:rStyle w:val="FootnoteReference"/>
        </w:rPr>
        <w:footnoteRef/>
      </w:r>
      <w:r w:rsidRPr="00DF3ECA">
        <w:t xml:space="preserve"> </w:t>
      </w:r>
      <w:r w:rsidR="00DF3ECA" w:rsidRPr="00DF3ECA">
        <w:t>CBCE7</w:t>
      </w:r>
      <w:r w:rsidR="00DF3ECA">
        <w:t>, CBCE16, CBCE27, DDPO28</w:t>
      </w:r>
    </w:p>
  </w:footnote>
  <w:footnote w:id="315">
    <w:p w14:paraId="4455A9AB" w14:textId="77CD482E" w:rsidR="00E068B8" w:rsidRDefault="00E068B8">
      <w:pPr>
        <w:pStyle w:val="FootnoteText"/>
      </w:pPr>
      <w:r w:rsidRPr="001D48E6">
        <w:rPr>
          <w:rStyle w:val="FootnoteReference"/>
        </w:rPr>
        <w:footnoteRef/>
      </w:r>
      <w:r w:rsidRPr="001D48E6">
        <w:t xml:space="preserve"> See p. </w:t>
      </w:r>
      <w:fldSimple w:instr=" PAGEREF Para194 ">
        <w:r w:rsidR="001D48E6" w:rsidRPr="001D48E6">
          <w:rPr>
            <w:noProof/>
          </w:rPr>
          <w:t>88</w:t>
        </w:r>
      </w:fldSimple>
    </w:p>
  </w:footnote>
  <w:footnote w:id="316">
    <w:p w14:paraId="02883C89" w14:textId="1DB63B9F" w:rsidR="00BD18CE" w:rsidRDefault="00BD18CE">
      <w:pPr>
        <w:pStyle w:val="FootnoteText"/>
      </w:pPr>
      <w:r w:rsidRPr="00FF2BE4">
        <w:rPr>
          <w:rStyle w:val="FootnoteReference"/>
        </w:rPr>
        <w:footnoteRef/>
      </w:r>
      <w:r w:rsidRPr="00FF2BE4">
        <w:t xml:space="preserve"> Through rising special school provision as described above</w:t>
      </w:r>
      <w:r w:rsidR="007D2297" w:rsidRPr="00FF2BE4">
        <w:t xml:space="preserve"> p.</w:t>
      </w:r>
      <w:fldSimple w:instr=" PAGEREF specialschoolprovision ">
        <w:r w:rsidR="00FF2BE4" w:rsidRPr="00FF2BE4">
          <w:rPr>
            <w:noProof/>
          </w:rPr>
          <w:t>41</w:t>
        </w:r>
      </w:fldSimple>
    </w:p>
  </w:footnote>
  <w:footnote w:id="317">
    <w:p w14:paraId="401E8EF9" w14:textId="2E3FEB6F" w:rsidR="007561A6" w:rsidRDefault="007561A6">
      <w:pPr>
        <w:pStyle w:val="FootnoteText"/>
      </w:pPr>
      <w:r>
        <w:rPr>
          <w:rStyle w:val="FootnoteReference"/>
        </w:rPr>
        <w:footnoteRef/>
      </w:r>
      <w:r>
        <w:t xml:space="preserve"> </w:t>
      </w:r>
      <w:r w:rsidRPr="007561A6">
        <w:t xml:space="preserve">EHRC (2018). </w:t>
      </w:r>
      <w:r w:rsidRPr="001B6B3C">
        <w:rPr>
          <w:i/>
          <w:iCs/>
        </w:rPr>
        <w:t>Is Britain Fairer? The state of equality and human rights in Britain</w:t>
      </w:r>
      <w:r w:rsidRPr="007561A6">
        <w:t xml:space="preserve">. [online], p.5. Available at: </w:t>
      </w:r>
      <w:r w:rsidRPr="007561A6">
        <w:t xml:space="preserve">https://www.equalityhumanrights.com/sites/default/files/is-britain-fairer-accessible.pdf)  </w:t>
      </w:r>
      <w:r w:rsidR="001B6B3C">
        <w:t xml:space="preserve">Accessed on: </w:t>
      </w:r>
      <w:r w:rsidR="00C005B5">
        <w:t>15.03.22</w:t>
      </w:r>
    </w:p>
  </w:footnote>
  <w:footnote w:id="318">
    <w:p w14:paraId="4D3F6A86" w14:textId="35FE5E90" w:rsidR="00E622C5" w:rsidRDefault="00E622C5" w:rsidP="00E622C5">
      <w:pPr>
        <w:pStyle w:val="FootnoteText"/>
      </w:pPr>
      <w:r>
        <w:rPr>
          <w:rStyle w:val="FootnoteReference"/>
        </w:rPr>
        <w:footnoteRef/>
      </w:r>
      <w:r>
        <w:t xml:space="preserve"> </w:t>
      </w:r>
      <w:r>
        <w:t xml:space="preserve">MoJ (2019). </w:t>
      </w:r>
      <w:r w:rsidRPr="00E622C5">
        <w:rPr>
          <w:i/>
          <w:iCs/>
        </w:rPr>
        <w:t>Post-Implementation Review of Part 1 of the Legal Aid, Sentencing and Punishment of Offenders Act 2012 (LASPO)</w:t>
      </w:r>
      <w:r>
        <w:t xml:space="preserve">. </w:t>
      </w:r>
      <w:r w:rsidRPr="00E622C5">
        <w:t>CP 37</w:t>
      </w:r>
      <w:r>
        <w:t xml:space="preserve">, [online] February. Available at: </w:t>
      </w:r>
      <w:hyperlink r:id="rId162" w:history="1">
        <w:r w:rsidRPr="002A3E64">
          <w:rPr>
            <w:rStyle w:val="Hyperlink"/>
          </w:rPr>
          <w:t>https://assets.publishing.service.gov.uk/government/uploads/system/uploads/attachment_data/file/777038/post-implementation-review-of-part-1-of-laspo.pdf</w:t>
        </w:r>
      </w:hyperlink>
      <w:r>
        <w:t xml:space="preserve"> Accessed on: </w:t>
      </w:r>
      <w:r w:rsidR="00C005B5">
        <w:t>15.03.22</w:t>
      </w:r>
      <w:r>
        <w:t xml:space="preserve">; MoJ (2019). </w:t>
      </w:r>
      <w:r w:rsidRPr="00E622C5">
        <w:rPr>
          <w:i/>
          <w:iCs/>
        </w:rPr>
        <w:t>Legal Support: The Way Ahead</w:t>
      </w:r>
      <w:r w:rsidR="0046390E">
        <w:rPr>
          <w:i/>
          <w:iCs/>
        </w:rPr>
        <w:t xml:space="preserve"> – </w:t>
      </w:r>
      <w:r w:rsidRPr="00E622C5">
        <w:rPr>
          <w:i/>
          <w:iCs/>
        </w:rPr>
        <w:t>An action plan to deliver better support to people experiencing legal problems</w:t>
      </w:r>
      <w:r>
        <w:t xml:space="preserve">. CP40, [online] February. Available at: </w:t>
      </w:r>
      <w:hyperlink r:id="rId163" w:history="1">
        <w:r w:rsidRPr="002A3E64">
          <w:rPr>
            <w:rStyle w:val="Hyperlink"/>
          </w:rPr>
          <w:t>https://assets.publishing.service.gov.uk/government/uploads/system/uploads/attachment_data/file/777036/legal-support-the-way-ahead.pdf</w:t>
        </w:r>
      </w:hyperlink>
      <w:r>
        <w:t xml:space="preserve"> Accessed on: </w:t>
      </w:r>
      <w:r w:rsidR="00C005B5">
        <w:t>15.03.22</w:t>
      </w:r>
    </w:p>
  </w:footnote>
  <w:footnote w:id="319">
    <w:p w14:paraId="3C0B2CBD" w14:textId="3CE6F39B" w:rsidR="007561A6" w:rsidRDefault="007561A6" w:rsidP="007561A6">
      <w:pPr>
        <w:pStyle w:val="FootnoteText"/>
      </w:pPr>
      <w:r>
        <w:rPr>
          <w:rStyle w:val="FootnoteReference"/>
        </w:rPr>
        <w:footnoteRef/>
      </w:r>
      <w:r>
        <w:t xml:space="preserve"> EHRC (2019). </w:t>
      </w:r>
      <w:r w:rsidRPr="00DB297D">
        <w:rPr>
          <w:i/>
          <w:iCs/>
        </w:rPr>
        <w:t>The impact of LASPO on routes to justice</w:t>
      </w:r>
      <w:r>
        <w:t xml:space="preserve">, research report 118. [online]. Available at: </w:t>
      </w:r>
      <w:hyperlink r:id="rId164" w:history="1">
        <w:r w:rsidR="001B6B3C" w:rsidRPr="00002AC9">
          <w:rPr>
            <w:rStyle w:val="Hyperlink"/>
          </w:rPr>
          <w:t>https://www.equalityhumanrights.com/sites/default/files/the-impact-of-laspo-on-routes-to-justice-september-2018.pdf</w:t>
        </w:r>
      </w:hyperlink>
      <w:r>
        <w:t>).</w:t>
      </w:r>
      <w:r w:rsidR="001B6B3C">
        <w:t xml:space="preserve"> Accessed on: </w:t>
      </w:r>
      <w:r w:rsidR="00C005B5">
        <w:t>15.03.22</w:t>
      </w:r>
    </w:p>
  </w:footnote>
  <w:footnote w:id="320">
    <w:p w14:paraId="79C6089E" w14:textId="12516444" w:rsidR="00C3214F" w:rsidRDefault="00C3214F" w:rsidP="00C3214F">
      <w:pPr>
        <w:pStyle w:val="FootnoteText"/>
      </w:pPr>
      <w:r>
        <w:rPr>
          <w:rStyle w:val="FootnoteReference"/>
        </w:rPr>
        <w:footnoteRef/>
      </w:r>
      <w:r w:rsidRPr="000B3D1C">
        <w:t xml:space="preserve">EHRC (2019). </w:t>
      </w:r>
      <w:r w:rsidRPr="000B3D1C">
        <w:rPr>
          <w:i/>
          <w:iCs/>
        </w:rPr>
        <w:t>Access to legal aid for discrimination cases</w:t>
      </w:r>
      <w:r w:rsidRPr="000B3D1C">
        <w:t xml:space="preserve">. [online]. Available at: </w:t>
      </w:r>
      <w:hyperlink r:id="rId165" w:history="1">
        <w:r w:rsidRPr="00A827F4">
          <w:rPr>
            <w:rStyle w:val="Hyperlink"/>
          </w:rPr>
          <w:t>https://www.equalityhumanrights.com/sites/default/files/access-to-legal-aid-for-discrimination-cases-our-legal-aid-inquiry.pdf</w:t>
        </w:r>
      </w:hyperlink>
      <w:r w:rsidR="001B6B3C">
        <w:t xml:space="preserve"> Accessed on: </w:t>
      </w:r>
      <w:r w:rsidR="00C005B5">
        <w:t>15.03.22</w:t>
      </w:r>
    </w:p>
  </w:footnote>
  <w:footnote w:id="321">
    <w:p w14:paraId="0065E1BC" w14:textId="3E06B8CB" w:rsidR="002D4BAF" w:rsidRDefault="002D4BAF" w:rsidP="002D4BAF">
      <w:pPr>
        <w:pStyle w:val="FootnoteText"/>
      </w:pPr>
      <w:r w:rsidRPr="0039655C">
        <w:rPr>
          <w:rStyle w:val="FootnoteReference"/>
        </w:rPr>
        <w:footnoteRef/>
      </w:r>
      <w:r w:rsidRPr="0039655C">
        <w:t xml:space="preserve"> See section on Access to Justice</w:t>
      </w:r>
      <w:r w:rsidR="00FF2BE4" w:rsidRPr="0039655C">
        <w:t>,</w:t>
      </w:r>
      <w:r w:rsidRPr="0039655C">
        <w:t xml:space="preserve"> p</w:t>
      </w:r>
      <w:r w:rsidR="00FF2BE4" w:rsidRPr="0039655C">
        <w:t>.</w:t>
      </w:r>
      <w:fldSimple w:instr=" PAGEREF AccesstoJusticeArticle13 ">
        <w:r w:rsidR="0039655C" w:rsidRPr="0039655C">
          <w:rPr>
            <w:noProof/>
          </w:rPr>
          <w:t>63</w:t>
        </w:r>
      </w:fldSimple>
      <w:r w:rsidRPr="0039655C">
        <w:t>.</w:t>
      </w:r>
    </w:p>
  </w:footnote>
  <w:footnote w:id="322">
    <w:p w14:paraId="5F918B03" w14:textId="77777777" w:rsidR="002D4BAF" w:rsidRDefault="002D4BAF" w:rsidP="002D4BAF">
      <w:pPr>
        <w:pStyle w:val="FootnoteText"/>
      </w:pPr>
      <w:r>
        <w:rPr>
          <w:rStyle w:val="FootnoteReference"/>
        </w:rPr>
        <w:footnoteRef/>
      </w:r>
      <w:r>
        <w:t xml:space="preserve"> LGSCO (2021). </w:t>
      </w:r>
      <w:r w:rsidRPr="00DA4BA7">
        <w:rPr>
          <w:i/>
          <w:iCs/>
        </w:rPr>
        <w:t>Ombudsman annual review highlights widening cracks in council complaints systems</w:t>
      </w:r>
      <w:r>
        <w:t xml:space="preserve">. [press release] July. </w:t>
      </w:r>
    </w:p>
  </w:footnote>
  <w:footnote w:id="323">
    <w:p w14:paraId="0E2A01BC" w14:textId="12D5140E" w:rsidR="00DB5B0C" w:rsidRDefault="00DB5B0C">
      <w:pPr>
        <w:pStyle w:val="FootnoteText"/>
      </w:pPr>
      <w:r>
        <w:rPr>
          <w:rStyle w:val="FootnoteReference"/>
        </w:rPr>
        <w:footnoteRef/>
      </w:r>
      <w:r>
        <w:t xml:space="preserve"> </w:t>
      </w:r>
      <w:r w:rsidR="005D21E3" w:rsidRPr="005D21E3">
        <w:rPr>
          <w:i/>
          <w:iCs/>
        </w:rPr>
        <w:t>Judicial Review and Courts Bill</w:t>
      </w:r>
      <w:r w:rsidR="005D21E3">
        <w:t xml:space="preserve">. 2022. HC 198 </w:t>
      </w:r>
      <w:r w:rsidR="005D21E3" w:rsidRPr="005D21E3">
        <w:t xml:space="preserve">2021-2022. </w:t>
      </w:r>
      <w:r w:rsidR="005D21E3">
        <w:t xml:space="preserve">[online] </w:t>
      </w:r>
      <w:r w:rsidR="005D21E3" w:rsidRPr="005D21E3">
        <w:t xml:space="preserve">Available at: </w:t>
      </w:r>
      <w:hyperlink r:id="rId166" w:history="1">
        <w:r w:rsidR="001B6B3C" w:rsidRPr="00002AC9">
          <w:rPr>
            <w:rStyle w:val="Hyperlink"/>
          </w:rPr>
          <w:t>https://bills.parliament.uk/bills/3035</w:t>
        </w:r>
      </w:hyperlink>
      <w:r w:rsidR="001B6B3C">
        <w:t xml:space="preserve"> Accessed on: </w:t>
      </w:r>
      <w:r w:rsidR="00C005B5">
        <w:t>15.03.22</w:t>
      </w:r>
    </w:p>
  </w:footnote>
  <w:footnote w:id="324">
    <w:p w14:paraId="0ABCEF28" w14:textId="19C4BF9C" w:rsidR="00A8493B" w:rsidRPr="00EB6181" w:rsidRDefault="00A8493B">
      <w:pPr>
        <w:pStyle w:val="FootnoteText"/>
      </w:pPr>
      <w:r w:rsidRPr="00EB6181">
        <w:rPr>
          <w:rStyle w:val="FootnoteReference"/>
        </w:rPr>
        <w:footnoteRef/>
      </w:r>
      <w:r w:rsidRPr="00EB6181">
        <w:t xml:space="preserve"> p.</w:t>
      </w:r>
      <w:fldSimple w:instr=" PAGEREF Appendix3 ">
        <w:r w:rsidR="00EB6181" w:rsidRPr="00EB6181">
          <w:rPr>
            <w:noProof/>
          </w:rPr>
          <w:t>119</w:t>
        </w:r>
      </w:fldSimple>
    </w:p>
  </w:footnote>
  <w:footnote w:id="325">
    <w:p w14:paraId="5E28302C" w14:textId="5F81858C" w:rsidR="008D2AF2" w:rsidRDefault="008D2AF2" w:rsidP="008D2AF2">
      <w:pPr>
        <w:pStyle w:val="FootnoteText"/>
      </w:pPr>
      <w:r w:rsidRPr="00C005B5">
        <w:rPr>
          <w:rStyle w:val="FootnoteReference"/>
        </w:rPr>
        <w:footnoteRef/>
      </w:r>
      <w:r w:rsidRPr="00C005B5">
        <w:t xml:space="preserve"> </w:t>
      </w:r>
      <w:r w:rsidR="00C005B5" w:rsidRPr="00C005B5">
        <w:t>D.DP35</w:t>
      </w:r>
    </w:p>
  </w:footnote>
  <w:footnote w:id="326">
    <w:p w14:paraId="7EBE3B2F" w14:textId="400FD910" w:rsidR="00C77615" w:rsidRPr="00C77615" w:rsidRDefault="00C77615">
      <w:pPr>
        <w:pStyle w:val="FootnoteText"/>
      </w:pPr>
      <w:r>
        <w:rPr>
          <w:rStyle w:val="FootnoteReference"/>
        </w:rPr>
        <w:footnoteRef/>
      </w:r>
      <w:r>
        <w:t xml:space="preserve"> </w:t>
      </w:r>
      <w:r>
        <w:t xml:space="preserve">Pring, J. (2019). </w:t>
      </w:r>
      <w:r w:rsidRPr="00C77615">
        <w:t>Police force admits agreement to share information about protesters with DWP</w:t>
      </w:r>
      <w:r>
        <w:t xml:space="preserve">. </w:t>
      </w:r>
      <w:r>
        <w:rPr>
          <w:i/>
          <w:iCs/>
        </w:rPr>
        <w:t>Disability News Service</w:t>
      </w:r>
      <w:r>
        <w:t>, [online] 25 July. Available at:</w:t>
      </w:r>
      <w:r w:rsidR="00C005B5">
        <w:t xml:space="preserve"> </w:t>
      </w:r>
      <w:hyperlink r:id="rId167" w:history="1">
        <w:r w:rsidR="00C005B5" w:rsidRPr="00A97FBA">
          <w:rPr>
            <w:rStyle w:val="Hyperlink"/>
          </w:rPr>
          <w:t>https://www.disabilitynewsservice.com/police-force-admits-agreement-to-share-information-about-protesters-with-dwp/</w:t>
        </w:r>
      </w:hyperlink>
      <w:r>
        <w:t xml:space="preserve"> Accessed on: </w:t>
      </w:r>
    </w:p>
  </w:footnote>
  <w:footnote w:id="327">
    <w:p w14:paraId="1416776A" w14:textId="34ECF333" w:rsidR="00C77615" w:rsidRPr="00C77615" w:rsidRDefault="00C77615" w:rsidP="00C77615">
      <w:pPr>
        <w:pStyle w:val="FootnoteText"/>
      </w:pPr>
      <w:r>
        <w:rPr>
          <w:rStyle w:val="FootnoteReference"/>
        </w:rPr>
        <w:footnoteRef/>
      </w:r>
      <w:r>
        <w:t xml:space="preserve"> </w:t>
      </w:r>
      <w:r>
        <w:t xml:space="preserve">Pring, J. (2018). Police force admits passing footage of disabled protesters to DWP. </w:t>
      </w:r>
      <w:r>
        <w:rPr>
          <w:i/>
          <w:iCs/>
        </w:rPr>
        <w:t>Disability News Service</w:t>
      </w:r>
      <w:r>
        <w:t xml:space="preserve">, [online] 20 December. Available at: </w:t>
      </w:r>
      <w:hyperlink r:id="rId168" w:history="1">
        <w:r w:rsidRPr="00A4243C">
          <w:rPr>
            <w:rStyle w:val="Hyperlink"/>
          </w:rPr>
          <w:t>https://www.disabilitynewsservice.com/police-force-admits-passing-footage-of-disabled-protesters-to-dwp/</w:t>
        </w:r>
      </w:hyperlink>
      <w:r>
        <w:t xml:space="preserve"> Accessed on</w:t>
      </w:r>
      <w:r w:rsidR="00C005B5">
        <w:t>: 15.03.22</w:t>
      </w:r>
    </w:p>
  </w:footnote>
  <w:footnote w:id="328">
    <w:p w14:paraId="40473BD5" w14:textId="22ED3E75" w:rsidR="0002289A" w:rsidRPr="0002289A" w:rsidRDefault="0002289A">
      <w:pPr>
        <w:pStyle w:val="FootnoteText"/>
      </w:pPr>
      <w:r>
        <w:rPr>
          <w:rStyle w:val="FootnoteReference"/>
        </w:rPr>
        <w:footnoteRef/>
      </w:r>
      <w:r>
        <w:t xml:space="preserve"> </w:t>
      </w:r>
      <w:r>
        <w:t xml:space="preserve">Pring, J. (2018). </w:t>
      </w:r>
      <w:r w:rsidRPr="0002289A">
        <w:t>‘Kicked, punched, knocked unconscious, tipped out of wheelchairs’: Campaigners describe repeated police targeting of disabled anti-fracking protesters</w:t>
      </w:r>
      <w:r>
        <w:t xml:space="preserve">. </w:t>
      </w:r>
      <w:r>
        <w:rPr>
          <w:i/>
          <w:iCs/>
        </w:rPr>
        <w:t>Disability News Service</w:t>
      </w:r>
      <w:r>
        <w:t xml:space="preserve">, [online] 13 December. Available at: </w:t>
      </w:r>
      <w:hyperlink r:id="rId169" w:history="1">
        <w:r w:rsidRPr="00A4243C">
          <w:rPr>
            <w:rStyle w:val="Hyperlink"/>
          </w:rPr>
          <w:t>https://www.disabilitynewsservice.com/kicked-punched-knocked-unconscious-tipped-out-of-wheelchairs-campaigners-describe-repeated-police-targeting-of-disabled-anti-fracking-protesters/</w:t>
        </w:r>
      </w:hyperlink>
      <w:r>
        <w:t xml:space="preserve"> Accessed on: </w:t>
      </w:r>
      <w:r w:rsidR="00C005B5">
        <w:t>15.03.22</w:t>
      </w:r>
    </w:p>
  </w:footnote>
  <w:footnote w:id="329">
    <w:p w14:paraId="07DED01C" w14:textId="5FFE87EA" w:rsidR="00EB6A1F" w:rsidRDefault="00EB6A1F">
      <w:pPr>
        <w:pStyle w:val="FootnoteText"/>
      </w:pPr>
      <w:r w:rsidRPr="005D21E3">
        <w:rPr>
          <w:rStyle w:val="FootnoteReference"/>
        </w:rPr>
        <w:footnoteRef/>
      </w:r>
      <w:r w:rsidR="005D21E3" w:rsidRPr="005D21E3">
        <w:t xml:space="preserve"> Police, Crime, Sentencing and Courts Bill. 2022. HL 95 2019-21; 2021-22. [online]. Available at: </w:t>
      </w:r>
      <w:hyperlink r:id="rId170" w:history="1">
        <w:r w:rsidR="001B6B3C" w:rsidRPr="00002AC9">
          <w:rPr>
            <w:rStyle w:val="Hyperlink"/>
          </w:rPr>
          <w:t>https://bills.parliament.uk/bills/2839</w:t>
        </w:r>
      </w:hyperlink>
      <w:r w:rsidR="001B6B3C">
        <w:t xml:space="preserve"> Accessed on</w:t>
      </w:r>
      <w:r w:rsidR="00C005B5">
        <w:t>: 15.03.22</w:t>
      </w:r>
    </w:p>
  </w:footnote>
  <w:footnote w:id="330">
    <w:p w14:paraId="4AF8C853" w14:textId="29CC47A2" w:rsidR="003420BD" w:rsidRPr="00C005B5" w:rsidRDefault="003420BD">
      <w:pPr>
        <w:pStyle w:val="FootnoteText"/>
      </w:pPr>
      <w:r w:rsidRPr="00C005B5">
        <w:rPr>
          <w:rStyle w:val="FootnoteReference"/>
        </w:rPr>
        <w:footnoteRef/>
      </w:r>
      <w:r w:rsidRPr="00C005B5">
        <w:t xml:space="preserve"> </w:t>
      </w:r>
      <w:r w:rsidR="00C005B5" w:rsidRPr="00C005B5">
        <w:t>OO9, OO13</w:t>
      </w:r>
    </w:p>
  </w:footnote>
  <w:footnote w:id="331">
    <w:p w14:paraId="3EBBE249" w14:textId="4558720E" w:rsidR="00B772D6" w:rsidRDefault="00B772D6">
      <w:pPr>
        <w:pStyle w:val="FootnoteText"/>
      </w:pPr>
      <w:r w:rsidRPr="00C005B5">
        <w:rPr>
          <w:rStyle w:val="FootnoteReference"/>
        </w:rPr>
        <w:footnoteRef/>
      </w:r>
      <w:r w:rsidRPr="00C005B5">
        <w:t xml:space="preserve"> Andrews</w:t>
      </w:r>
      <w:r w:rsidRPr="00B772D6">
        <w:t>, R (On the Application Of) v Minister for the Cabinet Office [2019] EWHC 1126 (Admin</w:t>
      </w:r>
      <w:r>
        <w:t xml:space="preserve">) Available at: </w:t>
      </w:r>
      <w:hyperlink r:id="rId171" w:history="1">
        <w:r w:rsidRPr="00414B28">
          <w:rPr>
            <w:rStyle w:val="Hyperlink"/>
          </w:rPr>
          <w:t>https://www.localgovernmentlawyer.co.uk/governance/396-governance-news/47386-high-court-hears-judicial-review-over-voting-provisions-for-blind-and-partially-sighted-people</w:t>
        </w:r>
      </w:hyperlink>
      <w:r>
        <w:t xml:space="preserve"> Accessed on: </w:t>
      </w:r>
      <w:r w:rsidR="00C005B5">
        <w:t>15.03.22</w:t>
      </w:r>
    </w:p>
  </w:footnote>
  <w:footnote w:id="332">
    <w:p w14:paraId="6E7A0E50" w14:textId="749E7C56" w:rsidR="001D277F" w:rsidRDefault="001D277F">
      <w:pPr>
        <w:pStyle w:val="FootnoteText"/>
      </w:pPr>
      <w:r>
        <w:rPr>
          <w:rStyle w:val="FootnoteReference"/>
        </w:rPr>
        <w:footnoteRef/>
      </w:r>
      <w:r>
        <w:t xml:space="preserve"> RNIB (2019). </w:t>
      </w:r>
      <w:r w:rsidRPr="001D277F">
        <w:rPr>
          <w:i/>
          <w:iCs/>
        </w:rPr>
        <w:t>Turned Out 2019: the latest research into voter experiences</w:t>
      </w:r>
      <w:r>
        <w:t xml:space="preserve">. [online] Available at: </w:t>
      </w:r>
      <w:hyperlink r:id="rId172" w:history="1">
        <w:r w:rsidRPr="00414B28">
          <w:rPr>
            <w:rStyle w:val="Hyperlink"/>
          </w:rPr>
          <w:t>https://www.rnib.org.uk/sites/default/files/RNIB%20Turned%20Out%202019.pdf</w:t>
        </w:r>
      </w:hyperlink>
      <w:r>
        <w:t xml:space="preserve"> Accessed on: </w:t>
      </w:r>
      <w:r w:rsidR="00C005B5">
        <w:t>15.03.22</w:t>
      </w:r>
    </w:p>
  </w:footnote>
  <w:footnote w:id="333">
    <w:p w14:paraId="3137A818" w14:textId="5A024C3F" w:rsidR="001D277F" w:rsidRPr="00C005B5" w:rsidRDefault="001D277F">
      <w:pPr>
        <w:pStyle w:val="FootnoteText"/>
      </w:pPr>
      <w:r w:rsidRPr="00C005B5">
        <w:rPr>
          <w:rStyle w:val="FootnoteReference"/>
        </w:rPr>
        <w:footnoteRef/>
      </w:r>
      <w:r w:rsidRPr="00C005B5">
        <w:t xml:space="preserve"> </w:t>
      </w:r>
      <w:r w:rsidR="00C005B5" w:rsidRPr="00C005B5">
        <w:t>OO13</w:t>
      </w:r>
    </w:p>
  </w:footnote>
  <w:footnote w:id="334">
    <w:p w14:paraId="1A38AA49" w14:textId="3CDCF980" w:rsidR="001D277F" w:rsidRDefault="001D277F">
      <w:pPr>
        <w:pStyle w:val="FootnoteText"/>
      </w:pPr>
      <w:r w:rsidRPr="00C005B5">
        <w:rPr>
          <w:rStyle w:val="FootnoteReference"/>
        </w:rPr>
        <w:footnoteRef/>
      </w:r>
      <w:r w:rsidRPr="00C005B5">
        <w:t xml:space="preserve"> </w:t>
      </w:r>
      <w:r w:rsidR="00C005B5" w:rsidRPr="00C005B5">
        <w:t>OO13</w:t>
      </w:r>
      <w:r w:rsidR="00C005B5">
        <w:t>; SR326</w:t>
      </w:r>
    </w:p>
  </w:footnote>
  <w:footnote w:id="335">
    <w:p w14:paraId="29B9C44F" w14:textId="501BD79F" w:rsidR="007F1FAA" w:rsidRDefault="007F1FAA">
      <w:pPr>
        <w:pStyle w:val="FootnoteText"/>
      </w:pPr>
      <w:r>
        <w:rPr>
          <w:rStyle w:val="FootnoteReference"/>
        </w:rPr>
        <w:footnoteRef/>
      </w:r>
      <w:r>
        <w:t xml:space="preserve"> DLUHC (2022). </w:t>
      </w:r>
      <w:r w:rsidRPr="007F1FAA">
        <w:t>Protecting the integrity of our elections: Voter identification at polling stations and the new Voter Card</w:t>
      </w:r>
      <w:r>
        <w:t xml:space="preserve">. Policy paper. [online] 6 January. Available at: Accessed on: </w:t>
      </w:r>
      <w:r w:rsidR="00C005B5">
        <w:t>15.03.22</w:t>
      </w:r>
    </w:p>
  </w:footnote>
  <w:footnote w:id="336">
    <w:p w14:paraId="70E10674" w14:textId="465106E4" w:rsidR="003420BD" w:rsidRDefault="003420BD">
      <w:pPr>
        <w:pStyle w:val="FootnoteText"/>
      </w:pPr>
      <w:r>
        <w:rPr>
          <w:rStyle w:val="FootnoteReference"/>
        </w:rPr>
        <w:footnoteRef/>
      </w:r>
      <w:r>
        <w:t xml:space="preserve"> </w:t>
      </w:r>
      <w:r w:rsidRPr="008523C2">
        <w:t>Evans</w:t>
      </w:r>
      <w:r>
        <w:t>, E. and</w:t>
      </w:r>
      <w:r w:rsidRPr="008523C2">
        <w:t xml:space="preserve"> </w:t>
      </w:r>
      <w:r w:rsidRPr="008523C2">
        <w:t>Reher,</w:t>
      </w:r>
      <w:r>
        <w:t xml:space="preserve"> S. (2021). </w:t>
      </w:r>
      <w:r w:rsidRPr="008523C2">
        <w:rPr>
          <w:i/>
          <w:iCs/>
        </w:rPr>
        <w:t>Barriers to elected office for disabled people</w:t>
      </w:r>
      <w:r>
        <w:t xml:space="preserve">. Government Equalities Office, [online] 21 July. Available at: </w:t>
      </w:r>
      <w:hyperlink r:id="rId173" w:history="1">
        <w:r w:rsidRPr="00A4243C">
          <w:rPr>
            <w:rStyle w:val="Hyperlink"/>
          </w:rPr>
          <w:t>https://www.gov.uk/government/publications/barriers-to-elected-office-for-disabled-people/barriers-to-elected-office-for-disabled-people</w:t>
        </w:r>
      </w:hyperlink>
      <w:r>
        <w:t xml:space="preserve"> Accessed on: </w:t>
      </w:r>
      <w:r w:rsidR="00C005B5">
        <w:t>15.03.22</w:t>
      </w:r>
    </w:p>
  </w:footnote>
  <w:footnote w:id="337">
    <w:p w14:paraId="02DE1933" w14:textId="137865D2" w:rsidR="004A2095" w:rsidRDefault="004A2095" w:rsidP="004A2095">
      <w:pPr>
        <w:pStyle w:val="FootnoteText"/>
      </w:pPr>
      <w:r w:rsidRPr="00BC1D56">
        <w:rPr>
          <w:rStyle w:val="FootnoteReference"/>
        </w:rPr>
        <w:footnoteRef/>
      </w:r>
      <w:r w:rsidRPr="00BC1D56">
        <w:t xml:space="preserve"> See </w:t>
      </w:r>
      <w:r w:rsidR="00BC1D56" w:rsidRPr="00BC1D56">
        <w:t>below</w:t>
      </w:r>
      <w:r w:rsidRPr="00BC1D56">
        <w:t>, p.</w:t>
      </w:r>
      <w:fldSimple w:instr=" PAGEREF Para144 ">
        <w:r w:rsidR="00BC1D56" w:rsidRPr="00BC1D56">
          <w:rPr>
            <w:noProof/>
          </w:rPr>
          <w:t>68</w:t>
        </w:r>
      </w:fldSimple>
    </w:p>
  </w:footnote>
  <w:footnote w:id="338">
    <w:p w14:paraId="746193C9" w14:textId="40BD7406" w:rsidR="008523C2" w:rsidRPr="00C005B5" w:rsidRDefault="008523C2">
      <w:pPr>
        <w:pStyle w:val="FootnoteText"/>
      </w:pPr>
      <w:r>
        <w:rPr>
          <w:rStyle w:val="FootnoteReference"/>
        </w:rPr>
        <w:footnoteRef/>
      </w:r>
      <w:r>
        <w:t xml:space="preserve"> </w:t>
      </w:r>
      <w:r w:rsidRPr="00C005B5">
        <w:t>Evans</w:t>
      </w:r>
      <w:r w:rsidR="003420BD" w:rsidRPr="00C005B5">
        <w:t xml:space="preserve"> </w:t>
      </w:r>
      <w:r w:rsidRPr="00C005B5">
        <w:t xml:space="preserve">and </w:t>
      </w:r>
      <w:r w:rsidRPr="00C005B5">
        <w:t>Reher</w:t>
      </w:r>
      <w:r w:rsidR="003420BD" w:rsidRPr="00C005B5">
        <w:t xml:space="preserve"> 2021</w:t>
      </w:r>
    </w:p>
  </w:footnote>
  <w:footnote w:id="339">
    <w:p w14:paraId="06065097" w14:textId="5FA75AC8" w:rsidR="008523C2" w:rsidRDefault="008523C2">
      <w:pPr>
        <w:pStyle w:val="FootnoteText"/>
      </w:pPr>
      <w:r w:rsidRPr="00C005B5">
        <w:rPr>
          <w:rStyle w:val="FootnoteReference"/>
        </w:rPr>
        <w:footnoteRef/>
      </w:r>
      <w:r w:rsidRPr="00C005B5">
        <w:t xml:space="preserve"> </w:t>
      </w:r>
      <w:r w:rsidR="00C005B5" w:rsidRPr="00C005B5">
        <w:t>CBCE9</w:t>
      </w:r>
      <w:r w:rsidR="00C005B5" w:rsidRPr="0090264D">
        <w:t>, CBCE25</w:t>
      </w:r>
    </w:p>
  </w:footnote>
  <w:footnote w:id="340">
    <w:p w14:paraId="18D6B7E8" w14:textId="68FF17F6" w:rsidR="008523C2" w:rsidRPr="00D27755" w:rsidRDefault="008523C2">
      <w:pPr>
        <w:pStyle w:val="FootnoteText"/>
      </w:pPr>
      <w:r>
        <w:rPr>
          <w:rStyle w:val="FootnoteReference"/>
        </w:rPr>
        <w:footnoteRef/>
      </w:r>
      <w:r>
        <w:t xml:space="preserve"> </w:t>
      </w:r>
      <w:r w:rsidR="00D27755">
        <w:t xml:space="preserve">Pring, J. (2020). </w:t>
      </w:r>
      <w:r w:rsidR="00D27755" w:rsidRPr="00D27755">
        <w:t>House of Commons failed to act after disabled staff and MPs spoke out on COVID safety</w:t>
      </w:r>
      <w:r w:rsidR="00D27755">
        <w:t xml:space="preserve">. </w:t>
      </w:r>
      <w:r w:rsidR="00D27755">
        <w:rPr>
          <w:i/>
          <w:iCs/>
        </w:rPr>
        <w:t>Disability News Service</w:t>
      </w:r>
      <w:r w:rsidR="00D27755">
        <w:t xml:space="preserve">, [online] 10 December. Available at: </w:t>
      </w:r>
      <w:hyperlink r:id="rId174" w:history="1">
        <w:r w:rsidR="00D27755" w:rsidRPr="00A4243C">
          <w:rPr>
            <w:rStyle w:val="Hyperlink"/>
          </w:rPr>
          <w:t>https://www.disabilitynewsservice.com/house-of-commons-failed-to-act-after-disabled-staff-and-mps-spoke-out-on-covid-safety/</w:t>
        </w:r>
      </w:hyperlink>
      <w:r w:rsidR="00D27755">
        <w:t xml:space="preserve"> Accessed on: </w:t>
      </w:r>
      <w:r w:rsidR="00C005B5" w:rsidRPr="0090264D">
        <w:t>CBCE9, CBCE25</w:t>
      </w:r>
    </w:p>
  </w:footnote>
  <w:footnote w:id="341">
    <w:p w14:paraId="7292E7B2" w14:textId="7491DAF0" w:rsidR="00F263FB" w:rsidRDefault="00F263FB" w:rsidP="00F263FB">
      <w:pPr>
        <w:pStyle w:val="FootnoteText"/>
      </w:pPr>
      <w:r>
        <w:rPr>
          <w:rStyle w:val="FootnoteReference"/>
        </w:rPr>
        <w:footnoteRef/>
      </w:r>
      <w:r>
        <w:t xml:space="preserve"> HM Government, (2021). </w:t>
      </w:r>
      <w:r w:rsidRPr="00F85E8F">
        <w:rPr>
          <w:i/>
          <w:iCs/>
        </w:rPr>
        <w:t>National Disability Strategy.</w:t>
      </w:r>
      <w:r>
        <w:t xml:space="preserve"> CP512, p.26. Available at:  </w:t>
      </w:r>
      <w:hyperlink r:id="rId175" w:history="1">
        <w:r w:rsidRPr="00002AC9">
          <w:rPr>
            <w:rStyle w:val="Hyperlink"/>
          </w:rPr>
          <w:t>https://assets.publishing.service.gov.uk/government/uploads/system/uploads/attachment_data/file/1006098/National-Disability-Strategy_web-accesible-pdf.pdf</w:t>
        </w:r>
      </w:hyperlink>
      <w:r>
        <w:t xml:space="preserve"> Accessed on: </w:t>
      </w:r>
      <w:r w:rsidR="00C005B5">
        <w:t>15.03.22</w:t>
      </w:r>
    </w:p>
  </w:footnote>
  <w:footnote w:id="342">
    <w:p w14:paraId="08CF94CC" w14:textId="77777777" w:rsidR="00F263FB" w:rsidRDefault="00F263FB" w:rsidP="00F263FB">
      <w:pPr>
        <w:pStyle w:val="FootnoteText"/>
      </w:pPr>
      <w:r>
        <w:rPr>
          <w:rStyle w:val="FootnoteReference"/>
        </w:rPr>
        <w:footnoteRef/>
      </w:r>
      <w:r>
        <w:t xml:space="preserve"> NDS, p.27</w:t>
      </w:r>
    </w:p>
  </w:footnote>
  <w:footnote w:id="343">
    <w:p w14:paraId="1206EECE" w14:textId="5BDB82BB" w:rsidR="00F263FB" w:rsidRDefault="00F263FB">
      <w:pPr>
        <w:pStyle w:val="FootnoteText"/>
      </w:pPr>
      <w:r>
        <w:rPr>
          <w:rStyle w:val="FootnoteReference"/>
        </w:rPr>
        <w:footnoteRef/>
      </w:r>
      <w:r>
        <w:t xml:space="preserve"> p.</w:t>
      </w:r>
      <w:fldSimple w:instr=" PAGEREF Appendix8 ">
        <w:r w:rsidR="00DB3ABC">
          <w:rPr>
            <w:noProof/>
          </w:rPr>
          <w:t>140</w:t>
        </w:r>
      </w:fldSimple>
    </w:p>
  </w:footnote>
  <w:footnote w:id="344">
    <w:p w14:paraId="558C8C19" w14:textId="77777777" w:rsidR="00052BC8" w:rsidRDefault="00052BC8" w:rsidP="00052BC8">
      <w:pPr>
        <w:pStyle w:val="FootnoteText"/>
      </w:pPr>
      <w:r>
        <w:rPr>
          <w:rStyle w:val="FootnoteReference"/>
        </w:rPr>
        <w:footnoteRef/>
      </w:r>
      <w:r>
        <w:t xml:space="preserve"> NDS 2021, p.95; p.100.</w:t>
      </w:r>
    </w:p>
  </w:footnote>
  <w:footnote w:id="345">
    <w:p w14:paraId="574FA50F" w14:textId="1D6BD700" w:rsidR="0033672B" w:rsidRDefault="0033672B" w:rsidP="0033672B">
      <w:pPr>
        <w:pStyle w:val="FootnoteText"/>
      </w:pPr>
      <w:r>
        <w:rPr>
          <w:rStyle w:val="FootnoteReference"/>
        </w:rPr>
        <w:footnoteRef/>
      </w:r>
      <w:r>
        <w:t xml:space="preserve"> </w:t>
      </w:r>
      <w:r w:rsidR="00C005B5">
        <w:t>CBCE6, CBCE13; DDPO26</w:t>
      </w:r>
    </w:p>
  </w:footnote>
  <w:footnote w:id="346">
    <w:p w14:paraId="257C0306" w14:textId="110B1C68" w:rsidR="0033672B" w:rsidRPr="00113CA8" w:rsidRDefault="0033672B" w:rsidP="0033672B">
      <w:pPr>
        <w:pStyle w:val="FootnoteText"/>
        <w:rPr>
          <w:highlight w:val="yellow"/>
        </w:rPr>
      </w:pPr>
      <w:r>
        <w:rPr>
          <w:rStyle w:val="FootnoteReference"/>
        </w:rPr>
        <w:footnoteRef/>
      </w:r>
      <w:r>
        <w:t xml:space="preserve"> </w:t>
      </w:r>
      <w:r w:rsidR="00F00BC4">
        <w:t xml:space="preserve">Disability Rights UK (2022). </w:t>
      </w:r>
      <w:r w:rsidR="00F00BC4" w:rsidRPr="00F00BC4">
        <w:rPr>
          <w:i/>
          <w:iCs/>
        </w:rPr>
        <w:t>National Disability Strategy declared unlawful: Disability Rights UK comment</w:t>
      </w:r>
      <w:r w:rsidR="00F00BC4" w:rsidRPr="00F00BC4">
        <w:t xml:space="preserve">. [press release] 26 January. Available at: </w:t>
      </w:r>
      <w:hyperlink r:id="rId176" w:history="1">
        <w:r w:rsidR="00F00BC4" w:rsidRPr="00F00BC4">
          <w:rPr>
            <w:rStyle w:val="Hyperlink"/>
          </w:rPr>
          <w:t>https://www.disabilityrightsuk.org/news/2022/january/national-disability-strategy-declared-unlawful-disability-rights-uk-comment</w:t>
        </w:r>
      </w:hyperlink>
      <w:r w:rsidR="00F00BC4" w:rsidRPr="00F00BC4">
        <w:t xml:space="preserve"> Accessed on: </w:t>
      </w:r>
      <w:r w:rsidR="00C005B5" w:rsidRPr="00493360">
        <w:t>15.03.22</w:t>
      </w:r>
    </w:p>
    <w:p w14:paraId="218CB71A" w14:textId="4305B530" w:rsidR="0033672B" w:rsidRDefault="0033672B" w:rsidP="0033672B">
      <w:pPr>
        <w:pStyle w:val="FootnoteText"/>
      </w:pPr>
      <w:r w:rsidRPr="00F00BC4">
        <w:t xml:space="preserve">To see the </w:t>
      </w:r>
      <w:r w:rsidR="00F00BC4" w:rsidRPr="00F00BC4">
        <w:t xml:space="preserve">judgment: </w:t>
      </w:r>
      <w:r w:rsidR="00F00BC4" w:rsidRPr="00F00BC4">
        <w:rPr>
          <w:i/>
          <w:iCs/>
        </w:rPr>
        <w:t>Binder vs Secretary of State for Work and Pensions</w:t>
      </w:r>
      <w:r w:rsidR="00F00BC4" w:rsidRPr="00F00BC4">
        <w:t xml:space="preserve"> [2022] EWHC 105 (Admin) Available at</w:t>
      </w:r>
      <w:r w:rsidRPr="00F00BC4">
        <w:t>:</w:t>
      </w:r>
      <w:r w:rsidR="00F00BC4">
        <w:t xml:space="preserve"> </w:t>
      </w:r>
      <w:r w:rsidRPr="00F00BC4">
        <w:t>https://www.bindmans.com/uploads/files/documents/Binder_v_SoS_for_Work_and_Pensions_2022_EWHC_105_(Admin).pdf</w:t>
      </w:r>
      <w:r w:rsidR="00F00BC4">
        <w:t xml:space="preserve"> Accessed on: </w:t>
      </w:r>
      <w:r w:rsidR="00C005B5" w:rsidRPr="00493360">
        <w:t>15.03.22</w:t>
      </w:r>
    </w:p>
  </w:footnote>
  <w:footnote w:id="347">
    <w:p w14:paraId="0BD76676" w14:textId="55A553C2" w:rsidR="00052BC8" w:rsidRDefault="00052BC8" w:rsidP="00052BC8">
      <w:pPr>
        <w:pStyle w:val="FootnoteText"/>
      </w:pPr>
      <w:r>
        <w:rPr>
          <w:rStyle w:val="FootnoteReference"/>
        </w:rPr>
        <w:footnoteRef/>
      </w:r>
      <w:r>
        <w:t xml:space="preserve"> </w:t>
      </w:r>
      <w:r w:rsidR="00C005B5">
        <w:t>DDPO26. Disability Unit (2020). Email to Disability Positive CEO to cancel DPO forum meetings.</w:t>
      </w:r>
    </w:p>
  </w:footnote>
  <w:footnote w:id="348">
    <w:p w14:paraId="618267E0" w14:textId="050B348A" w:rsidR="00052BC8" w:rsidRPr="00A54529" w:rsidRDefault="00052BC8" w:rsidP="00052BC8">
      <w:pPr>
        <w:pStyle w:val="FootnoteText"/>
      </w:pPr>
      <w:r>
        <w:rPr>
          <w:rStyle w:val="FootnoteReference"/>
        </w:rPr>
        <w:footnoteRef/>
      </w:r>
      <w:r>
        <w:t xml:space="preserve"> Government, (2021). </w:t>
      </w:r>
      <w:r w:rsidRPr="00386F3E">
        <w:rPr>
          <w:i/>
          <w:iCs/>
        </w:rPr>
        <w:t>UK 2021 Follow-up Report</w:t>
      </w:r>
      <w:r>
        <w:t xml:space="preserve">. [online]. Available at: </w:t>
      </w:r>
      <w:hyperlink r:id="rId177" w:history="1">
        <w:r w:rsidR="00FA3B11" w:rsidRPr="00002AC9">
          <w:rPr>
            <w:rStyle w:val="Hyperlink"/>
          </w:rPr>
          <w:t>https://assets.publishing.service.gov.uk/government/uploads/system/uploads/attachment_data/file/1033032/UN_Committee_on_the_Rights_of_Persons_with_Disabilities-20pt_Large_Print.pdf</w:t>
        </w:r>
      </w:hyperlink>
      <w:r w:rsidR="00FA3B11">
        <w:t xml:space="preserve"> </w:t>
      </w:r>
      <w:r w:rsidR="00C005B5">
        <w:t>Accessed on: 15.03.22</w:t>
      </w:r>
    </w:p>
  </w:footnote>
  <w:footnote w:id="349">
    <w:p w14:paraId="62D7E041" w14:textId="714D69AE" w:rsidR="00052BC8" w:rsidRDefault="00052BC8" w:rsidP="00052BC8">
      <w:pPr>
        <w:pStyle w:val="FootnoteText"/>
      </w:pPr>
      <w:r w:rsidRPr="00A54529">
        <w:rPr>
          <w:rStyle w:val="FootnoteReference"/>
        </w:rPr>
        <w:footnoteRef/>
      </w:r>
      <w:r w:rsidRPr="00A54529">
        <w:t xml:space="preserve"> C</w:t>
      </w:r>
      <w:r w:rsidR="007D2297">
        <w:t>RDP</w:t>
      </w:r>
      <w:r w:rsidRPr="00A54529">
        <w:t xml:space="preserve"> (2018). </w:t>
      </w:r>
      <w:r w:rsidRPr="00A54529">
        <w:rPr>
          <w:i/>
          <w:iCs/>
        </w:rPr>
        <w:t>General comment No. 7 (2018) on the participation of persons with disabilities, including children with disabilities, through their representative organizations</w:t>
      </w:r>
      <w:r w:rsidRPr="0072321A">
        <w:rPr>
          <w:i/>
          <w:iCs/>
        </w:rPr>
        <w:t>, in the implementation and monitoring of the Convention</w:t>
      </w:r>
      <w:r>
        <w:t xml:space="preserve">. </w:t>
      </w:r>
      <w:r w:rsidRPr="0072321A">
        <w:t>CRPD/C/GC/7</w:t>
      </w:r>
      <w:r>
        <w:t xml:space="preserve">. Available at: </w:t>
      </w:r>
      <w:hyperlink r:id="rId178" w:history="1">
        <w:r w:rsidR="00FA3B11" w:rsidRPr="00002AC9">
          <w:rPr>
            <w:rStyle w:val="Hyperlink"/>
          </w:rPr>
          <w:t>https://tbinternet.ohchr.org/_layouts/treatybodyexternal/Download.aspx?symbolno=CRPD/C/GC/7&amp;Lang=en</w:t>
        </w:r>
      </w:hyperlink>
      <w:r w:rsidR="00FA3B11">
        <w:t xml:space="preserve"> </w:t>
      </w:r>
      <w:r w:rsidR="00C005B5">
        <w:t>Accessed on: 15.03.22</w:t>
      </w:r>
    </w:p>
  </w:footnote>
  <w:footnote w:id="350">
    <w:p w14:paraId="0EC2FC53" w14:textId="34201DB6" w:rsidR="00052BC8" w:rsidRDefault="00052BC8" w:rsidP="00052BC8">
      <w:pPr>
        <w:pStyle w:val="FootnoteText"/>
      </w:pPr>
      <w:r>
        <w:rPr>
          <w:rStyle w:val="FootnoteReference"/>
        </w:rPr>
        <w:footnoteRef/>
      </w:r>
      <w:r>
        <w:t xml:space="preserve"> </w:t>
      </w:r>
      <w:r w:rsidR="00FA3B11">
        <w:t>DHSC</w:t>
      </w:r>
      <w:r>
        <w:t xml:space="preserve"> (2021). Disability charities benefit from £2.4 million fund. </w:t>
      </w:r>
      <w:r w:rsidRPr="00A54529">
        <w:rPr>
          <w:i/>
          <w:iCs/>
        </w:rPr>
        <w:t>Gov.uk</w:t>
      </w:r>
      <w:r>
        <w:t xml:space="preserve">, [online] 30 March. Available at: </w:t>
      </w:r>
      <w:hyperlink r:id="rId179" w:history="1">
        <w:r w:rsidR="00FA3B11" w:rsidRPr="00002AC9">
          <w:rPr>
            <w:rStyle w:val="Hyperlink"/>
          </w:rPr>
          <w:t>https://www.gov.uk/government/news/disability-charities-benefit-from-24-million-fund</w:t>
        </w:r>
      </w:hyperlink>
      <w:r w:rsidR="00FA3B11">
        <w:t xml:space="preserve"> </w:t>
      </w:r>
      <w:r w:rsidR="00C005B5">
        <w:t>Accessed on: 15.03.22</w:t>
      </w:r>
    </w:p>
  </w:footnote>
  <w:footnote w:id="351">
    <w:p w14:paraId="2E592395" w14:textId="33BF2803" w:rsidR="0033672B" w:rsidRDefault="0033672B" w:rsidP="0033672B">
      <w:pPr>
        <w:pStyle w:val="FootnoteText"/>
      </w:pPr>
      <w:r>
        <w:rPr>
          <w:rStyle w:val="FootnoteReference"/>
        </w:rPr>
        <w:footnoteRef/>
      </w:r>
      <w:r>
        <w:t xml:space="preserve"> </w:t>
      </w:r>
      <w:r w:rsidR="00FA3B11">
        <w:t>WEC</w:t>
      </w:r>
      <w:r>
        <w:t xml:space="preserve"> (2020). </w:t>
      </w:r>
      <w:r w:rsidRPr="00422197">
        <w:rPr>
          <w:i/>
          <w:iCs/>
        </w:rPr>
        <w:t>Unequal impact? Coronavirus, disability and access to services</w:t>
      </w:r>
      <w:r>
        <w:t xml:space="preserve">. HC 1050, [online] 22 December. Available at: </w:t>
      </w:r>
      <w:hyperlink r:id="rId180" w:history="1">
        <w:r w:rsidR="00FA3B11" w:rsidRPr="00002AC9">
          <w:rPr>
            <w:rStyle w:val="Hyperlink"/>
          </w:rPr>
          <w:t>https://committees.parliament.uk/publications/4068/documents/40461/default/</w:t>
        </w:r>
      </w:hyperlink>
      <w:r w:rsidR="00FA3B11">
        <w:t xml:space="preserve"> </w:t>
      </w:r>
      <w:r w:rsidR="00C005B5">
        <w:t>Accessed on: 15.03.22</w:t>
      </w:r>
    </w:p>
  </w:footnote>
  <w:footnote w:id="352">
    <w:p w14:paraId="05FAD9B8" w14:textId="77777777" w:rsidR="00B40F3B" w:rsidRPr="009D53A1" w:rsidRDefault="00B40F3B" w:rsidP="00B40F3B">
      <w:pPr>
        <w:pStyle w:val="FootnoteText"/>
      </w:pPr>
      <w:r>
        <w:rPr>
          <w:rStyle w:val="FootnoteReference"/>
        </w:rPr>
        <w:footnoteRef/>
      </w:r>
      <w:r>
        <w:t xml:space="preserve"> </w:t>
      </w:r>
      <w:r>
        <w:t xml:space="preserve">Pring, J. (2018). </w:t>
      </w:r>
      <w:r w:rsidRPr="009D53A1">
        <w:t>New job stats raise questions over ministers’ boasts on disability employment</w:t>
      </w:r>
      <w:r>
        <w:t xml:space="preserve">. </w:t>
      </w:r>
      <w:r>
        <w:rPr>
          <w:i/>
          <w:iCs/>
        </w:rPr>
        <w:t>Disability News Service</w:t>
      </w:r>
      <w:r>
        <w:t xml:space="preserve">, [online] 20 September. Available at: </w:t>
      </w:r>
      <w:r w:rsidRPr="009D53A1">
        <w:t>https://www.disabilitynewsservice.com/new-job-stats-raise-questions-over-ministers-boasts-on-disability-employment/</w:t>
      </w:r>
    </w:p>
  </w:footnote>
  <w:footnote w:id="353">
    <w:p w14:paraId="037F2CB5" w14:textId="00B7EDFA" w:rsidR="00B40F3B" w:rsidRDefault="00B40F3B" w:rsidP="00B40F3B">
      <w:pPr>
        <w:pStyle w:val="FootnoteText"/>
      </w:pPr>
      <w:r>
        <w:rPr>
          <w:rStyle w:val="FootnoteReference"/>
        </w:rPr>
        <w:footnoteRef/>
      </w:r>
      <w:r>
        <w:t xml:space="preserve"> For example: ICO (2021). </w:t>
      </w:r>
      <w:r w:rsidRPr="00947320">
        <w:rPr>
          <w:i/>
          <w:iCs/>
        </w:rPr>
        <w:t>Freedom of Information Act 2000 (the Act) Decision notice</w:t>
      </w:r>
      <w:r>
        <w:t xml:space="preserve">. </w:t>
      </w:r>
      <w:r w:rsidRPr="00947320">
        <w:t>Reference: IC-48363-C8Q5</w:t>
      </w:r>
      <w:r>
        <w:t xml:space="preserve"> [online] 22 March. Available at: </w:t>
      </w:r>
      <w:hyperlink r:id="rId181" w:history="1">
        <w:r w:rsidRPr="00414B28">
          <w:rPr>
            <w:rStyle w:val="Hyperlink"/>
          </w:rPr>
          <w:t>https://ico.org.uk/media/action-weve-taken/decision-notices/2021/2619540/ic-48363-c8q5.pdf</w:t>
        </w:r>
      </w:hyperlink>
      <w:r>
        <w:t xml:space="preserve"> </w:t>
      </w:r>
      <w:r w:rsidR="00C005B5">
        <w:t>Accessed on: 15.03.22</w:t>
      </w:r>
    </w:p>
  </w:footnote>
  <w:footnote w:id="354">
    <w:p w14:paraId="40E2CC75" w14:textId="18F5CE8E" w:rsidR="00B40F3B" w:rsidRDefault="00B40F3B" w:rsidP="00B40F3B">
      <w:pPr>
        <w:pStyle w:val="FootnoteText"/>
      </w:pPr>
      <w:r>
        <w:rPr>
          <w:rStyle w:val="FootnoteReference"/>
        </w:rPr>
        <w:footnoteRef/>
      </w:r>
      <w:r>
        <w:t xml:space="preserve"> NAO (2020). </w:t>
      </w:r>
      <w:r w:rsidRPr="00947320">
        <w:rPr>
          <w:i/>
          <w:iCs/>
        </w:rPr>
        <w:t>Information held by the Department for Work and Pensions on deaths by suicide of benefit claimants</w:t>
      </w:r>
      <w:r>
        <w:t xml:space="preserve">. </w:t>
      </w:r>
      <w:r w:rsidRPr="00947320">
        <w:t>HC 79</w:t>
      </w:r>
      <w:r>
        <w:t xml:space="preserve">, </w:t>
      </w:r>
      <w:r w:rsidRPr="00947320">
        <w:t>2019-20</w:t>
      </w:r>
      <w:r>
        <w:t>, [online]</w:t>
      </w:r>
      <w:r w:rsidRPr="00947320">
        <w:t xml:space="preserve"> 7 F</w:t>
      </w:r>
      <w:r>
        <w:t xml:space="preserve">ebruary. Available at: </w:t>
      </w:r>
      <w:hyperlink r:id="rId182" w:history="1">
        <w:r w:rsidRPr="00414B28">
          <w:rPr>
            <w:rStyle w:val="Hyperlink"/>
          </w:rPr>
          <w:t>https://www.nao.org.uk/wp-content/uploads/2020/02/Information-held-by-the-DWP-on-deaths-by-suicide-of-benefit-claimants.pdf</w:t>
        </w:r>
      </w:hyperlink>
      <w:r>
        <w:t xml:space="preserve"> </w:t>
      </w:r>
      <w:r w:rsidR="00C005B5">
        <w:t>Accessed on: 15.03.22</w:t>
      </w:r>
    </w:p>
  </w:footnote>
  <w:footnote w:id="355">
    <w:p w14:paraId="57CA80E4" w14:textId="4A152280" w:rsidR="00B40F3B" w:rsidRPr="00B40F3B" w:rsidRDefault="00B40F3B" w:rsidP="00B40F3B">
      <w:pPr>
        <w:pStyle w:val="FootnoteText"/>
      </w:pPr>
      <w:r>
        <w:rPr>
          <w:rStyle w:val="FootnoteReference"/>
        </w:rPr>
        <w:footnoteRef/>
      </w:r>
      <w:r>
        <w:t xml:space="preserve"> </w:t>
      </w:r>
      <w:r>
        <w:t xml:space="preserve">Pring, J. (2019). </w:t>
      </w:r>
      <w:r w:rsidRPr="00B40F3B">
        <w:t>Caxton House cover-up: DWP hid benefit deaths papers from WCA review team</w:t>
      </w:r>
      <w:r>
        <w:t xml:space="preserve">. </w:t>
      </w:r>
      <w:r>
        <w:rPr>
          <w:i/>
          <w:iCs/>
        </w:rPr>
        <w:t>Disability News Service</w:t>
      </w:r>
      <w:r>
        <w:t xml:space="preserve">, [online] 9 May. Available on: </w:t>
      </w:r>
      <w:hyperlink r:id="rId183" w:history="1">
        <w:r w:rsidRPr="00414B28">
          <w:rPr>
            <w:rStyle w:val="Hyperlink"/>
          </w:rPr>
          <w:t>https://www.disabilitynewsservice.com/caxton-house-cover-up-dwp-hid-benefit-deaths-papers-from-wca-review-team/</w:t>
        </w:r>
      </w:hyperlink>
      <w:r>
        <w:t xml:space="preserve"> </w:t>
      </w:r>
      <w:r w:rsidR="00C005B5">
        <w:t>Accessed on: 15.03.22</w:t>
      </w:r>
    </w:p>
  </w:footnote>
  <w:footnote w:id="356">
    <w:p w14:paraId="0EBF833F" w14:textId="5971E73E" w:rsidR="00B40F3B" w:rsidRDefault="00B40F3B" w:rsidP="00B40F3B">
      <w:pPr>
        <w:pStyle w:val="FootnoteText"/>
      </w:pPr>
      <w:r>
        <w:rPr>
          <w:rStyle w:val="FootnoteReference"/>
        </w:rPr>
        <w:footnoteRef/>
      </w:r>
      <w:r>
        <w:t xml:space="preserve"> </w:t>
      </w:r>
      <w:r>
        <w:t xml:space="preserve">Pring, J. (2020). </w:t>
      </w:r>
      <w:r w:rsidRPr="00B40F3B">
        <w:t>DWP admits destroying secret reports into benefit-related deaths</w:t>
      </w:r>
      <w:r>
        <w:t xml:space="preserve">. </w:t>
      </w:r>
      <w:r w:rsidRPr="00B40F3B">
        <w:rPr>
          <w:i/>
          <w:iCs/>
        </w:rPr>
        <w:t>Disability News Service</w:t>
      </w:r>
      <w:r>
        <w:t xml:space="preserve">, [online] 27 February. Available at: </w:t>
      </w:r>
      <w:hyperlink r:id="rId184" w:history="1">
        <w:r w:rsidRPr="00414B28">
          <w:rPr>
            <w:rStyle w:val="Hyperlink"/>
          </w:rPr>
          <w:t>https://www.disabilitynewsservice.com/dwp-admits-destroying-secret-reports-into-benefit-related-deaths/</w:t>
        </w:r>
      </w:hyperlink>
      <w:r>
        <w:t xml:space="preserve"> </w:t>
      </w:r>
      <w:r w:rsidR="00C005B5">
        <w:t>Accessed on: 15.03.22</w:t>
      </w:r>
    </w:p>
  </w:footnote>
  <w:footnote w:id="357">
    <w:p w14:paraId="641AC840" w14:textId="69B30F35" w:rsidR="00B40F3B" w:rsidRDefault="00B40F3B" w:rsidP="00B40F3B">
      <w:pPr>
        <w:pStyle w:val="FootnoteText"/>
      </w:pPr>
      <w:r>
        <w:rPr>
          <w:rStyle w:val="FootnoteReference"/>
        </w:rPr>
        <w:footnoteRef/>
      </w:r>
      <w:r>
        <w:t xml:space="preserve"> WPC (2022). </w:t>
      </w:r>
      <w:r w:rsidRPr="008D6874">
        <w:rPr>
          <w:i/>
          <w:iCs/>
        </w:rPr>
        <w:t>Disabled people’s experiences of the benefits system: Committee publishes Government-commissioned research</w:t>
      </w:r>
      <w:r>
        <w:t xml:space="preserve">. [press release] 3 February. Available at: </w:t>
      </w:r>
      <w:hyperlink r:id="rId185" w:history="1">
        <w:r w:rsidRPr="00012462">
          <w:rPr>
            <w:rStyle w:val="Hyperlink"/>
          </w:rPr>
          <w:t>https://committees.parliament.uk/committee/164/work-and-pensions-committee/news/160750/disabled-peoples-experiences-of-the-benefits-system-committee-publishes-governmentcommissioned-research/</w:t>
        </w:r>
      </w:hyperlink>
      <w:r>
        <w:t xml:space="preserve"> </w:t>
      </w:r>
      <w:r w:rsidR="00C005B5">
        <w:t>Accessed on: 15.03.22</w:t>
      </w:r>
    </w:p>
  </w:footnote>
  <w:footnote w:id="358">
    <w:p w14:paraId="72811A36" w14:textId="6E7481D0" w:rsidR="00B40F3B" w:rsidRPr="0060672E" w:rsidRDefault="00B40F3B" w:rsidP="00B40F3B">
      <w:pPr>
        <w:pStyle w:val="FootnoteText"/>
      </w:pPr>
      <w:r>
        <w:rPr>
          <w:rStyle w:val="FootnoteReference"/>
        </w:rPr>
        <w:footnoteRef/>
      </w:r>
      <w:r>
        <w:t xml:space="preserve"> Butler, P. (2022). </w:t>
      </w:r>
      <w:r w:rsidRPr="0060672E">
        <w:t>Report on effectiveness of benefit sanctions blocked by DWP</w:t>
      </w:r>
      <w:r>
        <w:t xml:space="preserve">. </w:t>
      </w:r>
      <w:r>
        <w:rPr>
          <w:i/>
          <w:iCs/>
        </w:rPr>
        <w:t>The Guardian</w:t>
      </w:r>
      <w:r>
        <w:t xml:space="preserve">, [online] 27 January. Available at: </w:t>
      </w:r>
      <w:hyperlink r:id="rId186" w:history="1">
        <w:r w:rsidRPr="00012462">
          <w:rPr>
            <w:rStyle w:val="Hyperlink"/>
          </w:rPr>
          <w:t>https://www.theguardian.com/society/2022/jan/27/report-on-effectiveness-of-benefit-sanctions-blocked-by-dwp</w:t>
        </w:r>
      </w:hyperlink>
      <w:r>
        <w:t xml:space="preserve"> </w:t>
      </w:r>
      <w:r w:rsidR="00C005B5">
        <w:t>Accessed on: 15.03.22</w:t>
      </w:r>
    </w:p>
  </w:footnote>
  <w:footnote w:id="359">
    <w:p w14:paraId="5DD77716" w14:textId="2245DCBA" w:rsidR="00B40F3B" w:rsidRDefault="00B40F3B" w:rsidP="00B40F3B">
      <w:pPr>
        <w:pStyle w:val="FootnoteText"/>
      </w:pPr>
      <w:r>
        <w:rPr>
          <w:rStyle w:val="FootnoteReference"/>
        </w:rPr>
        <w:footnoteRef/>
      </w:r>
      <w:r>
        <w:t xml:space="preserve"> WPC 2018 p.3; WPC (2021). </w:t>
      </w:r>
      <w:r w:rsidRPr="008D6874">
        <w:rPr>
          <w:i/>
          <w:iCs/>
        </w:rPr>
        <w:t>Disability employment gap</w:t>
      </w:r>
      <w:r>
        <w:t xml:space="preserve">. HC 189, 2021-22, [online] 22 July, p.67 Available at:  </w:t>
      </w:r>
      <w:hyperlink r:id="rId187" w:history="1">
        <w:r w:rsidRPr="00012462">
          <w:rPr>
            <w:rStyle w:val="Hyperlink"/>
          </w:rPr>
          <w:t>https://committees.parliament.uk/publications/7005/documents/72950/default/</w:t>
        </w:r>
      </w:hyperlink>
      <w:r>
        <w:t xml:space="preserve"> </w:t>
      </w:r>
      <w:r w:rsidR="00C005B5">
        <w:t>Accessed on: 15.03.22</w:t>
      </w:r>
    </w:p>
  </w:footnote>
  <w:footnote w:id="360">
    <w:p w14:paraId="4B3DE6B0" w14:textId="07BFA2E7" w:rsidR="008E1968" w:rsidRDefault="008E1968" w:rsidP="008E1968">
      <w:pPr>
        <w:pStyle w:val="FootnoteText"/>
      </w:pPr>
      <w:r>
        <w:rPr>
          <w:rStyle w:val="FootnoteReference"/>
        </w:rPr>
        <w:footnoteRef/>
      </w:r>
      <w:r>
        <w:t xml:space="preserve"> See: </w:t>
      </w:r>
      <w:hyperlink r:id="rId188" w:history="1">
        <w:r w:rsidR="00893A7C" w:rsidRPr="00A97FBA">
          <w:rPr>
            <w:rStyle w:val="Hyperlink"/>
          </w:rPr>
          <w:t>https://www.lbhf.gov.uk/councillors-and-democracy/resident-led-commissions/disabled-people-s-commission/nothing-about-disabled-people-without-disabled-people</w:t>
        </w:r>
      </w:hyperlink>
      <w:r w:rsidR="00893A7C">
        <w:t xml:space="preserve">. </w:t>
      </w:r>
    </w:p>
  </w:footnote>
  <w:footnote w:id="361">
    <w:p w14:paraId="20C7D544" w14:textId="1D959FB3" w:rsidR="008E1968" w:rsidRDefault="008E1968" w:rsidP="008E1968">
      <w:pPr>
        <w:pStyle w:val="FootnoteText"/>
      </w:pPr>
      <w:r>
        <w:rPr>
          <w:rStyle w:val="FootnoteReference"/>
        </w:rPr>
        <w:footnoteRef/>
      </w:r>
      <w:r>
        <w:t xml:space="preserve"> DDPO6</w:t>
      </w:r>
    </w:p>
  </w:footnote>
  <w:footnote w:id="362">
    <w:p w14:paraId="2D4D57B0" w14:textId="16EEF820" w:rsidR="008E1968" w:rsidRDefault="008E1968" w:rsidP="008E1968">
      <w:pPr>
        <w:pStyle w:val="FootnoteText"/>
      </w:pPr>
      <w:r>
        <w:rPr>
          <w:rStyle w:val="FootnoteReference"/>
        </w:rPr>
        <w:footnoteRef/>
      </w:r>
      <w:r>
        <w:t xml:space="preserve"> See: </w:t>
      </w:r>
      <w:hyperlink r:id="rId189" w:history="1">
        <w:r w:rsidR="00FD6F43" w:rsidRPr="00A97FBA">
          <w:rPr>
            <w:rStyle w:val="Hyperlink"/>
          </w:rPr>
          <w:t>https://gmdisabledpeoplespanel.com/</w:t>
        </w:r>
      </w:hyperlink>
      <w:r w:rsidR="00FD6F43">
        <w:t xml:space="preserve">. </w:t>
      </w:r>
    </w:p>
  </w:footnote>
  <w:footnote w:id="363">
    <w:p w14:paraId="227E00C4" w14:textId="5EB54C34" w:rsidR="00FD6F43" w:rsidRDefault="00FD6F43">
      <w:pPr>
        <w:pStyle w:val="FootnoteText"/>
      </w:pPr>
      <w:r>
        <w:rPr>
          <w:rStyle w:val="FootnoteReference"/>
        </w:rPr>
        <w:footnoteRef/>
      </w:r>
      <w:r>
        <w:t xml:space="preserve"> </w:t>
      </w:r>
      <w:r w:rsidRPr="00952792">
        <w:t xml:space="preserve">Pring, J. (2019). Council accused of ‘settling scores’ after cutting funding from DPO that criticised it. </w:t>
      </w:r>
      <w:r w:rsidRPr="00952792">
        <w:rPr>
          <w:i/>
          <w:iCs/>
        </w:rPr>
        <w:t>Disability News Service</w:t>
      </w:r>
      <w:r w:rsidRPr="00952792">
        <w:t xml:space="preserve">, [online] 11 April. Available at: </w:t>
      </w:r>
      <w:hyperlink r:id="rId190" w:history="1">
        <w:r w:rsidRPr="00A97FBA">
          <w:rPr>
            <w:rStyle w:val="Hyperlink"/>
          </w:rPr>
          <w:t>https://www.disabilitynewsservice.com/council-accused-of-settling-scores-after-cutting-funding-from-dpo-that-criticised-it/</w:t>
        </w:r>
      </w:hyperlink>
      <w:r>
        <w:t xml:space="preserve">. </w:t>
      </w:r>
      <w:r w:rsidRPr="00952792">
        <w:t>Accessed on:</w:t>
      </w:r>
      <w:r>
        <w:t xml:space="preserve"> 15.03.22.</w:t>
      </w:r>
    </w:p>
  </w:footnote>
  <w:footnote w:id="364">
    <w:p w14:paraId="641BD58E" w14:textId="6AEEF159" w:rsidR="00AE7DF0" w:rsidRDefault="00AE7DF0">
      <w:pPr>
        <w:pStyle w:val="FootnoteText"/>
      </w:pPr>
      <w:r>
        <w:rPr>
          <w:rStyle w:val="FootnoteReference"/>
        </w:rPr>
        <w:footnoteRef/>
      </w:r>
      <w:r>
        <w:t xml:space="preserve"> </w:t>
      </w:r>
      <w:r w:rsidRPr="00952792">
        <w:t xml:space="preserve">Pring, J. (2019). User-led sector ‘faces threat of extinction’. </w:t>
      </w:r>
      <w:r w:rsidRPr="00952792">
        <w:rPr>
          <w:i/>
          <w:iCs/>
        </w:rPr>
        <w:t>Disability News Service</w:t>
      </w:r>
      <w:r w:rsidRPr="00952792">
        <w:t xml:space="preserve">, [online] 14 February. Available at: </w:t>
      </w:r>
      <w:hyperlink r:id="rId191" w:history="1">
        <w:r w:rsidRPr="00A97FBA">
          <w:rPr>
            <w:rStyle w:val="Hyperlink"/>
          </w:rPr>
          <w:t>https://www.disabilitynewsservice.com/user-led-sector-faces-threat-of-extinction/</w:t>
        </w:r>
      </w:hyperlink>
      <w:r>
        <w:t xml:space="preserve">. </w:t>
      </w:r>
      <w:r w:rsidRPr="00952792">
        <w:t xml:space="preserve">Accessed on: </w:t>
      </w:r>
      <w:r>
        <w:t>15.03.22</w:t>
      </w:r>
    </w:p>
  </w:footnote>
  <w:footnote w:id="365">
    <w:p w14:paraId="11B394CA" w14:textId="6715C6F3" w:rsidR="00BF3652" w:rsidRPr="00BA1E24" w:rsidRDefault="00BF3652" w:rsidP="00BF3652">
      <w:pPr>
        <w:pStyle w:val="FootnoteText"/>
        <w:rPr>
          <w:highlight w:val="yellow"/>
        </w:rPr>
      </w:pPr>
      <w:r w:rsidRPr="00197DCB">
        <w:rPr>
          <w:rStyle w:val="FootnoteReference"/>
        </w:rPr>
        <w:footnoteRef/>
      </w:r>
      <w:r w:rsidRPr="00197DCB">
        <w:t xml:space="preserve"> EDM 382. </w:t>
      </w:r>
      <w:r w:rsidRPr="00197DCB">
        <w:rPr>
          <w:i/>
          <w:iCs/>
        </w:rPr>
        <w:t>Budget for Equality and Human Rights Commission</w:t>
      </w:r>
      <w:r w:rsidRPr="00197DCB">
        <w:t xml:space="preserve">. 2016-2017. Available at: </w:t>
      </w:r>
      <w:hyperlink r:id="rId192" w:history="1">
        <w:r w:rsidR="00FA3B11" w:rsidRPr="00002AC9">
          <w:rPr>
            <w:rStyle w:val="Hyperlink"/>
          </w:rPr>
          <w:t>https://edm.parliament.uk/early-day-motion/49634/budget-for-equality-and-human-rights-commission</w:t>
        </w:r>
      </w:hyperlink>
      <w:r w:rsidR="00FA3B11">
        <w:t xml:space="preserve"> </w:t>
      </w:r>
      <w:r w:rsidR="00C005B5">
        <w:t>Accessed on: 15.03.22</w:t>
      </w:r>
    </w:p>
  </w:footnote>
  <w:footnote w:id="366">
    <w:p w14:paraId="6F3D437D" w14:textId="0CAB342A" w:rsidR="00FA3B11" w:rsidRDefault="00BF3652" w:rsidP="00BF3652">
      <w:pPr>
        <w:pStyle w:val="FootnoteText"/>
        <w:rPr>
          <w:highlight w:val="yellow"/>
        </w:rPr>
      </w:pPr>
      <w:r w:rsidRPr="009D6639">
        <w:rPr>
          <w:rStyle w:val="FootnoteReference"/>
        </w:rPr>
        <w:footnoteRef/>
      </w:r>
      <w:r w:rsidRPr="009D6639">
        <w:t xml:space="preserve"> </w:t>
      </w:r>
      <w:r w:rsidRPr="009D6639">
        <w:t xml:space="preserve">Pring, J. (2020). EHRC failed to consult its own disabled advisers before snubbing DWP deaths probe. </w:t>
      </w:r>
      <w:r w:rsidRPr="009D6639">
        <w:rPr>
          <w:i/>
          <w:iCs/>
        </w:rPr>
        <w:t>Disability News Service</w:t>
      </w:r>
      <w:r w:rsidRPr="009D6639">
        <w:t xml:space="preserve">, 2 July. Available at: </w:t>
      </w:r>
      <w:hyperlink r:id="rId193" w:history="1">
        <w:r w:rsidRPr="00FA3B11">
          <w:rPr>
            <w:rStyle w:val="Hyperlink"/>
          </w:rPr>
          <w:t>https://www.disabilitynewsservice.com/ehrc-failed-to-consult-its-own-disabled-advisers-before-snubbing-dwp-deaths-probe/</w:t>
        </w:r>
      </w:hyperlink>
      <w:r w:rsidR="00FA3B11" w:rsidRPr="00FA3B11">
        <w:t xml:space="preserve"> </w:t>
      </w:r>
      <w:r w:rsidR="00C005B5">
        <w:t>Accessed on: 15.03.22</w:t>
      </w:r>
    </w:p>
    <w:p w14:paraId="315FC879" w14:textId="5F937390" w:rsidR="00BF3652" w:rsidRPr="009D6639" w:rsidRDefault="001A4FD3" w:rsidP="00BF3652">
      <w:pPr>
        <w:pStyle w:val="FootnoteText"/>
      </w:pPr>
      <w:r w:rsidRPr="00FC2110">
        <w:t>See also DDPO40. This correspondence to EHRC from DDP/DDPOs concerning DDP deaths never received a response.</w:t>
      </w:r>
    </w:p>
  </w:footnote>
  <w:footnote w:id="367">
    <w:p w14:paraId="6C6AF56D" w14:textId="30AE8A46" w:rsidR="00BF3652" w:rsidRDefault="00BF3652">
      <w:pPr>
        <w:pStyle w:val="FootnoteText"/>
      </w:pPr>
      <w:r w:rsidRPr="001A4FD3">
        <w:rPr>
          <w:rStyle w:val="FootnoteReference"/>
        </w:rPr>
        <w:footnoteRef/>
      </w:r>
      <w:r w:rsidRPr="001A4FD3">
        <w:t xml:space="preserve"> </w:t>
      </w:r>
      <w:r w:rsidR="001A4FD3" w:rsidRPr="001A4FD3">
        <w:t>DDPO39</w:t>
      </w:r>
    </w:p>
  </w:footnote>
  <w:footnote w:id="368">
    <w:p w14:paraId="6BFAB1C2" w14:textId="1D51CFF4" w:rsidR="007450E4" w:rsidRDefault="007450E4">
      <w:pPr>
        <w:pStyle w:val="FootnoteText"/>
      </w:pPr>
      <w:r>
        <w:rPr>
          <w:rStyle w:val="FootnoteReference"/>
        </w:rPr>
        <w:footnoteRef/>
      </w:r>
      <w:r>
        <w:t xml:space="preserve"> </w:t>
      </w:r>
      <w:r w:rsidRPr="00397742">
        <w:t xml:space="preserve">Pring, J. (2022). New concerns over equality watchdog as it scraps disability committee. </w:t>
      </w:r>
      <w:r w:rsidRPr="00397742">
        <w:rPr>
          <w:i/>
          <w:iCs/>
        </w:rPr>
        <w:t>Disability News Service</w:t>
      </w:r>
      <w:r w:rsidRPr="00397742">
        <w:t xml:space="preserve">, [online] 3 March. Available at: </w:t>
      </w:r>
      <w:hyperlink r:id="rId194" w:history="1">
        <w:r w:rsidRPr="00A97FBA">
          <w:rPr>
            <w:rStyle w:val="Hyperlink"/>
          </w:rPr>
          <w:t>https://www.disabilitynewsservice.com/new-concerns-over-equality-watchdog-as-it-scraps-disability-committee/</w:t>
        </w:r>
      </w:hyperlink>
      <w:r>
        <w:t xml:space="preserve">. </w:t>
      </w:r>
      <w:r w:rsidRPr="00397742">
        <w:t xml:space="preserve">Accessed on: </w:t>
      </w:r>
      <w:r>
        <w:t>15.03.22</w:t>
      </w:r>
    </w:p>
  </w:footnote>
  <w:footnote w:id="369">
    <w:p w14:paraId="749ED595" w14:textId="15E5749C" w:rsidR="007450E4" w:rsidRDefault="007450E4">
      <w:pPr>
        <w:pStyle w:val="FootnoteText"/>
      </w:pPr>
      <w:r>
        <w:rPr>
          <w:rStyle w:val="FootnoteReference"/>
        </w:rPr>
        <w:footnoteRef/>
      </w:r>
      <w:r>
        <w:t xml:space="preserve"> </w:t>
      </w:r>
      <w:r w:rsidRPr="00397742">
        <w:t xml:space="preserve">EHRC (2022). </w:t>
      </w:r>
      <w:r w:rsidRPr="00397742">
        <w:rPr>
          <w:i/>
          <w:iCs/>
        </w:rPr>
        <w:t>Statement on our Disability Advisory Committee</w:t>
      </w:r>
      <w:r w:rsidRPr="00397742">
        <w:t xml:space="preserve">. [press release] 9 March. Available at: </w:t>
      </w:r>
      <w:hyperlink r:id="rId195" w:history="1">
        <w:r w:rsidRPr="00A97FBA">
          <w:rPr>
            <w:rStyle w:val="Hyperlink"/>
          </w:rPr>
          <w:t>https://www.equalityhumanrights.com/en/our-work/news/statement-our-disability-advisory-committee</w:t>
        </w:r>
      </w:hyperlink>
      <w:r>
        <w:t xml:space="preserve">. </w:t>
      </w:r>
      <w:r w:rsidRPr="00397742">
        <w:t xml:space="preserve">Accessed on: </w:t>
      </w:r>
      <w:r>
        <w:t>15.03.22</w:t>
      </w:r>
    </w:p>
  </w:footnote>
  <w:footnote w:id="370">
    <w:p w14:paraId="2CCD6188" w14:textId="7C86E53B" w:rsidR="007450E4" w:rsidRDefault="007450E4">
      <w:pPr>
        <w:pStyle w:val="FootnoteText"/>
      </w:pPr>
      <w:r>
        <w:rPr>
          <w:rStyle w:val="FootnoteReference"/>
        </w:rPr>
        <w:footnoteRef/>
      </w:r>
      <w:r>
        <w:t xml:space="preserve"> </w:t>
      </w:r>
      <w:r w:rsidRPr="00397742">
        <w:t xml:space="preserve">Pring, J. (2013). Equality watchdog to scrap vital disability committee. </w:t>
      </w:r>
      <w:r w:rsidRPr="00397742">
        <w:rPr>
          <w:i/>
          <w:iCs/>
        </w:rPr>
        <w:t>Disability News Service</w:t>
      </w:r>
      <w:r w:rsidRPr="00397742">
        <w:t xml:space="preserve">, [online] 19 July. Available at: </w:t>
      </w:r>
      <w:hyperlink r:id="rId196" w:history="1">
        <w:r w:rsidRPr="00A97FBA">
          <w:rPr>
            <w:rStyle w:val="Hyperlink"/>
          </w:rPr>
          <w:t>https://www.disabilitynewsservice.com/equality-watchdog-to-scrap-vital-disability-committee/</w:t>
        </w:r>
      </w:hyperlink>
      <w:r>
        <w:t xml:space="preserve">. </w:t>
      </w:r>
      <w:r w:rsidRPr="00397742">
        <w:t xml:space="preserve">Accessed on: </w:t>
      </w:r>
      <w:r>
        <w:t>15.03.22</w:t>
      </w:r>
    </w:p>
  </w:footnote>
  <w:footnote w:id="371">
    <w:p w14:paraId="6638BB22" w14:textId="60313F84" w:rsidR="007450E4" w:rsidRDefault="007450E4">
      <w:pPr>
        <w:pStyle w:val="FootnoteText"/>
      </w:pPr>
      <w:r>
        <w:rPr>
          <w:rStyle w:val="FootnoteReference"/>
        </w:rPr>
        <w:footnoteRef/>
      </w:r>
      <w:r>
        <w:t xml:space="preserve"> </w:t>
      </w:r>
      <w:r w:rsidRPr="00397742">
        <w:t xml:space="preserve">Pring, J. (2022). New concerns over equality watchdog as it scraps disability committee. </w:t>
      </w:r>
      <w:r w:rsidRPr="00397742">
        <w:rPr>
          <w:i/>
          <w:iCs/>
        </w:rPr>
        <w:t>Disability News Service</w:t>
      </w:r>
      <w:r w:rsidRPr="00397742">
        <w:t xml:space="preserve">, [online] 3 March. Available at: </w:t>
      </w:r>
      <w:hyperlink r:id="rId197" w:history="1">
        <w:r w:rsidRPr="00A97FBA">
          <w:rPr>
            <w:rStyle w:val="Hyperlink"/>
          </w:rPr>
          <w:t>https://www.disabilitynewsservice.com/new-concerns-over-equality-watchdog-as-it-scraps-disability-committee/</w:t>
        </w:r>
      </w:hyperlink>
      <w:r>
        <w:t xml:space="preserve">. </w:t>
      </w:r>
      <w:r w:rsidRPr="00397742">
        <w:t xml:space="preserve">Accessed on: </w:t>
      </w:r>
      <w:r>
        <w:t>15.03.22</w:t>
      </w:r>
    </w:p>
  </w:footnote>
  <w:footnote w:id="372">
    <w:p w14:paraId="32414732" w14:textId="2A40D2F6" w:rsidR="001F18A3" w:rsidRDefault="007450E4" w:rsidP="001F18A3">
      <w:pPr>
        <w:pStyle w:val="FootnoteText"/>
      </w:pPr>
      <w:r>
        <w:rPr>
          <w:rStyle w:val="FootnoteReference"/>
        </w:rPr>
        <w:footnoteRef/>
      </w:r>
      <w:r>
        <w:t xml:space="preserve"> </w:t>
      </w:r>
      <w:r w:rsidR="001F18A3">
        <w:t xml:space="preserve">D.DP39; Brooks, L. (2022). LGBT+ groups call for EHRC to lose international status over trans stance. </w:t>
      </w:r>
      <w:r w:rsidR="001F18A3">
        <w:rPr>
          <w:i/>
          <w:iCs/>
        </w:rPr>
        <w:t>The Guardian</w:t>
      </w:r>
      <w:r w:rsidR="001F18A3">
        <w:t xml:space="preserve">, [online] 11 February. Available at: </w:t>
      </w:r>
      <w:hyperlink r:id="rId198" w:history="1">
        <w:r w:rsidR="001F18A3" w:rsidRPr="002A3E64">
          <w:rPr>
            <w:rStyle w:val="Hyperlink"/>
          </w:rPr>
          <w:t>https://www.theguardian.com/society/2022/feb/11/lgbt-groups-call-for-anti-trans-ehrc-to-lose-international-status</w:t>
        </w:r>
      </w:hyperlink>
      <w:r w:rsidR="001F18A3">
        <w:t xml:space="preserve"> Accessed </w:t>
      </w:r>
      <w:r w:rsidR="001F18A3" w:rsidRPr="00493360">
        <w:t>on: 15.03.22</w:t>
      </w:r>
    </w:p>
    <w:p w14:paraId="1047521A" w14:textId="0D5525C7" w:rsidR="007450E4" w:rsidRDefault="001F18A3" w:rsidP="001F18A3">
      <w:pPr>
        <w:pStyle w:val="FootnoteText"/>
      </w:pPr>
      <w:r>
        <w:t xml:space="preserve">Siddique, H. (2021). </w:t>
      </w:r>
      <w:r w:rsidRPr="00424E77">
        <w:t>EHRC undermined by pressure to support No 10 agenda, says ex-chair</w:t>
      </w:r>
      <w:r>
        <w:t xml:space="preserve">. </w:t>
      </w:r>
      <w:r>
        <w:rPr>
          <w:i/>
          <w:iCs/>
        </w:rPr>
        <w:t>The Guardian</w:t>
      </w:r>
      <w:r>
        <w:t xml:space="preserve">, [online] 18 January. Available at: </w:t>
      </w:r>
      <w:hyperlink r:id="rId199" w:history="1">
        <w:r w:rsidRPr="002A3E64">
          <w:rPr>
            <w:rStyle w:val="Hyperlink"/>
          </w:rPr>
          <w:t>https://www.theguardian.com/society/2021/jan/18/ehrc-undermined-pressure-support-no-10-agenda-david-isaac</w:t>
        </w:r>
      </w:hyperlink>
      <w:r>
        <w:t xml:space="preserve"> Accessed on: 15.03.22</w:t>
      </w:r>
    </w:p>
  </w:footnote>
  <w:footnote w:id="373">
    <w:p w14:paraId="06F1FD38" w14:textId="6FAC829D" w:rsidR="00AD2526" w:rsidRPr="007450E4" w:rsidRDefault="00AD2526">
      <w:pPr>
        <w:pStyle w:val="FootnoteText"/>
      </w:pPr>
      <w:r w:rsidRPr="007450E4">
        <w:rPr>
          <w:rStyle w:val="FootnoteReference"/>
        </w:rPr>
        <w:footnoteRef/>
      </w:r>
      <w:r w:rsidRPr="007450E4">
        <w:t xml:space="preserve"> </w:t>
      </w:r>
      <w:r w:rsidR="007450E4" w:rsidRPr="007450E4">
        <w:t>DDPO26</w:t>
      </w:r>
    </w:p>
  </w:footnote>
  <w:footnote w:id="374">
    <w:p w14:paraId="43FBCE08" w14:textId="1BB0249B" w:rsidR="00890EE3" w:rsidRDefault="00890EE3" w:rsidP="00890EE3">
      <w:pPr>
        <w:pStyle w:val="FootnoteText"/>
      </w:pPr>
      <w:r w:rsidRPr="007450E4">
        <w:rPr>
          <w:rStyle w:val="FootnoteReference"/>
        </w:rPr>
        <w:footnoteRef/>
      </w:r>
      <w:r w:rsidRPr="007450E4">
        <w:t xml:space="preserve"> Sections</w:t>
      </w:r>
      <w:r w:rsidRPr="00CC5107">
        <w:t xml:space="preserve"> 15a, 15d, 20, 27, 47, 48, 81, 83 and 98a</w:t>
      </w:r>
      <w:r>
        <w:t xml:space="preserve">. </w:t>
      </w:r>
      <w:r w:rsidR="003D21D2">
        <w:t>As above</w:t>
      </w:r>
      <w:r>
        <w:t>.</w:t>
      </w:r>
    </w:p>
  </w:footnote>
  <w:footnote w:id="375">
    <w:p w14:paraId="62BF9A1E" w14:textId="77777777" w:rsidR="00FA1A2D" w:rsidRDefault="00FA1A2D" w:rsidP="00FA1A2D">
      <w:pPr>
        <w:pStyle w:val="FootnoteText"/>
      </w:pPr>
      <w:r>
        <w:rPr>
          <w:rStyle w:val="FootnoteReference"/>
        </w:rPr>
        <w:footnoteRef/>
      </w:r>
      <w:r>
        <w:t xml:space="preserve"> DDPO27</w:t>
      </w:r>
    </w:p>
  </w:footnote>
  <w:footnote w:id="376">
    <w:p w14:paraId="22A3DF3C" w14:textId="0E235034" w:rsidR="00895915" w:rsidRDefault="00895915">
      <w:pPr>
        <w:pStyle w:val="FootnoteText"/>
      </w:pPr>
      <w:r w:rsidRPr="00854079">
        <w:rPr>
          <w:rStyle w:val="FootnoteReference"/>
        </w:rPr>
        <w:footnoteRef/>
      </w:r>
      <w:r w:rsidRPr="00854079">
        <w:t xml:space="preserve"> </w:t>
      </w:r>
      <w:r w:rsidR="00854079" w:rsidRPr="00854079">
        <w:t>DDPO5</w:t>
      </w:r>
    </w:p>
  </w:footnote>
  <w:footnote w:id="377">
    <w:p w14:paraId="1451BFD1" w14:textId="710A65A7" w:rsidR="00824610" w:rsidRDefault="00824610" w:rsidP="000B707E">
      <w:pPr>
        <w:pStyle w:val="FootnoteText"/>
      </w:pPr>
      <w:r>
        <w:rPr>
          <w:rStyle w:val="FootnoteReference"/>
        </w:rPr>
        <w:footnoteRef/>
      </w:r>
      <w:r>
        <w:t xml:space="preserve"> </w:t>
      </w:r>
      <w:r w:rsidR="000B707E">
        <w:t xml:space="preserve">DHSC (2021). </w:t>
      </w:r>
      <w:r w:rsidR="000B707E" w:rsidRPr="000B707E">
        <w:rPr>
          <w:i/>
          <w:iCs/>
        </w:rPr>
        <w:t>Reforming the Mental Health Act</w:t>
      </w:r>
      <w:r w:rsidR="000B707E">
        <w:t>, CP 355, [online] January. Available at:</w:t>
      </w:r>
      <w:r w:rsidR="0093401D">
        <w:t> </w:t>
      </w:r>
      <w:hyperlink r:id="rId200" w:history="1">
        <w:r w:rsidR="0093401D" w:rsidRPr="00A97FBA">
          <w:rPr>
            <w:rStyle w:val="Hyperlink"/>
          </w:rPr>
          <w:t>https://assets.publishing.service.gov.uk/government/uploads/system/uploads/attachment_data/file/951398/mental-health-act-white-paper-web-accessible.pdf</w:t>
        </w:r>
      </w:hyperlink>
      <w:r w:rsidR="000B707E">
        <w:t xml:space="preserve"> </w:t>
      </w:r>
      <w:r w:rsidR="00C005B5">
        <w:t>Accessed on: 15.03.22</w:t>
      </w:r>
    </w:p>
  </w:footnote>
  <w:footnote w:id="378">
    <w:p w14:paraId="1F3883AE" w14:textId="77777777" w:rsidR="00824610" w:rsidRPr="0035572C" w:rsidRDefault="00824610" w:rsidP="00824610">
      <w:pPr>
        <w:pStyle w:val="FootnoteText"/>
      </w:pPr>
      <w:r w:rsidRPr="0035572C">
        <w:rPr>
          <w:rStyle w:val="FootnoteReference"/>
        </w:rPr>
        <w:footnoteRef/>
      </w:r>
      <w:r w:rsidRPr="0035572C">
        <w:t xml:space="preserve"> DDPO27</w:t>
      </w:r>
    </w:p>
  </w:footnote>
  <w:footnote w:id="379">
    <w:p w14:paraId="0DC3FCC7" w14:textId="77777777" w:rsidR="00134999" w:rsidRPr="00854079" w:rsidRDefault="00134999" w:rsidP="00134999">
      <w:pPr>
        <w:pStyle w:val="FootnoteText"/>
      </w:pPr>
      <w:r>
        <w:rPr>
          <w:rStyle w:val="FootnoteReference"/>
        </w:rPr>
        <w:footnoteRef/>
      </w:r>
      <w:r>
        <w:t xml:space="preserve"> </w:t>
      </w:r>
      <w:r>
        <w:t xml:space="preserve">Bubb, S. (2021). </w:t>
      </w:r>
      <w:r w:rsidRPr="00D1600A">
        <w:rPr>
          <w:i/>
          <w:iCs/>
        </w:rPr>
        <w:t>Building Rights: A report to the Keeping Bristol Safe Partnership Board. Review of Bristol’s policies and actions for people with learning disabilities and autism.</w:t>
      </w:r>
      <w:r>
        <w:t xml:space="preserve"> [online] Available at: </w:t>
      </w:r>
      <w:hyperlink r:id="rId201" w:history="1">
        <w:r w:rsidRPr="00A4243C">
          <w:rPr>
            <w:rStyle w:val="Hyperlink"/>
          </w:rPr>
          <w:t>https://democracy.bristol.gov.uk/documents/s62446/02%20-%202021-07-19%20Building%20Rights%20review%20Sir%20Stephen%20Bubb.pdf</w:t>
        </w:r>
      </w:hyperlink>
      <w:r>
        <w:t xml:space="preserve"> Accessed on: </w:t>
      </w:r>
      <w:r w:rsidRPr="00854079">
        <w:t>15.03.22</w:t>
      </w:r>
    </w:p>
  </w:footnote>
  <w:footnote w:id="380">
    <w:p w14:paraId="033F1D7D" w14:textId="6225011A" w:rsidR="00522F93" w:rsidRDefault="00522F93" w:rsidP="00522F93">
      <w:pPr>
        <w:pStyle w:val="FootnoteText"/>
      </w:pPr>
      <w:r>
        <w:rPr>
          <w:rStyle w:val="FootnoteReference"/>
        </w:rPr>
        <w:footnoteRef/>
      </w:r>
      <w:r>
        <w:t xml:space="preserve"> </w:t>
      </w:r>
      <w:r w:rsidR="00854079">
        <w:t>OO1</w:t>
      </w:r>
    </w:p>
  </w:footnote>
  <w:footnote w:id="381">
    <w:p w14:paraId="385D182D" w14:textId="276D6A66" w:rsidR="00085CE1" w:rsidRDefault="00085CE1">
      <w:pPr>
        <w:pStyle w:val="FootnoteText"/>
      </w:pPr>
      <w:r>
        <w:rPr>
          <w:rStyle w:val="FootnoteReference"/>
        </w:rPr>
        <w:footnoteRef/>
      </w:r>
      <w:r>
        <w:t xml:space="preserve"> OO5</w:t>
      </w:r>
    </w:p>
  </w:footnote>
  <w:footnote w:id="382">
    <w:p w14:paraId="7354A8B0" w14:textId="5158F697" w:rsidR="003B0F5F" w:rsidRDefault="003B0F5F">
      <w:pPr>
        <w:pStyle w:val="FootnoteText"/>
      </w:pPr>
      <w:r>
        <w:rPr>
          <w:rStyle w:val="FootnoteReference"/>
        </w:rPr>
        <w:footnoteRef/>
      </w:r>
      <w:r>
        <w:t xml:space="preserve"> DDPO5</w:t>
      </w:r>
    </w:p>
  </w:footnote>
  <w:footnote w:id="383">
    <w:p w14:paraId="6EEB5F68" w14:textId="74542387" w:rsidR="00366A72" w:rsidRDefault="00366A72">
      <w:pPr>
        <w:pStyle w:val="FootnoteText"/>
      </w:pPr>
      <w:r>
        <w:rPr>
          <w:rStyle w:val="FootnoteReference"/>
        </w:rPr>
        <w:footnoteRef/>
      </w:r>
      <w:r>
        <w:t xml:space="preserve"> OO13</w:t>
      </w:r>
    </w:p>
  </w:footnote>
  <w:footnote w:id="384">
    <w:p w14:paraId="66BB755B" w14:textId="233AE2CA" w:rsidR="00366A72" w:rsidRPr="00366A72" w:rsidRDefault="00366A72">
      <w:pPr>
        <w:pStyle w:val="FootnoteText"/>
      </w:pPr>
      <w:r>
        <w:rPr>
          <w:rStyle w:val="FootnoteReference"/>
        </w:rPr>
        <w:footnoteRef/>
      </w:r>
      <w:r>
        <w:t xml:space="preserve"> BBC News (2021). </w:t>
      </w:r>
      <w:r w:rsidRPr="00366A72">
        <w:t>Autism: Number of people stuck in hospital 'national scandal'</w:t>
      </w:r>
      <w:r>
        <w:t xml:space="preserve">. </w:t>
      </w:r>
      <w:r>
        <w:rPr>
          <w:i/>
          <w:iCs/>
        </w:rPr>
        <w:t>bbc.co.uk</w:t>
      </w:r>
      <w:r>
        <w:t xml:space="preserve">, [online] 14 July. Available at: </w:t>
      </w:r>
      <w:hyperlink r:id="rId202" w:history="1">
        <w:r w:rsidR="00285005" w:rsidRPr="00002AC9">
          <w:rPr>
            <w:rStyle w:val="Hyperlink"/>
          </w:rPr>
          <w:t>https://www.bbc.co.uk/news/uk-england-57722356</w:t>
        </w:r>
      </w:hyperlink>
      <w:r w:rsidR="00285005">
        <w:t xml:space="preserve"> </w:t>
      </w:r>
      <w:r w:rsidR="00C005B5">
        <w:t>Accessed on: 15.03.22</w:t>
      </w:r>
    </w:p>
  </w:footnote>
  <w:footnote w:id="385">
    <w:p w14:paraId="0DADEDC7" w14:textId="1BF1451D" w:rsidR="00497C90" w:rsidRPr="00497C90" w:rsidRDefault="00497C90">
      <w:pPr>
        <w:pStyle w:val="FootnoteText"/>
      </w:pPr>
      <w:r>
        <w:rPr>
          <w:rStyle w:val="FootnoteReference"/>
        </w:rPr>
        <w:footnoteRef/>
      </w:r>
      <w:r>
        <w:t xml:space="preserve"> McCubbin, J. and Clegg, R. (2021). 100 people held more than 20 years in institutions. </w:t>
      </w:r>
      <w:r>
        <w:rPr>
          <w:i/>
          <w:iCs/>
        </w:rPr>
        <w:t>BBC News</w:t>
      </w:r>
      <w:r>
        <w:t xml:space="preserve">, [online] </w:t>
      </w:r>
      <w:r w:rsidR="00366A72">
        <w:t xml:space="preserve">24 November. Available at: </w:t>
      </w:r>
      <w:hyperlink r:id="rId203" w:history="1">
        <w:r w:rsidR="00285005" w:rsidRPr="00002AC9">
          <w:rPr>
            <w:rStyle w:val="Hyperlink"/>
          </w:rPr>
          <w:t>https://www.bbc.co.uk/news/uk-59388886</w:t>
        </w:r>
      </w:hyperlink>
      <w:r w:rsidR="00285005">
        <w:t xml:space="preserve"> </w:t>
      </w:r>
      <w:r w:rsidR="00C005B5">
        <w:t>Accessed on: 15.03.22</w:t>
      </w:r>
    </w:p>
  </w:footnote>
  <w:footnote w:id="386">
    <w:p w14:paraId="583B0BAC" w14:textId="4076821A" w:rsidR="00366A72" w:rsidRDefault="00366A72">
      <w:pPr>
        <w:pStyle w:val="FootnoteText"/>
      </w:pPr>
      <w:r>
        <w:rPr>
          <w:rStyle w:val="FootnoteReference"/>
        </w:rPr>
        <w:footnoteRef/>
      </w:r>
      <w:r>
        <w:t xml:space="preserve"> DDPO5</w:t>
      </w:r>
    </w:p>
  </w:footnote>
  <w:footnote w:id="387">
    <w:p w14:paraId="67FDC958" w14:textId="3BB85E7A" w:rsidR="003D21D2" w:rsidRDefault="003D21D2" w:rsidP="003D21D2">
      <w:pPr>
        <w:pStyle w:val="FootnoteText"/>
      </w:pPr>
      <w:r>
        <w:rPr>
          <w:rStyle w:val="FootnoteReference"/>
        </w:rPr>
        <w:footnoteRef/>
      </w:r>
      <w:r>
        <w:t xml:space="preserve"> </w:t>
      </w:r>
      <w:r w:rsidRPr="005D5485">
        <w:t xml:space="preserve">Salman, S. (2019). ‘You can’t rehabilitate someone into society when they’re locked away’. </w:t>
      </w:r>
      <w:r w:rsidRPr="005D5485">
        <w:rPr>
          <w:i/>
          <w:iCs/>
        </w:rPr>
        <w:t>The Guardian</w:t>
      </w:r>
      <w:r w:rsidRPr="005D5485">
        <w:t xml:space="preserve">, [online] 16 January. Available at: </w:t>
      </w:r>
      <w:hyperlink r:id="rId204" w:history="1">
        <w:r w:rsidR="00285005" w:rsidRPr="00002AC9">
          <w:rPr>
            <w:rStyle w:val="Hyperlink"/>
          </w:rPr>
          <w:t>https://www.theguardian.com/society/2019/jan/16/rehab-centre-learning-disabilities-secure-units-community</w:t>
        </w:r>
      </w:hyperlink>
      <w:r w:rsidRPr="005D5485">
        <w:t>)</w:t>
      </w:r>
      <w:r w:rsidR="00285005">
        <w:t xml:space="preserve"> Access</w:t>
      </w:r>
      <w:r w:rsidR="00854079">
        <w:t>ed</w:t>
      </w:r>
      <w:r w:rsidR="00285005">
        <w:t xml:space="preserve"> on</w:t>
      </w:r>
      <w:r w:rsidR="00854079">
        <w:t>: 15.03.22</w:t>
      </w:r>
    </w:p>
  </w:footnote>
  <w:footnote w:id="388">
    <w:p w14:paraId="39F12B38" w14:textId="0327909C" w:rsidR="00AB4AF2" w:rsidRDefault="00AB4AF2">
      <w:pPr>
        <w:pStyle w:val="FootnoteText"/>
      </w:pPr>
      <w:r>
        <w:rPr>
          <w:rStyle w:val="FootnoteReference"/>
        </w:rPr>
        <w:footnoteRef/>
      </w:r>
      <w:r>
        <w:t xml:space="preserve"> EHRC (2020). </w:t>
      </w:r>
      <w:r w:rsidRPr="00AB4AF2">
        <w:rPr>
          <w:i/>
          <w:iCs/>
        </w:rPr>
        <w:t>Health Secretary faces legal challenge for failing patients with learning disabilities and autism</w:t>
      </w:r>
      <w:r>
        <w:t xml:space="preserve">. [press release], 12 February. Available at: </w:t>
      </w:r>
      <w:hyperlink r:id="rId205" w:history="1">
        <w:r w:rsidR="00285005" w:rsidRPr="00002AC9">
          <w:rPr>
            <w:rStyle w:val="Hyperlink"/>
          </w:rPr>
          <w:t>https://www.equalityhumanrights.com/en/our-work/news/health-secretary-faces-legal-challenge-failing-patients-learning-disabilities-and</w:t>
        </w:r>
      </w:hyperlink>
      <w:r w:rsidR="00285005">
        <w:t xml:space="preserve"> </w:t>
      </w:r>
      <w:r w:rsidR="00C005B5">
        <w:t>Accessed on: 15.03.22</w:t>
      </w:r>
    </w:p>
  </w:footnote>
  <w:footnote w:id="389">
    <w:p w14:paraId="442E323A" w14:textId="738B4033" w:rsidR="00121A9A" w:rsidRDefault="00121A9A">
      <w:pPr>
        <w:pStyle w:val="FootnoteText"/>
      </w:pPr>
      <w:r>
        <w:rPr>
          <w:rStyle w:val="FootnoteReference"/>
        </w:rPr>
        <w:footnoteRef/>
      </w:r>
      <w:r>
        <w:t xml:space="preserve"> Mencap, </w:t>
      </w:r>
      <w:r w:rsidRPr="00121A9A">
        <w:t>CBF, Rightful Lives, LDE and NAS</w:t>
      </w:r>
      <w:r>
        <w:t xml:space="preserve"> (2020). Letter to The Independent </w:t>
      </w:r>
      <w:r w:rsidRPr="00121A9A">
        <w:t>calling for a robust Action plan for Transforming Care</w:t>
      </w:r>
      <w:r>
        <w:t>, 6 January. Available at:</w:t>
      </w:r>
      <w:r w:rsidRPr="00121A9A">
        <w:t xml:space="preserve"> </w:t>
      </w:r>
      <w:hyperlink r:id="rId206" w:history="1">
        <w:r w:rsidR="00285005" w:rsidRPr="00002AC9">
          <w:rPr>
            <w:rStyle w:val="Hyperlink"/>
          </w:rPr>
          <w:t>www.mencap.org.uk/press-release/letter-independent</w:t>
        </w:r>
      </w:hyperlink>
      <w:r w:rsidR="00285005">
        <w:t xml:space="preserve"> </w:t>
      </w:r>
      <w:r w:rsidR="00C005B5">
        <w:t>Accessed on: 15.03.22</w:t>
      </w:r>
    </w:p>
  </w:footnote>
  <w:footnote w:id="390">
    <w:p w14:paraId="0E222FEE" w14:textId="5955315C" w:rsidR="003D21D2" w:rsidRDefault="003D21D2" w:rsidP="003D21D2">
      <w:pPr>
        <w:pStyle w:val="FootnoteText"/>
      </w:pPr>
      <w:r>
        <w:rPr>
          <w:rStyle w:val="FootnoteReference"/>
        </w:rPr>
        <w:footnoteRef/>
      </w:r>
      <w:r>
        <w:t xml:space="preserve"> Salman </w:t>
      </w:r>
      <w:r w:rsidR="00285005">
        <w:t>2019</w:t>
      </w:r>
      <w:r w:rsidR="00854079">
        <w:t>.</w:t>
      </w:r>
    </w:p>
  </w:footnote>
  <w:footnote w:id="391">
    <w:p w14:paraId="58576AF7" w14:textId="70354A6E" w:rsidR="0067329A" w:rsidRPr="001E7559" w:rsidRDefault="0067329A" w:rsidP="0067329A">
      <w:pPr>
        <w:pStyle w:val="FootnoteText"/>
        <w:rPr>
          <w:lang w:val="en-US"/>
        </w:rPr>
      </w:pPr>
      <w:r>
        <w:rPr>
          <w:rStyle w:val="FootnoteReference"/>
        </w:rPr>
        <w:footnoteRef/>
      </w:r>
      <w:r>
        <w:t xml:space="preserve"> </w:t>
      </w:r>
      <w:hyperlink r:id="rId207" w:history="1">
        <w:r w:rsidR="00854079" w:rsidRPr="00A97FBA">
          <w:rPr>
            <w:rStyle w:val="Hyperlink"/>
          </w:rPr>
          <w:t>https://www.cqc.org.uk/sites/default/files/20210127_mhareport_printer.pdf</w:t>
        </w:r>
      </w:hyperlink>
      <w:r w:rsidR="00854079">
        <w:t xml:space="preserve">. </w:t>
      </w:r>
    </w:p>
  </w:footnote>
  <w:footnote w:id="392">
    <w:p w14:paraId="79AC0A84" w14:textId="4448BD23" w:rsidR="005B12EA" w:rsidRDefault="005B12EA">
      <w:pPr>
        <w:pStyle w:val="FootnoteText"/>
      </w:pPr>
      <w:r>
        <w:rPr>
          <w:rStyle w:val="FootnoteReference"/>
        </w:rPr>
        <w:footnoteRef/>
      </w:r>
      <w:r>
        <w:t xml:space="preserve"> DHSC (2021). </w:t>
      </w:r>
      <w:r w:rsidRPr="005B12EA">
        <w:rPr>
          <w:i/>
          <w:iCs/>
        </w:rPr>
        <w:t>Reforming the Mental Health Act</w:t>
      </w:r>
      <w:r>
        <w:t>. Consultation outcome. [online] 24 August. Available at:</w:t>
      </w:r>
      <w:r w:rsidRPr="005B12EA">
        <w:t xml:space="preserve"> https://www.gov.uk/government/consultations/reforming-the-mental-health-act/reforming-the-mental-health-act</w:t>
      </w:r>
      <w:r>
        <w:t xml:space="preserve"> </w:t>
      </w:r>
      <w:r w:rsidR="00C005B5">
        <w:t>Accessed on: 15.03.22</w:t>
      </w:r>
    </w:p>
  </w:footnote>
  <w:footnote w:id="393">
    <w:p w14:paraId="057D28AD" w14:textId="3BB9B03B" w:rsidR="00963515" w:rsidRDefault="00963515">
      <w:pPr>
        <w:pStyle w:val="FootnoteText"/>
      </w:pPr>
      <w:r>
        <w:rPr>
          <w:rStyle w:val="FootnoteReference"/>
        </w:rPr>
        <w:footnoteRef/>
      </w:r>
      <w:r>
        <w:t xml:space="preserve"> OO13.</w:t>
      </w:r>
    </w:p>
  </w:footnote>
  <w:footnote w:id="394">
    <w:p w14:paraId="41CF09A8" w14:textId="3CA13A9E" w:rsidR="003461E7" w:rsidRDefault="003461E7">
      <w:pPr>
        <w:pStyle w:val="FootnoteText"/>
      </w:pPr>
      <w:r w:rsidRPr="000E5C0A">
        <w:rPr>
          <w:rStyle w:val="FootnoteReference"/>
        </w:rPr>
        <w:footnoteRef/>
      </w:r>
      <w:r w:rsidRPr="000E5C0A">
        <w:t xml:space="preserve"> </w:t>
      </w:r>
      <w:r w:rsidR="00854079" w:rsidRPr="000E5C0A">
        <w:t>p</w:t>
      </w:r>
      <w:r w:rsidR="000E5C0A" w:rsidRPr="000E5C0A">
        <w:t>p</w:t>
      </w:r>
      <w:r w:rsidR="00854079" w:rsidRPr="000E5C0A">
        <w:t>.</w:t>
      </w:r>
      <w:fldSimple w:instr=" PAGEREF SocialCareSection ">
        <w:r w:rsidR="000E5C0A" w:rsidRPr="000E5C0A">
          <w:rPr>
            <w:noProof/>
          </w:rPr>
          <w:t>25</w:t>
        </w:r>
      </w:fldSimple>
      <w:r w:rsidR="000E5C0A" w:rsidRPr="000E5C0A">
        <w:t>-</w:t>
      </w:r>
      <w:fldSimple w:instr=" PAGEREF EndofSocialCareSection ">
        <w:r w:rsidR="000E5C0A" w:rsidRPr="000E5C0A">
          <w:rPr>
            <w:noProof/>
          </w:rPr>
          <w:t>33</w:t>
        </w:r>
      </w:fldSimple>
      <w:r w:rsidR="000E5C0A">
        <w:t xml:space="preserve"> </w:t>
      </w:r>
    </w:p>
  </w:footnote>
  <w:footnote w:id="395">
    <w:p w14:paraId="5AF584DE" w14:textId="27A235EE" w:rsidR="001A5738" w:rsidRDefault="001A5738">
      <w:pPr>
        <w:pStyle w:val="FootnoteText"/>
      </w:pPr>
      <w:r>
        <w:rPr>
          <w:rStyle w:val="FootnoteReference"/>
        </w:rPr>
        <w:footnoteRef/>
      </w:r>
      <w:r>
        <w:t xml:space="preserve"> </w:t>
      </w:r>
      <w:r w:rsidR="00854079">
        <w:t>“</w:t>
      </w:r>
      <w:r w:rsidR="00854079" w:rsidRPr="00F73D64">
        <w:t>nor even individual homes can be called independent living arrangements if they have other defining elements of institutions or institutionalization</w:t>
      </w:r>
      <w:r w:rsidR="00854079">
        <w:t>” such as “</w:t>
      </w:r>
      <w:r w:rsidR="00854079" w:rsidRPr="00F73D64">
        <w:t>isolation and segregation from independent life within the community; lack of control over day-to-day decisions;</w:t>
      </w:r>
      <w:r w:rsidR="00854079">
        <w:t xml:space="preserve"> …</w:t>
      </w:r>
      <w:r w:rsidR="00854079" w:rsidRPr="00F73D64">
        <w:t xml:space="preserve"> rigidity of routine irrespective of personal will and preferences;</w:t>
      </w:r>
      <w:r w:rsidR="00854079">
        <w:t xml:space="preserve">”. CRDP Committee (2017). </w:t>
      </w:r>
      <w:r w:rsidR="00854079" w:rsidRPr="009E31DC">
        <w:rPr>
          <w:i/>
          <w:iCs/>
        </w:rPr>
        <w:t>General Comment No 5 Article 19: Right to independent living</w:t>
      </w:r>
      <w:r w:rsidR="00854079">
        <w:t xml:space="preserve">. [online] 27 October, pp.4-5. Available at: </w:t>
      </w:r>
      <w:hyperlink r:id="rId208" w:history="1">
        <w:r w:rsidR="00854079" w:rsidRPr="00953FC3">
          <w:rPr>
            <w:rStyle w:val="Hyperlink"/>
          </w:rPr>
          <w:t>https://tbinternet.ohchr.org/_layouts/15/treatybodyexternal/Download.aspx?symbolno=CRPD/C/GC/5&amp;Lang=en</w:t>
        </w:r>
      </w:hyperlink>
      <w:r w:rsidR="00854079">
        <w:t xml:space="preserve"> Accessed on: 15.03.22</w:t>
      </w:r>
    </w:p>
  </w:footnote>
  <w:footnote w:id="396">
    <w:p w14:paraId="5150276F" w14:textId="0A28E7CB" w:rsidR="00435F7B" w:rsidRPr="00646AE9" w:rsidRDefault="00435F7B" w:rsidP="00435F7B">
      <w:pPr>
        <w:pStyle w:val="FootnoteText"/>
      </w:pPr>
      <w:r w:rsidRPr="00646AE9">
        <w:rPr>
          <w:rStyle w:val="FootnoteReference"/>
        </w:rPr>
        <w:footnoteRef/>
      </w:r>
      <w:r w:rsidRPr="00646AE9">
        <w:t xml:space="preserve"> Children's Commissioner (2019) Excluded teens are often the most vulnerable – and they’re falling through the gap. </w:t>
      </w:r>
      <w:r w:rsidR="00962FC3">
        <w:t xml:space="preserve">[online]. </w:t>
      </w:r>
      <w:r w:rsidRPr="00646AE9">
        <w:t xml:space="preserve">Available at: </w:t>
      </w:r>
      <w:hyperlink r:id="rId209" w:history="1">
        <w:r w:rsidR="00854079" w:rsidRPr="00A97FBA">
          <w:rPr>
            <w:rStyle w:val="Hyperlink"/>
          </w:rPr>
          <w:t>https://www.childrenscommissioner.gov.uk/2019/03/27/excluded-teens-are-often-the-most-vulnerable-and-theyre-falling-through-the-gap/</w:t>
        </w:r>
      </w:hyperlink>
      <w:r w:rsidR="00854079">
        <w:t xml:space="preserve">. </w:t>
      </w:r>
      <w:r w:rsidR="00C005B5">
        <w:t>Accessed on: 15.03.22</w:t>
      </w:r>
    </w:p>
  </w:footnote>
  <w:footnote w:id="397">
    <w:p w14:paraId="0B05A3B8" w14:textId="4C1BE49A" w:rsidR="00435F7B" w:rsidRDefault="00435F7B" w:rsidP="00435F7B">
      <w:pPr>
        <w:pStyle w:val="FootnoteText"/>
      </w:pPr>
      <w:r w:rsidRPr="00646AE9">
        <w:rPr>
          <w:rStyle w:val="FootnoteReference"/>
        </w:rPr>
        <w:footnoteRef/>
      </w:r>
      <w:r w:rsidRPr="00646AE9">
        <w:t xml:space="preserve"> S</w:t>
      </w:r>
      <w:r w:rsidR="00962FC3">
        <w:t>R</w:t>
      </w:r>
      <w:r>
        <w:t xml:space="preserve">293; </w:t>
      </w:r>
      <w:r w:rsidR="004057D9">
        <w:t>WPC</w:t>
      </w:r>
      <w:r w:rsidRPr="00646AE9">
        <w:t xml:space="preserve"> (2021</w:t>
      </w:r>
      <w:r w:rsidRPr="004057D9">
        <w:rPr>
          <w:i/>
          <w:iCs/>
        </w:rPr>
        <w:t>)</w:t>
      </w:r>
      <w:r w:rsidR="004057D9" w:rsidRPr="004057D9">
        <w:rPr>
          <w:i/>
          <w:iCs/>
        </w:rPr>
        <w:t>.</w:t>
      </w:r>
      <w:r w:rsidRPr="004057D9">
        <w:rPr>
          <w:i/>
          <w:iCs/>
        </w:rPr>
        <w:t xml:space="preserve"> Oral evidence</w:t>
      </w:r>
      <w:r w:rsidR="004057D9" w:rsidRPr="004057D9">
        <w:rPr>
          <w:i/>
          <w:iCs/>
        </w:rPr>
        <w:t>: DWP’s Annual Report and Accounts 20/21 and Spending Review settlement</w:t>
      </w:r>
      <w:r w:rsidR="004057D9">
        <w:t>.</w:t>
      </w:r>
      <w:r w:rsidR="004057D9" w:rsidRPr="004057D9">
        <w:t xml:space="preserve"> HC 728</w:t>
      </w:r>
      <w:r w:rsidRPr="00646AE9">
        <w:t xml:space="preserve">, </w:t>
      </w:r>
      <w:r w:rsidR="004057D9">
        <w:t xml:space="preserve">[online] </w:t>
      </w:r>
      <w:r w:rsidRPr="00646AE9">
        <w:t>24 November</w:t>
      </w:r>
      <w:r w:rsidR="004057D9">
        <w:t xml:space="preserve">, </w:t>
      </w:r>
      <w:r w:rsidRPr="00646AE9">
        <w:t xml:space="preserve">Q63-Q66. Available at: </w:t>
      </w:r>
      <w:hyperlink r:id="rId210" w:history="1">
        <w:r w:rsidR="00962FC3" w:rsidRPr="00002AC9">
          <w:rPr>
            <w:rStyle w:val="Hyperlink"/>
          </w:rPr>
          <w:t>https://committees.parliament.uk/oralevidence/3082/html/</w:t>
        </w:r>
      </w:hyperlink>
      <w:r w:rsidR="00854079">
        <w:t xml:space="preserve">. </w:t>
      </w:r>
      <w:r w:rsidR="00C005B5">
        <w:t>Accessed on: 15.03.22</w:t>
      </w:r>
    </w:p>
  </w:footnote>
  <w:footnote w:id="398">
    <w:p w14:paraId="400C3274" w14:textId="2556E001" w:rsidR="005B12EA" w:rsidRDefault="005B12EA">
      <w:pPr>
        <w:pStyle w:val="FootnoteText"/>
      </w:pPr>
      <w:r w:rsidRPr="00854079">
        <w:rPr>
          <w:rStyle w:val="FootnoteReference"/>
        </w:rPr>
        <w:footnoteRef/>
      </w:r>
      <w:r w:rsidRPr="00854079">
        <w:t xml:space="preserve"> </w:t>
      </w:r>
      <w:r w:rsidR="00854079" w:rsidRPr="00854079">
        <w:t>CBCE8; DDPO33; OO8; SR5</w:t>
      </w:r>
    </w:p>
  </w:footnote>
  <w:footnote w:id="399">
    <w:p w14:paraId="38B578EF" w14:textId="0B4B85B0" w:rsidR="00B26700" w:rsidRDefault="00B26700">
      <w:pPr>
        <w:pStyle w:val="FootnoteText"/>
      </w:pPr>
      <w:r>
        <w:rPr>
          <w:rStyle w:val="FootnoteReference"/>
        </w:rPr>
        <w:footnoteRef/>
      </w:r>
      <w:r>
        <w:t xml:space="preserve"> </w:t>
      </w:r>
      <w:r w:rsidR="00854079" w:rsidRPr="0016619B">
        <w:t>CBCE8</w:t>
      </w:r>
      <w:r w:rsidR="00854079">
        <w:t>; SR5, SR250</w:t>
      </w:r>
    </w:p>
  </w:footnote>
  <w:footnote w:id="400">
    <w:p w14:paraId="491E281F" w14:textId="77777777" w:rsidR="00D6278E" w:rsidRDefault="00D6278E" w:rsidP="00D6278E">
      <w:pPr>
        <w:pStyle w:val="FootnoteText"/>
      </w:pPr>
      <w:r>
        <w:rPr>
          <w:rStyle w:val="FootnoteReference"/>
        </w:rPr>
        <w:footnoteRef/>
      </w:r>
      <w:r>
        <w:t xml:space="preserve"> D.DP27; DDPO27</w:t>
      </w:r>
    </w:p>
  </w:footnote>
  <w:footnote w:id="401">
    <w:p w14:paraId="776CAD4B" w14:textId="2448498A" w:rsidR="00876A52" w:rsidRPr="00854079" w:rsidRDefault="00876A52" w:rsidP="00876A52">
      <w:pPr>
        <w:pStyle w:val="FootnoteText"/>
        <w:rPr>
          <w:i/>
          <w:iCs/>
        </w:rPr>
      </w:pPr>
      <w:r>
        <w:rPr>
          <w:rStyle w:val="FootnoteReference"/>
        </w:rPr>
        <w:footnoteRef/>
      </w:r>
      <w:r>
        <w:t xml:space="preserve"> Equal (2020). </w:t>
      </w:r>
      <w:r w:rsidRPr="00876A52">
        <w:rPr>
          <w:i/>
          <w:iCs/>
        </w:rPr>
        <w:t>EQUAL’s response to the ‘Tackling Racial Disparity in the Criminal Justice System: 2020 update’</w:t>
      </w:r>
      <w:r>
        <w:t xml:space="preserve">. [online] Available at: </w:t>
      </w:r>
      <w:hyperlink r:id="rId211" w:history="1">
        <w:r w:rsidRPr="00054B02">
          <w:rPr>
            <w:rStyle w:val="Hyperlink"/>
          </w:rPr>
          <w:t>https://www.equalcjs.org.uk/sites/default/files/Lammy%20update%20EQUAL%20reponse%20FINAL%2025%2003%2020.pdf</w:t>
        </w:r>
      </w:hyperlink>
      <w:r w:rsidR="00854079">
        <w:t xml:space="preserve">. </w:t>
      </w:r>
      <w:r w:rsidR="00C005B5">
        <w:t>Accessed on: 15.03.22</w:t>
      </w:r>
    </w:p>
  </w:footnote>
  <w:footnote w:id="402">
    <w:p w14:paraId="254C7486" w14:textId="113BC201" w:rsidR="00911B6E" w:rsidRDefault="00911B6E">
      <w:pPr>
        <w:pStyle w:val="FootnoteText"/>
      </w:pPr>
      <w:r>
        <w:rPr>
          <w:rStyle w:val="FootnoteReference"/>
        </w:rPr>
        <w:footnoteRef/>
      </w:r>
      <w:r>
        <w:t xml:space="preserve"> DDPO5</w:t>
      </w:r>
    </w:p>
  </w:footnote>
  <w:footnote w:id="403">
    <w:p w14:paraId="71677C49" w14:textId="585401C6" w:rsidR="00BA1E24" w:rsidRDefault="00BA1E24" w:rsidP="00BA1E24">
      <w:pPr>
        <w:pStyle w:val="FootnoteText"/>
      </w:pPr>
      <w:r>
        <w:rPr>
          <w:rStyle w:val="FootnoteReference"/>
        </w:rPr>
        <w:footnoteRef/>
      </w:r>
      <w:r>
        <w:t xml:space="preserve"> </w:t>
      </w:r>
      <w:r>
        <w:t xml:space="preserve">Triggle, N. (2019). Whorlton Hall: Hospital 'abused' vulnerable adults. </w:t>
      </w:r>
      <w:r w:rsidRPr="006F6F35">
        <w:rPr>
          <w:i/>
          <w:iCs/>
        </w:rPr>
        <w:t>BBC News</w:t>
      </w:r>
      <w:r>
        <w:t xml:space="preserve">, [online] 22 May. Available at: </w:t>
      </w:r>
      <w:hyperlink r:id="rId212" w:history="1">
        <w:r w:rsidR="00962FC3" w:rsidRPr="00002AC9">
          <w:rPr>
            <w:rStyle w:val="Hyperlink"/>
          </w:rPr>
          <w:t>https://www.bbc.co.uk/news/health-48367071</w:t>
        </w:r>
      </w:hyperlink>
      <w:r>
        <w:t>.</w:t>
      </w:r>
      <w:r w:rsidR="00962FC3">
        <w:t xml:space="preserve"> </w:t>
      </w:r>
      <w:r w:rsidR="00C005B5">
        <w:t>Accessed on: 15.03.22</w:t>
      </w:r>
    </w:p>
  </w:footnote>
  <w:footnote w:id="404">
    <w:p w14:paraId="1E077D18" w14:textId="6631FB11" w:rsidR="00DA6FE8" w:rsidRPr="00DA6FE8" w:rsidRDefault="00DA6FE8">
      <w:pPr>
        <w:pStyle w:val="FootnoteText"/>
      </w:pPr>
      <w:r>
        <w:rPr>
          <w:rStyle w:val="FootnoteReference"/>
        </w:rPr>
        <w:footnoteRef/>
      </w:r>
      <w:r>
        <w:t xml:space="preserve"> </w:t>
      </w:r>
      <w:r>
        <w:t xml:space="preserve">Titheradge, N. (2021). </w:t>
      </w:r>
      <w:r w:rsidRPr="00DA6FE8">
        <w:t>Pupil abuse in special school secure rooms filmed on CCTV</w:t>
      </w:r>
      <w:r>
        <w:t xml:space="preserve">. </w:t>
      </w:r>
      <w:r>
        <w:rPr>
          <w:i/>
          <w:iCs/>
        </w:rPr>
        <w:t>bbc.co.uk</w:t>
      </w:r>
      <w:r>
        <w:t xml:space="preserve">, [online] 14 October. Available at: </w:t>
      </w:r>
      <w:hyperlink r:id="rId213" w:history="1">
        <w:r w:rsidR="00962FC3" w:rsidRPr="00002AC9">
          <w:rPr>
            <w:rStyle w:val="Hyperlink"/>
          </w:rPr>
          <w:t>https://www.bbc.co.uk/news/uk-58885635</w:t>
        </w:r>
      </w:hyperlink>
      <w:r w:rsidR="00962FC3">
        <w:t xml:space="preserve"> </w:t>
      </w:r>
      <w:r w:rsidR="00C005B5">
        <w:t>Accessed on: 15.03.22</w:t>
      </w:r>
    </w:p>
  </w:footnote>
  <w:footnote w:id="405">
    <w:p w14:paraId="70E60963" w14:textId="2236C20A" w:rsidR="00BA1E24" w:rsidRDefault="00BA1E24" w:rsidP="00BA1E24">
      <w:pPr>
        <w:pStyle w:val="FootnoteText"/>
      </w:pPr>
      <w:r>
        <w:rPr>
          <w:rStyle w:val="FootnoteReference"/>
        </w:rPr>
        <w:footnoteRef/>
      </w:r>
      <w:r>
        <w:t xml:space="preserve"> </w:t>
      </w:r>
      <w:r w:rsidRPr="004E3CE4">
        <w:t xml:space="preserve">Campbell, D. (2018). Physical restraint used on 50% more NHS patients with learning disabilities. </w:t>
      </w:r>
      <w:r w:rsidRPr="004E3CE4">
        <w:rPr>
          <w:i/>
          <w:iCs/>
        </w:rPr>
        <w:t>The Guardian</w:t>
      </w:r>
      <w:r w:rsidRPr="004E3CE4">
        <w:t xml:space="preserve">, [online] 2 October. Available at: </w:t>
      </w:r>
      <w:hyperlink r:id="rId214" w:history="1">
        <w:r w:rsidR="00962FC3" w:rsidRPr="00002AC9">
          <w:rPr>
            <w:rStyle w:val="Hyperlink"/>
          </w:rPr>
          <w:t>https://www.theguardian.com/society/2018/oct/02/physical-restraint-used-on-50-more-nhs-patients-with-learning-disabilities</w:t>
        </w:r>
      </w:hyperlink>
      <w:r w:rsidR="00962FC3">
        <w:t xml:space="preserve"> </w:t>
      </w:r>
      <w:r w:rsidR="00C005B5">
        <w:t>Accessed on: 15.03.22</w:t>
      </w:r>
      <w:r w:rsidR="00962FC3">
        <w:t xml:space="preserve"> </w:t>
      </w:r>
    </w:p>
  </w:footnote>
  <w:footnote w:id="406">
    <w:p w14:paraId="4694EE06" w14:textId="1684B47F" w:rsidR="00BA1E24" w:rsidRDefault="00BA1E24" w:rsidP="00BA1E24">
      <w:pPr>
        <w:pStyle w:val="FootnoteText"/>
      </w:pPr>
      <w:r>
        <w:rPr>
          <w:rStyle w:val="FootnoteReference"/>
        </w:rPr>
        <w:footnoteRef/>
      </w:r>
      <w:r>
        <w:t xml:space="preserve"> </w:t>
      </w:r>
      <w:r w:rsidRPr="004E3CE4">
        <w:t xml:space="preserve">CQC, (2019). </w:t>
      </w:r>
      <w:r w:rsidRPr="004E3CE4">
        <w:rPr>
          <w:i/>
          <w:iCs/>
        </w:rPr>
        <w:t>CQC calls for action to fix the closed system that leads to people with a learning disability or autism being segregated in hospital</w:t>
      </w:r>
      <w:r w:rsidRPr="004E3CE4">
        <w:t xml:space="preserve">. [press release] 21 May. Available at: </w:t>
      </w:r>
      <w:hyperlink r:id="rId215" w:history="1">
        <w:r w:rsidR="00962FC3" w:rsidRPr="00002AC9">
          <w:rPr>
            <w:rStyle w:val="Hyperlink"/>
          </w:rPr>
          <w:t>https://www.cqc.org.uk/news/releases/cqc-calls-action-fix-closed-system-leads-people-learning-disability-or-autism-being</w:t>
        </w:r>
      </w:hyperlink>
      <w:r w:rsidR="00962FC3">
        <w:t xml:space="preserve"> </w:t>
      </w:r>
      <w:r w:rsidR="00C005B5">
        <w:t>Accessed on: 15.03.22</w:t>
      </w:r>
    </w:p>
  </w:footnote>
  <w:footnote w:id="407">
    <w:p w14:paraId="5A7C4707" w14:textId="213A3C6A" w:rsidR="00BA1E24" w:rsidRDefault="00BA1E24" w:rsidP="00BA1E24">
      <w:pPr>
        <w:pStyle w:val="FootnoteText"/>
      </w:pPr>
      <w:r>
        <w:rPr>
          <w:rStyle w:val="FootnoteReference"/>
        </w:rPr>
        <w:footnoteRef/>
      </w:r>
      <w:r>
        <w:t xml:space="preserve"> Verma, R. (2018).</w:t>
      </w:r>
      <w:r w:rsidR="00AD63B8">
        <w:t xml:space="preserve"> </w:t>
      </w:r>
      <w:r>
        <w:t xml:space="preserve">Parents Share Harrowing Accounts of Autistic Young People Locked Up </w:t>
      </w:r>
      <w:r>
        <w:t xml:space="preserve">In Secure Hospitals. </w:t>
      </w:r>
      <w:r w:rsidRPr="00184ABA">
        <w:rPr>
          <w:i/>
          <w:iCs/>
        </w:rPr>
        <w:t>Rights Info</w:t>
      </w:r>
      <w:r>
        <w:t xml:space="preserve">, [online] 13 December. Available at: </w:t>
      </w:r>
      <w:hyperlink r:id="rId216" w:history="1">
        <w:r w:rsidR="00962FC3" w:rsidRPr="00002AC9">
          <w:rPr>
            <w:rStyle w:val="Hyperlink"/>
          </w:rPr>
          <w:t>https://rightsinfo.org/parents-share-harrowing-accounts-of-autistic-young-people-being-locked-up-in-secure-hospitals/</w:t>
        </w:r>
      </w:hyperlink>
      <w:r w:rsidR="00962FC3">
        <w:t xml:space="preserve"> </w:t>
      </w:r>
      <w:r w:rsidR="00C005B5">
        <w:t>Accessed on: 15.03.22</w:t>
      </w:r>
    </w:p>
  </w:footnote>
  <w:footnote w:id="408">
    <w:p w14:paraId="77093079" w14:textId="52901F4C" w:rsidR="00AD63B8" w:rsidRDefault="00AD63B8">
      <w:pPr>
        <w:pStyle w:val="FootnoteText"/>
      </w:pPr>
      <w:r>
        <w:rPr>
          <w:rStyle w:val="FootnoteReference"/>
        </w:rPr>
        <w:footnoteRef/>
      </w:r>
      <w:r>
        <w:t xml:space="preserve"> OO5</w:t>
      </w:r>
    </w:p>
  </w:footnote>
  <w:footnote w:id="409">
    <w:p w14:paraId="60966218" w14:textId="56350206" w:rsidR="00D7289B" w:rsidRPr="007A2378" w:rsidRDefault="00D7289B" w:rsidP="00D7289B">
      <w:pPr>
        <w:pStyle w:val="FootnoteText"/>
        <w:rPr>
          <w:lang w:val="en-US"/>
        </w:rPr>
      </w:pPr>
      <w:r>
        <w:rPr>
          <w:rStyle w:val="FootnoteReference"/>
        </w:rPr>
        <w:footnoteRef/>
      </w:r>
      <w:r>
        <w:t xml:space="preserve"> </w:t>
      </w:r>
      <w:r w:rsidR="00854079" w:rsidRPr="00DB71ED">
        <w:rPr>
          <w:i/>
          <w:iCs/>
        </w:rPr>
        <w:t>Mental Health Units (Use of Force) Act 2018</w:t>
      </w:r>
      <w:r w:rsidR="00854079" w:rsidRPr="00DB71ED">
        <w:t xml:space="preserve"> Available at: </w:t>
      </w:r>
      <w:hyperlink r:id="rId217" w:history="1">
        <w:r w:rsidR="00854079" w:rsidRPr="00DB71ED">
          <w:rPr>
            <w:rStyle w:val="Hyperlink"/>
          </w:rPr>
          <w:t>https://www.legislation.gov.uk/ukpga/2018/27/enacted</w:t>
        </w:r>
      </w:hyperlink>
      <w:r w:rsidR="00854079">
        <w:t xml:space="preserve">. </w:t>
      </w:r>
      <w:r w:rsidR="00854079" w:rsidRPr="00DB71ED">
        <w:t>Access</w:t>
      </w:r>
      <w:r w:rsidR="00854079">
        <w:t>ed on: 15.03.22</w:t>
      </w:r>
    </w:p>
  </w:footnote>
  <w:footnote w:id="410">
    <w:p w14:paraId="1112C22A" w14:textId="4DE3729A" w:rsidR="002C657C" w:rsidRDefault="002C657C">
      <w:pPr>
        <w:pStyle w:val="FootnoteText"/>
      </w:pPr>
      <w:r>
        <w:rPr>
          <w:rStyle w:val="FootnoteReference"/>
        </w:rPr>
        <w:footnoteRef/>
      </w:r>
      <w:r>
        <w:t xml:space="preserve"> Kingsley, T. (2022). </w:t>
      </w:r>
      <w:r w:rsidRPr="00C557F1">
        <w:t>Teenagers found guilty of ‘disturbing’ murder of vulnerable man after cuckooing his flat</w:t>
      </w:r>
      <w:r>
        <w:t xml:space="preserve">. </w:t>
      </w:r>
      <w:r>
        <w:rPr>
          <w:i/>
          <w:iCs/>
        </w:rPr>
        <w:t>Independent</w:t>
      </w:r>
      <w:r>
        <w:t xml:space="preserve">, 21 January. Available at: </w:t>
      </w:r>
      <w:hyperlink r:id="rId218" w:history="1">
        <w:r w:rsidRPr="00002AC9">
          <w:rPr>
            <w:rStyle w:val="Hyperlink"/>
          </w:rPr>
          <w:t>https://www.msn.com/en-gb/news/uknews/teenagers-found-guilty-of-disturbing-murder-of-vulnerable-man-after-cuckooing-his-flat/ar-AAT0InW</w:t>
        </w:r>
      </w:hyperlink>
      <w:r>
        <w:t xml:space="preserve"> </w:t>
      </w:r>
      <w:r w:rsidR="00C005B5">
        <w:t>Accessed on: 15.03.22</w:t>
      </w:r>
    </w:p>
  </w:footnote>
  <w:footnote w:id="411">
    <w:p w14:paraId="5F37DE45" w14:textId="0D8F6A5D" w:rsidR="00777CB0" w:rsidRDefault="00777CB0">
      <w:pPr>
        <w:pStyle w:val="FootnoteText"/>
      </w:pPr>
      <w:r>
        <w:rPr>
          <w:rStyle w:val="FootnoteReference"/>
        </w:rPr>
        <w:footnoteRef/>
      </w:r>
      <w:r>
        <w:t xml:space="preserve"> The Passage (2020). </w:t>
      </w:r>
      <w:r w:rsidRPr="000C4026">
        <w:rPr>
          <w:i/>
          <w:iCs/>
        </w:rPr>
        <w:t>The Passage’s modern slavery coordinator contributes to BBC article on connection between disability and modern slavery</w:t>
      </w:r>
      <w:r>
        <w:t xml:space="preserve">. [press release] 17 December. Available at: </w:t>
      </w:r>
      <w:hyperlink r:id="rId219" w:history="1">
        <w:r w:rsidRPr="00054B02">
          <w:rPr>
            <w:rStyle w:val="Hyperlink"/>
          </w:rPr>
          <w:t>https://passage.org.uk/2020/12/17/the-passages-modern-slavery-coordinator-contributes-to-bbc-article-on-connection-between-disability-and-modern-slavery/</w:t>
        </w:r>
      </w:hyperlink>
      <w:r w:rsidR="00854079">
        <w:t xml:space="preserve">. </w:t>
      </w:r>
      <w:r w:rsidR="00C005B5">
        <w:t>Accessed on: 15.03.22</w:t>
      </w:r>
    </w:p>
  </w:footnote>
  <w:footnote w:id="412">
    <w:p w14:paraId="69C99D7A" w14:textId="510DFF59" w:rsidR="00927FCC" w:rsidRPr="00C557F1" w:rsidRDefault="00927FCC" w:rsidP="00927FCC">
      <w:pPr>
        <w:pStyle w:val="FootnoteText"/>
      </w:pPr>
      <w:r>
        <w:rPr>
          <w:rStyle w:val="FootnoteReference"/>
        </w:rPr>
        <w:footnoteRef/>
      </w:r>
      <w:r>
        <w:t xml:space="preserve"> Kingsley, T. (2022). </w:t>
      </w:r>
      <w:r w:rsidRPr="00C557F1">
        <w:t>Teenagers found guilty of ‘disturbing’ murder of vulnerable man after cuckooing his flat</w:t>
      </w:r>
      <w:r>
        <w:t xml:space="preserve">. </w:t>
      </w:r>
      <w:r>
        <w:rPr>
          <w:i/>
          <w:iCs/>
        </w:rPr>
        <w:t>Independent</w:t>
      </w:r>
      <w:r>
        <w:t xml:space="preserve">, 21 January. Available at: </w:t>
      </w:r>
      <w:hyperlink r:id="rId220" w:history="1">
        <w:r w:rsidR="00854079" w:rsidRPr="00A97FBA">
          <w:rPr>
            <w:rStyle w:val="Hyperlink"/>
          </w:rPr>
          <w:t>https://www.msn.com/en-gb/news/uknews/teenagers-found-guilty-of-disturbing-murder-of-vulnerable-man-after-cuckooing-his-flat/ar-AAT0InW</w:t>
        </w:r>
      </w:hyperlink>
      <w:r w:rsidR="00854079">
        <w:t>. Accessed on: 15.03.22</w:t>
      </w:r>
    </w:p>
  </w:footnote>
  <w:footnote w:id="413">
    <w:p w14:paraId="1532010C" w14:textId="247BBE7C" w:rsidR="00824610" w:rsidRDefault="00824610" w:rsidP="00824610">
      <w:pPr>
        <w:pStyle w:val="FootnoteText"/>
      </w:pPr>
      <w:r>
        <w:rPr>
          <w:rStyle w:val="FootnoteReference"/>
        </w:rPr>
        <w:footnoteRef/>
      </w:r>
      <w:r>
        <w:t xml:space="preserve"> BBC News (2020). </w:t>
      </w:r>
      <w:r w:rsidRPr="00E36805">
        <w:t>The Archers tackles the 'hidden' connection between disability and modern slavery</w:t>
      </w:r>
      <w:r>
        <w:t xml:space="preserve">. </w:t>
      </w:r>
      <w:r>
        <w:rPr>
          <w:i/>
          <w:iCs/>
        </w:rPr>
        <w:t>bbc.co.</w:t>
      </w:r>
      <w:r w:rsidRPr="00E36805">
        <w:t>uk</w:t>
      </w:r>
      <w:r>
        <w:t>, [</w:t>
      </w:r>
      <w:r>
        <w:t xml:space="preserve">online[ 16 December. Available at: </w:t>
      </w:r>
      <w:hyperlink r:id="rId221" w:history="1">
        <w:r w:rsidRPr="00054B02">
          <w:rPr>
            <w:rStyle w:val="Hyperlink"/>
          </w:rPr>
          <w:t>https://www.bbc.co.uk/news/disability-55259019</w:t>
        </w:r>
      </w:hyperlink>
      <w:r w:rsidR="00854079">
        <w:t xml:space="preserve">. </w:t>
      </w:r>
      <w:r w:rsidR="00C005B5">
        <w:t>Accessed on: 15.03.22</w:t>
      </w:r>
    </w:p>
  </w:footnote>
  <w:footnote w:id="414">
    <w:p w14:paraId="368A863A" w14:textId="54F64B2F" w:rsidR="00824610" w:rsidRDefault="00824610" w:rsidP="00824610">
      <w:pPr>
        <w:pStyle w:val="FootnoteText"/>
        <w:tabs>
          <w:tab w:val="left" w:pos="2340"/>
        </w:tabs>
      </w:pPr>
      <w:r>
        <w:rPr>
          <w:rStyle w:val="FootnoteReference"/>
        </w:rPr>
        <w:footnoteRef/>
      </w:r>
      <w:r>
        <w:t xml:space="preserve"> </w:t>
      </w:r>
      <w:r w:rsidR="008A6DDE">
        <w:t xml:space="preserve">Lambert 2021. </w:t>
      </w:r>
    </w:p>
  </w:footnote>
  <w:footnote w:id="415">
    <w:p w14:paraId="14D0E2A2" w14:textId="77777777" w:rsidR="00241D0C" w:rsidRPr="00FB4990" w:rsidRDefault="00241D0C" w:rsidP="00241D0C">
      <w:pPr>
        <w:spacing w:after="0"/>
        <w:rPr>
          <w:rFonts w:cstheme="minorHAnsi"/>
          <w:sz w:val="20"/>
          <w:szCs w:val="20"/>
        </w:rPr>
      </w:pPr>
      <w:r w:rsidRPr="00FB4990">
        <w:rPr>
          <w:rStyle w:val="FootnoteReference"/>
          <w:rFonts w:cstheme="minorHAnsi"/>
          <w:sz w:val="20"/>
          <w:szCs w:val="20"/>
        </w:rPr>
        <w:footnoteRef/>
      </w:r>
      <w:r w:rsidRPr="00FB4990">
        <w:rPr>
          <w:rFonts w:cstheme="minorHAnsi"/>
          <w:sz w:val="20"/>
          <w:szCs w:val="20"/>
        </w:rPr>
        <w:t xml:space="preserve"> </w:t>
      </w:r>
      <w:bookmarkStart w:id="45" w:name="_Hlk29546698"/>
      <w:r w:rsidRPr="00854079">
        <w:fldChar w:fldCharType="begin"/>
      </w:r>
      <w:r w:rsidRPr="00854079">
        <w:rPr>
          <w:rFonts w:cstheme="minorHAnsi"/>
          <w:sz w:val="24"/>
          <w:szCs w:val="24"/>
        </w:rPr>
        <w:instrText xml:space="preserve"> HYPERLINK "https://onlinelibrary.wiley.com/doi/full/10.1111/hsc.12806" </w:instrText>
      </w:r>
      <w:r w:rsidRPr="00854079">
        <w:fldChar w:fldCharType="separate"/>
      </w:r>
      <w:r w:rsidRPr="00854079">
        <w:rPr>
          <w:rStyle w:val="Hyperlink"/>
          <w:rFonts w:cstheme="minorHAnsi"/>
          <w:sz w:val="24"/>
          <w:szCs w:val="24"/>
        </w:rPr>
        <w:t>https://onlinelibrary.wiley.com/doi/full/10.1111/hsc.12806</w:t>
      </w:r>
      <w:r w:rsidRPr="00854079">
        <w:rPr>
          <w:rStyle w:val="Hyperlink"/>
          <w:rFonts w:cstheme="minorHAnsi"/>
          <w:sz w:val="24"/>
          <w:szCs w:val="24"/>
        </w:rPr>
        <w:fldChar w:fldCharType="end"/>
      </w:r>
      <w:bookmarkEnd w:id="45"/>
    </w:p>
  </w:footnote>
  <w:footnote w:id="416">
    <w:p w14:paraId="78173596" w14:textId="55A304B6" w:rsidR="00E805C4" w:rsidRDefault="00E805C4" w:rsidP="00E805C4">
      <w:pPr>
        <w:pStyle w:val="FootnoteText"/>
      </w:pPr>
      <w:r>
        <w:rPr>
          <w:rStyle w:val="FootnoteReference"/>
        </w:rPr>
        <w:footnoteRef/>
      </w:r>
      <w:r>
        <w:t xml:space="preserve"> NAO (2021). </w:t>
      </w:r>
      <w:r w:rsidRPr="00064661">
        <w:rPr>
          <w:i/>
          <w:iCs/>
        </w:rPr>
        <w:t>The government’s preparedness for the COVID-19 pandemic: lessons for government on risk management</w:t>
      </w:r>
      <w:r>
        <w:t xml:space="preserve">. HC 735, 19 November, p.8. Available at: </w:t>
      </w:r>
      <w:hyperlink r:id="rId222" w:history="1">
        <w:r w:rsidRPr="00002AC9">
          <w:rPr>
            <w:rStyle w:val="Hyperlink"/>
          </w:rPr>
          <w:t>https://www.nao.org.uk/wp-content/uploads/2021/11/The-governments-preparedness-for-the-COVID-19-pandemic-lessons-for-government-on-risk-management.pdf</w:t>
        </w:r>
      </w:hyperlink>
      <w:r>
        <w:t xml:space="preserve"> </w:t>
      </w:r>
      <w:r w:rsidR="00C005B5">
        <w:t>Accessed on: 15.03.22</w:t>
      </w:r>
    </w:p>
  </w:footnote>
  <w:footnote w:id="417">
    <w:p w14:paraId="2D6FA2D2" w14:textId="016D82E0" w:rsidR="00E805C4" w:rsidRPr="00D62542" w:rsidRDefault="00E805C4" w:rsidP="00E805C4">
      <w:pPr>
        <w:pStyle w:val="FootnoteText"/>
      </w:pPr>
      <w:r>
        <w:rPr>
          <w:rStyle w:val="FootnoteReference"/>
        </w:rPr>
        <w:footnoteRef/>
      </w:r>
      <w:r>
        <w:t xml:space="preserve"> </w:t>
      </w:r>
      <w:r>
        <w:t xml:space="preserve">Pring, J. (2020). </w:t>
      </w:r>
      <w:r w:rsidRPr="00D62542">
        <w:t>Coronavirus: PA guidance is finally published… five weeks late</w:t>
      </w:r>
      <w:r>
        <w:t xml:space="preserve">. </w:t>
      </w:r>
      <w:r w:rsidRPr="00D62542">
        <w:rPr>
          <w:i/>
          <w:iCs/>
        </w:rPr>
        <w:t>Disability News Service</w:t>
      </w:r>
      <w:r>
        <w:t xml:space="preserve">, 23 April. Available at: </w:t>
      </w:r>
      <w:hyperlink r:id="rId223" w:history="1">
        <w:r w:rsidRPr="00002AC9">
          <w:rPr>
            <w:rStyle w:val="Hyperlink"/>
          </w:rPr>
          <w:t>https://www.disabilitynewsservice.com/coronavirus-employers-of-pas-given-just-two-days-to-digest-vital-new-furlough-guidance/</w:t>
        </w:r>
      </w:hyperlink>
      <w:r>
        <w:t xml:space="preserve"> </w:t>
      </w:r>
      <w:r w:rsidR="00C005B5">
        <w:t>Accessed on: 15.03.22</w:t>
      </w:r>
    </w:p>
  </w:footnote>
  <w:footnote w:id="418">
    <w:p w14:paraId="643AEFC1" w14:textId="77777777" w:rsidR="005D4471" w:rsidRPr="00DA1725" w:rsidRDefault="005D4471" w:rsidP="005D4471">
      <w:pPr>
        <w:pStyle w:val="FootnoteText"/>
      </w:pPr>
      <w:r w:rsidRPr="00DA1725">
        <w:rPr>
          <w:rStyle w:val="FootnoteReference"/>
        </w:rPr>
        <w:footnoteRef/>
      </w:r>
      <w:r w:rsidRPr="00DA1725">
        <w:t xml:space="preserve"> FG2</w:t>
      </w:r>
    </w:p>
  </w:footnote>
  <w:footnote w:id="419">
    <w:p w14:paraId="3A92724D" w14:textId="4EC098DF" w:rsidR="005D4471" w:rsidRPr="005D4471" w:rsidRDefault="005D4471" w:rsidP="005D4471">
      <w:pPr>
        <w:pStyle w:val="FootnoteText"/>
      </w:pPr>
      <w:r>
        <w:rPr>
          <w:rStyle w:val="FootnoteReference"/>
        </w:rPr>
        <w:footnoteRef/>
      </w:r>
      <w:r>
        <w:t xml:space="preserve"> Home Office (2016). </w:t>
      </w:r>
      <w:r w:rsidRPr="005D4471">
        <w:rPr>
          <w:i/>
          <w:iCs/>
        </w:rPr>
        <w:t xml:space="preserve">Immigration Act </w:t>
      </w:r>
      <w:r w:rsidRPr="005D4471">
        <w:rPr>
          <w:i/>
          <w:iCs/>
        </w:rPr>
        <w:t>2016</w:t>
      </w:r>
      <w:r>
        <w:rPr>
          <w:i/>
          <w:iCs/>
        </w:rPr>
        <w:t xml:space="preserve">, </w:t>
      </w:r>
      <w:r w:rsidRPr="005D4471">
        <w:rPr>
          <w:i/>
          <w:iCs/>
        </w:rPr>
        <w:t xml:space="preserve"> Factsheet – Banks (Section 45).</w:t>
      </w:r>
      <w:r>
        <w:t xml:space="preserve"> [online] July. Available at: </w:t>
      </w:r>
      <w:hyperlink r:id="rId224" w:history="1">
        <w:r w:rsidR="00960F7C" w:rsidRPr="00A97FBA">
          <w:rPr>
            <w:rStyle w:val="Hyperlink"/>
          </w:rPr>
          <w:t>https://assets.publishing.service.gov.uk/government/uploads/system/uploads/attachment_data/file/537220/Immigration_Act_-_Part_2_-_Bank_Accounts.pdf</w:t>
        </w:r>
      </w:hyperlink>
      <w:r w:rsidR="00960F7C">
        <w:t xml:space="preserve">. </w:t>
      </w:r>
      <w:r w:rsidR="00C005B5">
        <w:t>Accessed on: 15.03.22</w:t>
      </w:r>
    </w:p>
  </w:footnote>
  <w:footnote w:id="420">
    <w:p w14:paraId="392E898C" w14:textId="4BEE86C5" w:rsidR="001C5B18" w:rsidRDefault="001C5B18">
      <w:pPr>
        <w:pStyle w:val="FootnoteText"/>
      </w:pPr>
      <w:r>
        <w:rPr>
          <w:rStyle w:val="FootnoteReference"/>
        </w:rPr>
        <w:footnoteRef/>
      </w:r>
      <w:r>
        <w:t xml:space="preserve"> </w:t>
      </w:r>
      <w:r w:rsidR="002A1B2B">
        <w:t xml:space="preserve">Disability Rights UK (2021). </w:t>
      </w:r>
      <w:r w:rsidR="002A1B2B" w:rsidRPr="002A1B2B">
        <w:t>Grenfell Tower fire is ‘a landmark act of discrimination against disabled and vulnerable people’</w:t>
      </w:r>
      <w:r w:rsidR="002A1B2B">
        <w:t xml:space="preserve">. </w:t>
      </w:r>
      <w:r w:rsidR="002A1B2B">
        <w:rPr>
          <w:i/>
          <w:iCs/>
        </w:rPr>
        <w:t>disabilityrightsuk.</w:t>
      </w:r>
      <w:r w:rsidR="002A1B2B" w:rsidRPr="00960F7C">
        <w:rPr>
          <w:i/>
          <w:iCs/>
        </w:rPr>
        <w:t>org</w:t>
      </w:r>
      <w:r w:rsidR="002A1B2B">
        <w:t xml:space="preserve">, [online] 22 April. Available at: </w:t>
      </w:r>
      <w:hyperlink r:id="rId225" w:history="1">
        <w:r w:rsidR="002A1B2B" w:rsidRPr="00033B24">
          <w:rPr>
            <w:rStyle w:val="Hyperlink"/>
          </w:rPr>
          <w:t>https://www.disabilityrightsuk.org/news/2021/april/grenfell-tower-fire-%E2%80%98-landmark-act-discrimination-against-disabled-and-vulnerable</w:t>
        </w:r>
      </w:hyperlink>
      <w:r w:rsidR="002A1B2B">
        <w:t xml:space="preserve"> </w:t>
      </w:r>
      <w:r w:rsidR="00C005B5">
        <w:t>Accessed on: 15.03.22</w:t>
      </w:r>
    </w:p>
  </w:footnote>
  <w:footnote w:id="421">
    <w:p w14:paraId="5F0D57D3" w14:textId="4D358034" w:rsidR="002A1B2B" w:rsidRDefault="002A1B2B">
      <w:pPr>
        <w:pStyle w:val="FootnoteText"/>
      </w:pPr>
      <w:r>
        <w:rPr>
          <w:rStyle w:val="FootnoteReference"/>
        </w:rPr>
        <w:footnoteRef/>
      </w:r>
      <w:r>
        <w:t xml:space="preserve"> Disability Rights UK 2021</w:t>
      </w:r>
    </w:p>
  </w:footnote>
  <w:footnote w:id="422">
    <w:p w14:paraId="53B3843A" w14:textId="7C7AAB48" w:rsidR="002A1B2B" w:rsidRDefault="002A1B2B">
      <w:pPr>
        <w:pStyle w:val="FootnoteText"/>
      </w:pPr>
      <w:r>
        <w:rPr>
          <w:rStyle w:val="FootnoteReference"/>
        </w:rPr>
        <w:footnoteRef/>
      </w:r>
      <w:r>
        <w:t xml:space="preserve"> Disability Rights UK 2021</w:t>
      </w:r>
    </w:p>
  </w:footnote>
  <w:footnote w:id="423">
    <w:p w14:paraId="13BBECEF" w14:textId="7828B9E9" w:rsidR="00E00E96" w:rsidRPr="00F02E6A" w:rsidRDefault="00E00E96">
      <w:pPr>
        <w:pStyle w:val="FootnoteText"/>
      </w:pPr>
      <w:r>
        <w:rPr>
          <w:rStyle w:val="FootnoteReference"/>
        </w:rPr>
        <w:footnoteRef/>
      </w:r>
      <w:r>
        <w:t xml:space="preserve"> </w:t>
      </w:r>
      <w:r w:rsidRPr="00E00E96">
        <w:rPr>
          <w:i/>
          <w:iCs/>
        </w:rPr>
        <w:t>Building Safety Bill</w:t>
      </w:r>
      <w:r w:rsidR="00F02E6A">
        <w:t xml:space="preserve">. 2022. (HC 139, Session 2021-22). [online] Available at: </w:t>
      </w:r>
      <w:hyperlink r:id="rId226" w:history="1">
        <w:r w:rsidR="00F02E6A" w:rsidRPr="00033B24">
          <w:rPr>
            <w:rStyle w:val="Hyperlink"/>
          </w:rPr>
          <w:t>https://bills.parliament.uk/bills/3021</w:t>
        </w:r>
      </w:hyperlink>
      <w:r w:rsidR="00F02E6A">
        <w:t xml:space="preserve"> </w:t>
      </w:r>
      <w:r w:rsidR="00C005B5">
        <w:t>Accessed on: 15.03.22</w:t>
      </w:r>
    </w:p>
  </w:footnote>
  <w:footnote w:id="424">
    <w:p w14:paraId="5B4767EB" w14:textId="07BD1B22" w:rsidR="00E00E96" w:rsidRPr="00E00E96" w:rsidRDefault="00E00E96">
      <w:pPr>
        <w:pStyle w:val="FootnoteText"/>
      </w:pPr>
      <w:r>
        <w:rPr>
          <w:rStyle w:val="FootnoteReference"/>
        </w:rPr>
        <w:footnoteRef/>
      </w:r>
      <w:r>
        <w:t xml:space="preserve"> </w:t>
      </w:r>
      <w:r>
        <w:t xml:space="preserve">Pring, J. (2022). </w:t>
      </w:r>
      <w:r w:rsidRPr="00E00E96">
        <w:t>Disabled people will be forgotten again unless ministers change safety bill, say peers</w:t>
      </w:r>
      <w:r>
        <w:t xml:space="preserve">. </w:t>
      </w:r>
      <w:r>
        <w:rPr>
          <w:i/>
          <w:iCs/>
        </w:rPr>
        <w:t>Disability News Service</w:t>
      </w:r>
      <w:r>
        <w:t xml:space="preserve">, [online] 24 February. Available at: </w:t>
      </w:r>
      <w:hyperlink r:id="rId227" w:history="1">
        <w:r w:rsidRPr="00033B24">
          <w:rPr>
            <w:rStyle w:val="Hyperlink"/>
          </w:rPr>
          <w:t>https://www.disabilitynewsservice.com/disabled-people-will-be-forgotten-again-unless-ministers-change-fire-safety-bill-say-peers/</w:t>
        </w:r>
      </w:hyperlink>
      <w:r>
        <w:t xml:space="preserve"> </w:t>
      </w:r>
      <w:r w:rsidR="00C005B5">
        <w:t>Accessed on: 15.03.22</w:t>
      </w:r>
      <w:r>
        <w:t xml:space="preserve"> </w:t>
      </w:r>
    </w:p>
  </w:footnote>
  <w:footnote w:id="425">
    <w:p w14:paraId="13C9F313" w14:textId="6CD20A4B" w:rsidR="00E00E96" w:rsidRPr="00E00E96" w:rsidRDefault="00E00E96">
      <w:pPr>
        <w:pStyle w:val="FootnoteText"/>
        <w:rPr>
          <w:i/>
          <w:iCs/>
        </w:rPr>
      </w:pPr>
      <w:r>
        <w:rPr>
          <w:rStyle w:val="FootnoteReference"/>
        </w:rPr>
        <w:footnoteRef/>
      </w:r>
      <w:r>
        <w:t xml:space="preserve"> </w:t>
      </w:r>
      <w:r>
        <w:t xml:space="preserve">Claddag (2022). </w:t>
      </w:r>
      <w:r w:rsidRPr="00E00E96">
        <w:rPr>
          <w:i/>
          <w:iCs/>
        </w:rPr>
        <w:t>Claddag issues proceedings against Home Office over ‘means of escape’ contract</w:t>
      </w:r>
      <w:r>
        <w:t xml:space="preserve">. [press release] 10 February. Available at: </w:t>
      </w:r>
      <w:hyperlink r:id="rId228" w:history="1">
        <w:r w:rsidRPr="00033B24">
          <w:rPr>
            <w:rStyle w:val="Hyperlink"/>
          </w:rPr>
          <w:t>https://claddag.org/2022/02/10/claddag-issues-proceedings-against-home-office-over-means-of-escape-contract/</w:t>
        </w:r>
      </w:hyperlink>
      <w:r>
        <w:t xml:space="preserve"> </w:t>
      </w:r>
      <w:r w:rsidR="00C005B5">
        <w:t>Accessed on: 15.03.22</w:t>
      </w:r>
    </w:p>
  </w:footnote>
  <w:footnote w:id="426">
    <w:p w14:paraId="00A0E1CE" w14:textId="02D06157" w:rsidR="00E805C4" w:rsidRDefault="00E805C4" w:rsidP="00E805C4">
      <w:pPr>
        <w:pStyle w:val="FootnoteText"/>
      </w:pPr>
      <w:r>
        <w:rPr>
          <w:rStyle w:val="FootnoteReference"/>
        </w:rPr>
        <w:footnoteRef/>
      </w:r>
      <w:r>
        <w:t xml:space="preserve"> Transport for All (2021). </w:t>
      </w:r>
      <w:r w:rsidRPr="00775EE4">
        <w:rPr>
          <w:i/>
          <w:iCs/>
        </w:rPr>
        <w:t>Pave The Way: The impact of Low Traffic Neighbourhoods (LTNs) on disabled people, and the future of accessible Active Travel</w:t>
      </w:r>
      <w:r>
        <w:t xml:space="preserve">. [online]. Available at: </w:t>
      </w:r>
      <w:hyperlink r:id="rId229" w:history="1">
        <w:r w:rsidRPr="00002AC9">
          <w:rPr>
            <w:rStyle w:val="Hyperlink"/>
          </w:rPr>
          <w:t>https://www.transportforall.org.uk/wp-content/uploads/2021/01/Pave-The-Way-full-report.pdf</w:t>
        </w:r>
      </w:hyperlink>
      <w:r>
        <w:t xml:space="preserve"> </w:t>
      </w:r>
      <w:r w:rsidR="00C005B5">
        <w:t>Accessed on: 15.03.22</w:t>
      </w:r>
    </w:p>
  </w:footnote>
  <w:footnote w:id="427">
    <w:p w14:paraId="37035CA6" w14:textId="72B2EAA4" w:rsidR="00E805C4" w:rsidRDefault="00E805C4" w:rsidP="00E805C4">
      <w:pPr>
        <w:pStyle w:val="FootnoteText"/>
      </w:pPr>
      <w:r>
        <w:rPr>
          <w:rStyle w:val="FootnoteReference"/>
        </w:rPr>
        <w:footnoteRef/>
      </w:r>
      <w:r>
        <w:t xml:space="preserve"> </w:t>
      </w:r>
      <w:r w:rsidR="00173B5B">
        <w:t xml:space="preserve">CBCE33; </w:t>
      </w:r>
      <w:r w:rsidR="00173B5B" w:rsidRPr="00775EE4">
        <w:t>SR134</w:t>
      </w:r>
      <w:r w:rsidR="00173B5B">
        <w:t>,</w:t>
      </w:r>
      <w:r w:rsidR="00173B5B" w:rsidRPr="00775EE4">
        <w:t xml:space="preserve"> SR323</w:t>
      </w:r>
    </w:p>
  </w:footnote>
  <w:footnote w:id="428">
    <w:p w14:paraId="17062AB8" w14:textId="77777777" w:rsidR="00E805C4" w:rsidRDefault="00E805C4" w:rsidP="00E805C4">
      <w:pPr>
        <w:pStyle w:val="FootnoteText"/>
      </w:pPr>
      <w:r w:rsidRPr="00775EE4">
        <w:rPr>
          <w:rStyle w:val="FootnoteReference"/>
        </w:rPr>
        <w:footnoteRef/>
      </w:r>
      <w:r w:rsidRPr="00775EE4">
        <w:t xml:space="preserve"> DDPO1</w:t>
      </w:r>
    </w:p>
  </w:footnote>
  <w:footnote w:id="429">
    <w:p w14:paraId="312D0FCE" w14:textId="2AA863A6" w:rsidR="00514874" w:rsidRPr="00B30CC9" w:rsidRDefault="00514874">
      <w:pPr>
        <w:pStyle w:val="FootnoteText"/>
      </w:pPr>
      <w:r w:rsidRPr="00B30CC9">
        <w:rPr>
          <w:rStyle w:val="FootnoteReference"/>
        </w:rPr>
        <w:footnoteRef/>
      </w:r>
      <w:r w:rsidRPr="00B30CC9">
        <w:t xml:space="preserve"> </w:t>
      </w:r>
      <w:r w:rsidR="00B30CC9" w:rsidRPr="00B30CC9">
        <w:t xml:space="preserve">D.DP31, </w:t>
      </w:r>
      <w:r w:rsidR="00B30CC9" w:rsidRPr="00B30CC9">
        <w:t>D.DP32</w:t>
      </w:r>
    </w:p>
  </w:footnote>
  <w:footnote w:id="430">
    <w:p w14:paraId="686DA238" w14:textId="32772061" w:rsidR="00514874" w:rsidRPr="00514874" w:rsidRDefault="00514874">
      <w:pPr>
        <w:pStyle w:val="FootnoteText"/>
      </w:pPr>
      <w:r>
        <w:rPr>
          <w:rStyle w:val="FootnoteReference"/>
        </w:rPr>
        <w:footnoteRef/>
      </w:r>
      <w:r>
        <w:t xml:space="preserve"> Bryant, M. (2021). </w:t>
      </w:r>
      <w:r w:rsidRPr="00514874">
        <w:t>York’s anti-terror measures make centre a ‘no go zone’ for disabled people</w:t>
      </w:r>
      <w:r>
        <w:t xml:space="preserve">. </w:t>
      </w:r>
      <w:r>
        <w:rPr>
          <w:i/>
          <w:iCs/>
        </w:rPr>
        <w:t>The Guardian</w:t>
      </w:r>
      <w:r>
        <w:t xml:space="preserve">, [online] 19 November. Available at: </w:t>
      </w:r>
      <w:hyperlink r:id="rId230" w:history="1">
        <w:r w:rsidRPr="00A4243C">
          <w:rPr>
            <w:rStyle w:val="Hyperlink"/>
          </w:rPr>
          <w:t>https://www.theguardian.com/uk-news/2021/nov/19/york-anti-terror-measures-disabled-people-blue-badge-parking</w:t>
        </w:r>
      </w:hyperlink>
      <w:r>
        <w:t xml:space="preserve"> </w:t>
      </w:r>
      <w:r w:rsidR="00C005B5">
        <w:t>Accessed on: 15.03.22</w:t>
      </w:r>
    </w:p>
  </w:footnote>
  <w:footnote w:id="431">
    <w:p w14:paraId="5C30630C" w14:textId="77DF9C4C" w:rsidR="00FA1A2D" w:rsidRDefault="00FA1A2D" w:rsidP="00FA1A2D">
      <w:pPr>
        <w:pStyle w:val="FootnoteText"/>
      </w:pPr>
      <w:r w:rsidRPr="002D3A5A">
        <w:rPr>
          <w:rStyle w:val="FootnoteReference"/>
        </w:rPr>
        <w:footnoteRef/>
      </w:r>
      <w:r w:rsidRPr="002D3A5A">
        <w:t xml:space="preserve"> </w:t>
      </w:r>
      <w:r w:rsidR="00962FC3" w:rsidRPr="00962FC3">
        <w:t>Cited by SR219</w:t>
      </w:r>
      <w:r w:rsidR="00962FC3">
        <w:t xml:space="preserve">: </w:t>
      </w:r>
      <w:r>
        <w:t xml:space="preserve">TourettesHero, (2020). Understanding the Risks. [online]. Available at: </w:t>
      </w:r>
      <w:hyperlink r:id="rId231" w:history="1">
        <w:r w:rsidRPr="00321F14">
          <w:rPr>
            <w:rStyle w:val="Hyperlink"/>
          </w:rPr>
          <w:t>https://www.touretteshero.com/2020/07/03/understanding-the-risks/</w:t>
        </w:r>
      </w:hyperlink>
      <w:r>
        <w:t xml:space="preserve">. </w:t>
      </w:r>
      <w:r w:rsidR="00C005B5">
        <w:t>Accessed on: 15.03.22</w:t>
      </w:r>
    </w:p>
  </w:footnote>
  <w:footnote w:id="432">
    <w:p w14:paraId="31BB2825" w14:textId="3B5B6F93" w:rsidR="0050606D" w:rsidRDefault="0050606D">
      <w:pPr>
        <w:pStyle w:val="FootnoteText"/>
      </w:pPr>
      <w:r>
        <w:rPr>
          <w:rStyle w:val="FootnoteReference"/>
        </w:rPr>
        <w:footnoteRef/>
      </w:r>
      <w:r>
        <w:t xml:space="preserve"> OO13</w:t>
      </w:r>
    </w:p>
  </w:footnote>
  <w:footnote w:id="433">
    <w:p w14:paraId="5D9F0025" w14:textId="5EF23CD6" w:rsidR="00705393" w:rsidRDefault="00705393">
      <w:pPr>
        <w:pStyle w:val="FootnoteText"/>
      </w:pPr>
      <w:r>
        <w:rPr>
          <w:rStyle w:val="FootnoteReference"/>
        </w:rPr>
        <w:footnoteRef/>
      </w:r>
      <w:r>
        <w:t xml:space="preserve"> </w:t>
      </w:r>
      <w:r w:rsidR="00173B5B">
        <w:t>D.DP2</w:t>
      </w:r>
    </w:p>
  </w:footnote>
  <w:footnote w:id="434">
    <w:p w14:paraId="5D405EBC" w14:textId="7C32FD5C" w:rsidR="00361161" w:rsidRDefault="00361161">
      <w:pPr>
        <w:pStyle w:val="FootnoteText"/>
      </w:pPr>
      <w:r>
        <w:rPr>
          <w:rStyle w:val="FootnoteReference"/>
        </w:rPr>
        <w:footnoteRef/>
      </w:r>
      <w:r>
        <w:t xml:space="preserve"> </w:t>
      </w:r>
      <w:r w:rsidR="00173B5B" w:rsidRPr="00A463FF">
        <w:t>OO10</w:t>
      </w:r>
    </w:p>
  </w:footnote>
  <w:footnote w:id="435">
    <w:p w14:paraId="5ADA40F1" w14:textId="3950D313" w:rsidR="00361161" w:rsidRPr="00173B5B" w:rsidRDefault="00361161" w:rsidP="00361161">
      <w:pPr>
        <w:pStyle w:val="FootnoteText"/>
      </w:pPr>
      <w:r w:rsidRPr="00173B5B">
        <w:rPr>
          <w:rStyle w:val="FootnoteReference"/>
        </w:rPr>
        <w:footnoteRef/>
      </w:r>
      <w:r w:rsidRPr="00173B5B">
        <w:t xml:space="preserve"> </w:t>
      </w:r>
      <w:r w:rsidR="00173B5B" w:rsidRPr="00173B5B">
        <w:t>OO5</w:t>
      </w:r>
    </w:p>
  </w:footnote>
  <w:footnote w:id="436">
    <w:p w14:paraId="3566583C" w14:textId="565F0CCA" w:rsidR="00E672DC" w:rsidRDefault="00E672DC">
      <w:pPr>
        <w:pStyle w:val="FootnoteText"/>
      </w:pPr>
      <w:r w:rsidRPr="00173B5B">
        <w:rPr>
          <w:rStyle w:val="FootnoteReference"/>
        </w:rPr>
        <w:footnoteRef/>
      </w:r>
      <w:r w:rsidRPr="00173B5B">
        <w:t xml:space="preserve"> </w:t>
      </w:r>
      <w:r w:rsidR="00173B5B" w:rsidRPr="00173B5B">
        <w:t>DDPO12</w:t>
      </w:r>
    </w:p>
  </w:footnote>
  <w:footnote w:id="437">
    <w:p w14:paraId="01FCD491" w14:textId="69B5C942" w:rsidR="00EE65D0" w:rsidRDefault="00EE65D0" w:rsidP="00335F8C">
      <w:pPr>
        <w:pStyle w:val="FootnoteText"/>
      </w:pPr>
      <w:r>
        <w:rPr>
          <w:rStyle w:val="FootnoteReference"/>
        </w:rPr>
        <w:footnoteRef/>
      </w:r>
      <w:r>
        <w:t xml:space="preserve"> Das-</w:t>
      </w:r>
      <w:r>
        <w:t>Munshia, J., Changa, C.K., Bakolisf, I., Broadbentb, M., Dregana, A., Hotopfa</w:t>
      </w:r>
      <w:r w:rsidR="00335F8C">
        <w:t xml:space="preserve">, M., </w:t>
      </w:r>
      <w:r>
        <w:t>Morgane</w:t>
      </w:r>
      <w:r w:rsidR="00335F8C">
        <w:t xml:space="preserve">, C., and </w:t>
      </w:r>
      <w:r>
        <w:t>Stewarta,</w:t>
      </w:r>
      <w:r w:rsidR="00335F8C">
        <w:t xml:space="preserve"> R. (2021). All-cause and cause-specific mortality in people with mental disorders</w:t>
      </w:r>
      <w:r w:rsidR="00173B5B">
        <w:t xml:space="preserve"> </w:t>
      </w:r>
      <w:r w:rsidR="00335F8C">
        <w:t xml:space="preserve">and intellectual disabilities, before and during the COVID-19 pandemic: cohort study. </w:t>
      </w:r>
      <w:r w:rsidR="00335F8C" w:rsidRPr="00335F8C">
        <w:rPr>
          <w:i/>
          <w:iCs/>
        </w:rPr>
        <w:t>The Lancet Regional Health</w:t>
      </w:r>
      <w:r w:rsidR="0046390E">
        <w:rPr>
          <w:i/>
          <w:iCs/>
        </w:rPr>
        <w:t xml:space="preserve"> – </w:t>
      </w:r>
      <w:r w:rsidR="00335F8C" w:rsidRPr="00335F8C">
        <w:rPr>
          <w:i/>
          <w:iCs/>
        </w:rPr>
        <w:t>Europe</w:t>
      </w:r>
      <w:r w:rsidR="00335F8C">
        <w:t xml:space="preserve">, Volume 11, 100228. Available at: </w:t>
      </w:r>
      <w:hyperlink r:id="rId232" w:history="1">
        <w:r w:rsidR="00335F8C" w:rsidRPr="00012462">
          <w:rPr>
            <w:rStyle w:val="Hyperlink"/>
          </w:rPr>
          <w:t>https://doi.org/10.1016/j.lanepe.2021.100228</w:t>
        </w:r>
      </w:hyperlink>
      <w:r w:rsidR="00335F8C">
        <w:t xml:space="preserve"> </w:t>
      </w:r>
      <w:r w:rsidR="00C005B5">
        <w:t>Accessed on: 15.03.22</w:t>
      </w:r>
    </w:p>
  </w:footnote>
  <w:footnote w:id="438">
    <w:p w14:paraId="76D0694E" w14:textId="320C23E5" w:rsidR="00335F8C" w:rsidRDefault="00335F8C">
      <w:pPr>
        <w:pStyle w:val="FootnoteText"/>
      </w:pPr>
      <w:r>
        <w:rPr>
          <w:rStyle w:val="FootnoteReference"/>
        </w:rPr>
        <w:footnoteRef/>
      </w:r>
      <w:r>
        <w:t xml:space="preserve"> </w:t>
      </w:r>
      <w:r w:rsidR="00173B5B">
        <w:t>OO13</w:t>
      </w:r>
    </w:p>
  </w:footnote>
  <w:footnote w:id="439">
    <w:p w14:paraId="5D0C5018" w14:textId="37ED6DFE" w:rsidR="00DE212F" w:rsidRPr="00DE212F" w:rsidRDefault="00DE212F">
      <w:pPr>
        <w:pStyle w:val="FootnoteText"/>
      </w:pPr>
      <w:r>
        <w:rPr>
          <w:rStyle w:val="FootnoteReference"/>
        </w:rPr>
        <w:footnoteRef/>
      </w:r>
      <w:r>
        <w:t xml:space="preserve"> BBC News (2020). </w:t>
      </w:r>
      <w:r w:rsidRPr="00DE212F">
        <w:t>Basingstoke hospital 'neglect' over diabetes patient death</w:t>
      </w:r>
      <w:r>
        <w:t xml:space="preserve">. </w:t>
      </w:r>
      <w:r>
        <w:rPr>
          <w:i/>
          <w:iCs/>
        </w:rPr>
        <w:t>bbc.co.uk</w:t>
      </w:r>
      <w:r>
        <w:t xml:space="preserve">, 6 October. Available at: </w:t>
      </w:r>
      <w:hyperlink r:id="rId233" w:history="1">
        <w:r w:rsidR="00962FC3" w:rsidRPr="00002AC9">
          <w:rPr>
            <w:rStyle w:val="Hyperlink"/>
          </w:rPr>
          <w:t>https://www.bbc.co.uk/news/uk-england-hampshire-54439184</w:t>
        </w:r>
      </w:hyperlink>
      <w:r w:rsidR="00962FC3">
        <w:t xml:space="preserve"> </w:t>
      </w:r>
      <w:r w:rsidR="00C005B5">
        <w:t>Accessed on: 15.03.22</w:t>
      </w:r>
    </w:p>
  </w:footnote>
  <w:footnote w:id="440">
    <w:p w14:paraId="74FA1A14" w14:textId="0ED13C80" w:rsidR="00BF3065" w:rsidRPr="007F56C1" w:rsidRDefault="00BF3065">
      <w:pPr>
        <w:pStyle w:val="FootnoteText"/>
      </w:pPr>
      <w:r>
        <w:rPr>
          <w:rStyle w:val="FootnoteReference"/>
        </w:rPr>
        <w:footnoteRef/>
      </w:r>
      <w:r>
        <w:t xml:space="preserve"> Holland, L. and Lucas, R. (2021). </w:t>
      </w:r>
      <w:r w:rsidRPr="00BF3065">
        <w:t>Seventy-five people have died in autism and learning disability units in England since 2015, Sky News reveals</w:t>
      </w:r>
      <w:r>
        <w:t xml:space="preserve">. </w:t>
      </w:r>
      <w:r>
        <w:rPr>
          <w:i/>
          <w:iCs/>
        </w:rPr>
        <w:t>Sky News</w:t>
      </w:r>
      <w:r w:rsidR="007F56C1">
        <w:t xml:space="preserve">, 10 December. Available at: </w:t>
      </w:r>
      <w:hyperlink r:id="rId234" w:history="1">
        <w:r w:rsidR="00962FC3" w:rsidRPr="00002AC9">
          <w:rPr>
            <w:rStyle w:val="Hyperlink"/>
          </w:rPr>
          <w:t>https://news.sky.com/story/seventy-five-people-have-died-in-autism-and-learning-disability-units-in-england-since-2015-sky-news-reveals-12491903</w:t>
        </w:r>
      </w:hyperlink>
      <w:r w:rsidR="00962FC3">
        <w:t xml:space="preserve"> </w:t>
      </w:r>
      <w:r w:rsidR="00C005B5">
        <w:t>Accessed on: 15.03.22</w:t>
      </w:r>
    </w:p>
  </w:footnote>
  <w:footnote w:id="441">
    <w:p w14:paraId="217D59DF" w14:textId="6A48A504" w:rsidR="00927FCC" w:rsidRPr="00C37A62" w:rsidRDefault="00927FCC" w:rsidP="00927FCC">
      <w:pPr>
        <w:pStyle w:val="FootnoteText"/>
        <w:rPr>
          <w:lang w:val="en-US"/>
        </w:rPr>
      </w:pPr>
      <w:r>
        <w:rPr>
          <w:rStyle w:val="FootnoteReference"/>
        </w:rPr>
        <w:footnoteRef/>
      </w:r>
      <w:r>
        <w:t xml:space="preserve"> </w:t>
      </w:r>
      <w:hyperlink r:id="rId235" w:history="1">
        <w:r w:rsidR="00173B5B" w:rsidRPr="00A97FBA">
          <w:rPr>
            <w:rStyle w:val="Hyperlink"/>
          </w:rPr>
          <w:t>https://www.bbc.co.uk/news/uk-england-essex-57496578</w:t>
        </w:r>
      </w:hyperlink>
      <w:r w:rsidR="00173B5B">
        <w:t xml:space="preserve">. </w:t>
      </w:r>
    </w:p>
  </w:footnote>
  <w:footnote w:id="442">
    <w:p w14:paraId="4CEF4765" w14:textId="0EC45863" w:rsidR="00962FC3" w:rsidRDefault="00962FC3" w:rsidP="00962FC3">
      <w:pPr>
        <w:pStyle w:val="FootnoteText"/>
      </w:pPr>
      <w:r>
        <w:rPr>
          <w:rStyle w:val="FootnoteReference"/>
        </w:rPr>
        <w:footnoteRef/>
      </w:r>
      <w:r>
        <w:t xml:space="preserve"> ONS (2020). </w:t>
      </w:r>
      <w:r w:rsidRPr="00F2299B">
        <w:rPr>
          <w:i/>
          <w:iCs/>
        </w:rPr>
        <w:t>Coronavirus (COVID-19) related deaths by disability status, England and Wales: 2 March to 14 July 2020</w:t>
      </w:r>
      <w:r>
        <w:t xml:space="preserve">. [online] Available at: </w:t>
      </w:r>
      <w:hyperlink r:id="rId236" w:history="1">
        <w:r w:rsidRPr="00002AC9">
          <w:rPr>
            <w:rStyle w:val="Hyperlink"/>
          </w:rPr>
          <w:t>https://www.ons.gov.uk/peoplepopulationandcommunity/birthsdeathsandmarriages/deaths/articles/coronaviruscovid19relateddeathsbydisabilitystatusenglandandwales/2marchto14july2020</w:t>
        </w:r>
      </w:hyperlink>
      <w:r>
        <w:t xml:space="preserve"> </w:t>
      </w:r>
      <w:r w:rsidR="00C005B5">
        <w:t>Accessed on: 15.03.22</w:t>
      </w:r>
    </w:p>
  </w:footnote>
  <w:footnote w:id="443">
    <w:p w14:paraId="4CA760E8" w14:textId="24421C1D" w:rsidR="002B722B" w:rsidRDefault="002B722B" w:rsidP="002B722B">
      <w:pPr>
        <w:pStyle w:val="FootnoteText"/>
      </w:pPr>
      <w:r>
        <w:rPr>
          <w:rStyle w:val="FootnoteReference"/>
        </w:rPr>
        <w:footnoteRef/>
      </w:r>
      <w:r>
        <w:t xml:space="preserve"> See: </w:t>
      </w:r>
      <w:hyperlink r:id="rId237" w:history="1">
        <w:r w:rsidR="00173B5B" w:rsidRPr="00A97FBA">
          <w:rPr>
            <w:rStyle w:val="Hyperlink"/>
          </w:rPr>
          <w:t>https://www.crowdjustice.com/case/every-death-counts/</w:t>
        </w:r>
      </w:hyperlink>
      <w:r w:rsidR="00173B5B">
        <w:t xml:space="preserve">. </w:t>
      </w:r>
    </w:p>
  </w:footnote>
  <w:footnote w:id="444">
    <w:p w14:paraId="3B2D24E4" w14:textId="3F987D98" w:rsidR="00E3264F" w:rsidRDefault="00E3264F" w:rsidP="00E3264F">
      <w:pPr>
        <w:pStyle w:val="FootnoteText"/>
      </w:pPr>
      <w:r>
        <w:rPr>
          <w:rStyle w:val="FootnoteReference"/>
        </w:rPr>
        <w:footnoteRef/>
      </w:r>
      <w:r>
        <w:t xml:space="preserve"> PHE (2020). </w:t>
      </w:r>
      <w:r w:rsidRPr="00AC72DE">
        <w:rPr>
          <w:i/>
          <w:iCs/>
        </w:rPr>
        <w:t>People with learning disabilities had higher death rate from COVID-19</w:t>
      </w:r>
      <w:r>
        <w:t xml:space="preserve">. [press release], 12 November. Available at: </w:t>
      </w:r>
      <w:hyperlink r:id="rId238" w:history="1">
        <w:r w:rsidRPr="00002AC9">
          <w:rPr>
            <w:rStyle w:val="Hyperlink"/>
          </w:rPr>
          <w:t>https://www.gov.uk/government/news/people-with-learning-disabilities-had-higher-death-rate-from-covid-19</w:t>
        </w:r>
      </w:hyperlink>
      <w:r>
        <w:t xml:space="preserve"> </w:t>
      </w:r>
      <w:r w:rsidR="00C005B5">
        <w:t>Accessed on: 15.03.22</w:t>
      </w:r>
    </w:p>
  </w:footnote>
  <w:footnote w:id="445">
    <w:p w14:paraId="4DED1D9D" w14:textId="063A5B04" w:rsidR="00E3264F" w:rsidRDefault="00E3264F" w:rsidP="00E3264F">
      <w:pPr>
        <w:pStyle w:val="FootnoteText"/>
      </w:pPr>
      <w:r>
        <w:rPr>
          <w:rStyle w:val="FootnoteReference"/>
        </w:rPr>
        <w:footnoteRef/>
      </w:r>
      <w:r>
        <w:t xml:space="preserve"> CQC (2021). </w:t>
      </w:r>
      <w:r w:rsidRPr="00266C02">
        <w:rPr>
          <w:i/>
          <w:iCs/>
        </w:rPr>
        <w:t>COVID-19 INSIGHT</w:t>
      </w:r>
      <w:r>
        <w:t xml:space="preserve">. Issue 9, March, [online]. Available at: </w:t>
      </w:r>
      <w:hyperlink r:id="rId239" w:history="1">
        <w:r w:rsidRPr="00002AC9">
          <w:rPr>
            <w:rStyle w:val="Hyperlink"/>
          </w:rPr>
          <w:t>https://www.cqc.org.uk/sites/default/files/COVID-19%20Insight%209.pdf</w:t>
        </w:r>
      </w:hyperlink>
      <w:r>
        <w:t xml:space="preserve"> </w:t>
      </w:r>
      <w:r w:rsidR="00C005B5">
        <w:t>Accessed on: 15.03.22</w:t>
      </w:r>
    </w:p>
  </w:footnote>
  <w:footnote w:id="446">
    <w:p w14:paraId="1C95E143" w14:textId="77777777" w:rsidR="00E3264F" w:rsidRDefault="00E3264F" w:rsidP="00E3264F">
      <w:pPr>
        <w:pStyle w:val="FootnoteText"/>
      </w:pPr>
      <w:r>
        <w:rPr>
          <w:rStyle w:val="FootnoteReference"/>
        </w:rPr>
        <w:footnoteRef/>
      </w:r>
      <w:r>
        <w:t xml:space="preserve"> DDPO27</w:t>
      </w:r>
    </w:p>
  </w:footnote>
  <w:footnote w:id="447">
    <w:p w14:paraId="4EA83FEC" w14:textId="4F2F6BA9" w:rsidR="00962FC3" w:rsidRPr="00537751" w:rsidRDefault="00962FC3" w:rsidP="00962FC3">
      <w:pPr>
        <w:pStyle w:val="FootnoteText"/>
      </w:pPr>
      <w:r>
        <w:rPr>
          <w:rStyle w:val="FootnoteReference"/>
        </w:rPr>
        <w:footnoteRef/>
      </w:r>
      <w:r>
        <w:t xml:space="preserve"> </w:t>
      </w:r>
      <w:r>
        <w:t xml:space="preserve">Sayce, L. (2021). </w:t>
      </w:r>
      <w:r w:rsidRPr="00537751">
        <w:t xml:space="preserve">The forgotten crisis: exploring the disproportionate impact of the pandemic on disabled people. </w:t>
      </w:r>
      <w:r>
        <w:rPr>
          <w:i/>
          <w:iCs/>
        </w:rPr>
        <w:t>The Health Foundation</w:t>
      </w:r>
      <w:r>
        <w:t xml:space="preserve">, 21 February. Available at: </w:t>
      </w:r>
      <w:hyperlink r:id="rId240" w:history="1">
        <w:r w:rsidR="00173B5B" w:rsidRPr="00A97FBA">
          <w:rPr>
            <w:rStyle w:val="Hyperlink"/>
          </w:rPr>
          <w:t>https://www.health.org.uk/news-and-comment/blogs/the-forgotten-crisis-exploring-the-disproportionate-impact-of-the-pandemic</w:t>
        </w:r>
      </w:hyperlink>
      <w:r w:rsidR="00173B5B">
        <w:t>. Accessed on: 15.03.22</w:t>
      </w:r>
    </w:p>
  </w:footnote>
  <w:footnote w:id="448">
    <w:p w14:paraId="2C41E032" w14:textId="73AD01EA" w:rsidR="00762FF5" w:rsidRPr="00762FF5" w:rsidRDefault="00762FF5" w:rsidP="00762FF5">
      <w:pPr>
        <w:pStyle w:val="FootnoteText"/>
      </w:pPr>
      <w:r>
        <w:rPr>
          <w:rStyle w:val="FootnoteReference"/>
        </w:rPr>
        <w:footnoteRef/>
      </w:r>
      <w:r>
        <w:t xml:space="preserve"> Bosworth, M.L., Daniel </w:t>
      </w:r>
      <w:r>
        <w:t xml:space="preserve">Ayoubkhani, D., Nafilyan, V., Foubert, J., Glickman, M., Davey, C. et al (2021). </w:t>
      </w:r>
      <w:r w:rsidRPr="00762FF5">
        <w:t>Deaths involving COVID-19 by self-reported disability status during the first two waves of the COVID-19 pandemic in England: a retrospective, population-based cohort study</w:t>
      </w:r>
      <w:r>
        <w:t xml:space="preserve">. </w:t>
      </w:r>
      <w:r>
        <w:rPr>
          <w:i/>
          <w:iCs/>
        </w:rPr>
        <w:t>The Lancet</w:t>
      </w:r>
      <w:r>
        <w:t xml:space="preserve">, </w:t>
      </w:r>
      <w:r w:rsidRPr="00762FF5">
        <w:t>V</w:t>
      </w:r>
      <w:r>
        <w:t>ol</w:t>
      </w:r>
      <w:r w:rsidRPr="00762FF5">
        <w:t xml:space="preserve"> 6, I</w:t>
      </w:r>
      <w:r>
        <w:t>ssue</w:t>
      </w:r>
      <w:r w:rsidRPr="00762FF5">
        <w:t xml:space="preserve"> 11, E817-E825</w:t>
      </w:r>
      <w:r>
        <w:t xml:space="preserve">. Available at: </w:t>
      </w:r>
      <w:hyperlink r:id="rId241" w:history="1">
        <w:r w:rsidR="00E3264F" w:rsidRPr="00002AC9">
          <w:rPr>
            <w:rStyle w:val="Hyperlink"/>
          </w:rPr>
          <w:t>https://doi.org/10.1016/S2468-2667(21)00206-1</w:t>
        </w:r>
      </w:hyperlink>
      <w:r w:rsidR="00E3264F">
        <w:t xml:space="preserve"> Accessed on</w:t>
      </w:r>
      <w:r w:rsidR="00173B5B">
        <w:t>:</w:t>
      </w:r>
      <w:r w:rsidR="00E3264F">
        <w:t xml:space="preserve"> </w:t>
      </w:r>
      <w:r w:rsidR="00173B5B">
        <w:t>15.03.22</w:t>
      </w:r>
    </w:p>
  </w:footnote>
  <w:footnote w:id="449">
    <w:p w14:paraId="56A7BDB2" w14:textId="43AA0986" w:rsidR="005602D1" w:rsidRPr="005602D1" w:rsidRDefault="005602D1">
      <w:pPr>
        <w:pStyle w:val="FootnoteText"/>
      </w:pPr>
      <w:r>
        <w:rPr>
          <w:rStyle w:val="FootnoteReference"/>
        </w:rPr>
        <w:footnoteRef/>
      </w:r>
      <w:r>
        <w:t xml:space="preserve"> Buchan, L. (2020). </w:t>
      </w:r>
      <w:r w:rsidRPr="005602D1">
        <w:t>Coronavirus: Lockdown one week earlier could have halved UK's death toll, says Neil Ferguson</w:t>
      </w:r>
      <w:r>
        <w:rPr>
          <w:i/>
          <w:iCs/>
        </w:rPr>
        <w:t>. Independent</w:t>
      </w:r>
      <w:r>
        <w:t xml:space="preserve">, 10 June. Available at: </w:t>
      </w:r>
      <w:hyperlink r:id="rId242" w:history="1">
        <w:r w:rsidR="00E3264F" w:rsidRPr="00002AC9">
          <w:rPr>
            <w:rStyle w:val="Hyperlink"/>
          </w:rPr>
          <w:t>https://www.independent.co.uk/news/uk/politics/uk-lockdown-coronavirus-death-toll-neil-ferguson-a9559051.html</w:t>
        </w:r>
      </w:hyperlink>
      <w:r w:rsidR="00E3264F">
        <w:t xml:space="preserve"> </w:t>
      </w:r>
      <w:r w:rsidR="00C005B5">
        <w:t>Accessed on: 15.03.22</w:t>
      </w:r>
    </w:p>
  </w:footnote>
  <w:footnote w:id="450">
    <w:p w14:paraId="5CA1EA95" w14:textId="3AE75799" w:rsidR="004B1871" w:rsidRPr="005602D1" w:rsidRDefault="004B1871" w:rsidP="004B1871">
      <w:pPr>
        <w:pStyle w:val="FootnoteText"/>
      </w:pPr>
      <w:r>
        <w:rPr>
          <w:rStyle w:val="FootnoteReference"/>
        </w:rPr>
        <w:footnoteRef/>
      </w:r>
      <w:r>
        <w:t xml:space="preserve"> Ng, K. (2021). </w:t>
      </w:r>
      <w:r w:rsidRPr="005602D1">
        <w:t>Boris Johnson said he ‘would rather let bodies pile high’ than impose third lockdown, reports claim</w:t>
      </w:r>
      <w:r>
        <w:t xml:space="preserve">. </w:t>
      </w:r>
      <w:r>
        <w:rPr>
          <w:i/>
          <w:iCs/>
        </w:rPr>
        <w:t>Independent</w:t>
      </w:r>
      <w:r>
        <w:t xml:space="preserve">, 26 April. Available at: </w:t>
      </w:r>
      <w:hyperlink r:id="rId243" w:history="1">
        <w:r w:rsidRPr="00002AC9">
          <w:rPr>
            <w:rStyle w:val="Hyperlink"/>
          </w:rPr>
          <w:t>https://www.independent.co.uk/news/uk/politics/boris-johnson-dominic-cummings-lockdown-b1837326.html</w:t>
        </w:r>
      </w:hyperlink>
      <w:r>
        <w:t xml:space="preserve"> </w:t>
      </w:r>
      <w:r w:rsidR="00C005B5">
        <w:t>Accessed on: 15.03.22</w:t>
      </w:r>
    </w:p>
  </w:footnote>
  <w:footnote w:id="451">
    <w:p w14:paraId="64ADFAE0" w14:textId="44B3154E" w:rsidR="002F48B4" w:rsidRDefault="002F48B4">
      <w:pPr>
        <w:pStyle w:val="FootnoteText"/>
      </w:pPr>
      <w:r>
        <w:rPr>
          <w:rStyle w:val="FootnoteReference"/>
        </w:rPr>
        <w:footnoteRef/>
      </w:r>
      <w:r>
        <w:t xml:space="preserve"> </w:t>
      </w:r>
      <w:r w:rsidR="0032591B">
        <w:t xml:space="preserve">CBCE17, CBCE27, CBCE31, CBCE33; DDPO11, DDPO15; </w:t>
      </w:r>
      <w:r w:rsidR="0032591B">
        <w:t>D.DP25; FG1, FG2; SR124, SR129, SR144, SR177, SR219, SR239, SR258, SR264, SR327, SR335</w:t>
      </w:r>
    </w:p>
  </w:footnote>
  <w:footnote w:id="452">
    <w:p w14:paraId="04DBF403" w14:textId="65D982A3" w:rsidR="00E05481" w:rsidRPr="00E05481" w:rsidRDefault="00E05481">
      <w:pPr>
        <w:pStyle w:val="FootnoteText"/>
      </w:pPr>
      <w:r>
        <w:rPr>
          <w:rStyle w:val="FootnoteReference"/>
        </w:rPr>
        <w:footnoteRef/>
      </w:r>
      <w:r>
        <w:t xml:space="preserve"> O’Dowd, A. (2021). </w:t>
      </w:r>
      <w:r w:rsidR="00C006F0">
        <w:t>COVID</w:t>
      </w:r>
      <w:r w:rsidRPr="00E05481">
        <w:t>-19: Official figures “underestimate” deaths caused by discharging patients into care homes</w:t>
      </w:r>
      <w:r>
        <w:t xml:space="preserve">. </w:t>
      </w:r>
      <w:r>
        <w:rPr>
          <w:i/>
          <w:iCs/>
        </w:rPr>
        <w:t>BMJ</w:t>
      </w:r>
      <w:r>
        <w:t>, 2 June. Avai</w:t>
      </w:r>
      <w:r w:rsidR="00337D77">
        <w:t>la</w:t>
      </w:r>
      <w:r>
        <w:t xml:space="preserve">ble at: </w:t>
      </w:r>
      <w:hyperlink r:id="rId244" w:history="1">
        <w:r w:rsidR="00AF0EBC" w:rsidRPr="00A97FBA">
          <w:rPr>
            <w:rStyle w:val="Hyperlink"/>
          </w:rPr>
          <w:t>https://www.bmj.com/content/373/bmj.n1415</w:t>
        </w:r>
      </w:hyperlink>
      <w:r w:rsidR="00AF0EBC">
        <w:t>. Accessed on: 15.03.22</w:t>
      </w:r>
    </w:p>
  </w:footnote>
  <w:footnote w:id="453">
    <w:p w14:paraId="745CA491" w14:textId="6B9FD3C5" w:rsidR="00A455A1" w:rsidRPr="00A455A1" w:rsidRDefault="00A455A1">
      <w:pPr>
        <w:pStyle w:val="FootnoteText"/>
      </w:pPr>
      <w:r>
        <w:rPr>
          <w:rStyle w:val="FootnoteReference"/>
        </w:rPr>
        <w:footnoteRef/>
      </w:r>
      <w:r>
        <w:t xml:space="preserve"> CQC (2021). </w:t>
      </w:r>
      <w:r>
        <w:rPr>
          <w:i/>
          <w:iCs/>
        </w:rPr>
        <w:t xml:space="preserve">CQC Death Notifications from Care Homes. </w:t>
      </w:r>
      <w:r>
        <w:t>[online], 21 July. Available at:</w:t>
      </w:r>
      <w:r w:rsidR="0093401D">
        <w:t> </w:t>
      </w:r>
      <w:hyperlink r:id="rId245" w:history="1">
        <w:r w:rsidR="0093401D" w:rsidRPr="00A97FBA">
          <w:rPr>
            <w:rStyle w:val="Hyperlink"/>
          </w:rPr>
          <w:t>https://app.powerbi.com/view?r=eyJrIjoiOGE1YTZlODItYzA2Ni00MmUxLTkyZjQtYjk3OTg0ZmYwMTIyIiwidCI6ImE1NWRjYWI4LWNlNjYtNDVlYS1hYjNmLTY1YmMyYjA3YjVkMyJ9</w:t>
        </w:r>
      </w:hyperlink>
      <w:r w:rsidR="00954569">
        <w:t xml:space="preserve"> </w:t>
      </w:r>
      <w:r w:rsidR="00C005B5">
        <w:t>Accessed on: 15.03.22</w:t>
      </w:r>
    </w:p>
  </w:footnote>
  <w:footnote w:id="454">
    <w:p w14:paraId="5CBA7BE6" w14:textId="2828BD34" w:rsidR="00971FF3" w:rsidRPr="00971FF3" w:rsidRDefault="00971FF3">
      <w:pPr>
        <w:pStyle w:val="FootnoteText"/>
      </w:pPr>
      <w:r>
        <w:rPr>
          <w:rStyle w:val="FootnoteReference"/>
        </w:rPr>
        <w:footnoteRef/>
      </w:r>
      <w:r>
        <w:t xml:space="preserve"> Sabin, L. (2021). </w:t>
      </w:r>
      <w:r w:rsidRPr="00971FF3">
        <w:t xml:space="preserve">England’s </w:t>
      </w:r>
      <w:r w:rsidR="00C006F0">
        <w:t>COVID</w:t>
      </w:r>
      <w:r w:rsidRPr="00971FF3">
        <w:t xml:space="preserve"> care home deaths could be thousands higher than official figures, say providers</w:t>
      </w:r>
      <w:r>
        <w:t xml:space="preserve">. </w:t>
      </w:r>
      <w:r>
        <w:rPr>
          <w:i/>
          <w:iCs/>
        </w:rPr>
        <w:t>Independent</w:t>
      </w:r>
      <w:r>
        <w:t xml:space="preserve">, </w:t>
      </w:r>
      <w:r w:rsidR="004D3789">
        <w:t xml:space="preserve">1 August. Available at: </w:t>
      </w:r>
      <w:hyperlink r:id="rId246" w:history="1">
        <w:r w:rsidR="00954569" w:rsidRPr="00002AC9">
          <w:rPr>
            <w:rStyle w:val="Hyperlink"/>
          </w:rPr>
          <w:t>https://www.independent.co.uk/news/uk/home-news/covid-care-home-deaths-higher-b1894592.html?r=28937</w:t>
        </w:r>
      </w:hyperlink>
      <w:r w:rsidR="00954569">
        <w:t xml:space="preserve"> </w:t>
      </w:r>
      <w:r w:rsidR="00C005B5">
        <w:t>Accessed on: 15.03.22</w:t>
      </w:r>
    </w:p>
  </w:footnote>
  <w:footnote w:id="455">
    <w:p w14:paraId="0C53EBE8" w14:textId="6475A697" w:rsidR="00505AF9" w:rsidRPr="00AF0EBC" w:rsidRDefault="00505AF9" w:rsidP="00505AF9">
      <w:pPr>
        <w:pStyle w:val="FootnoteText"/>
        <w:rPr>
          <w:i/>
          <w:iCs/>
        </w:rPr>
      </w:pPr>
      <w:r>
        <w:rPr>
          <w:rStyle w:val="FootnoteReference"/>
        </w:rPr>
        <w:footnoteRef/>
      </w:r>
      <w:r>
        <w:t xml:space="preserve"> Health and Social Care and Science and Technology Committees (2021). </w:t>
      </w:r>
      <w:r w:rsidRPr="00505AF9">
        <w:rPr>
          <w:i/>
          <w:iCs/>
        </w:rPr>
        <w:t>Coronavirus: lessons learned to date</w:t>
      </w:r>
      <w:r>
        <w:t xml:space="preserve">. HC 92, 12 October. Available at: </w:t>
      </w:r>
      <w:hyperlink r:id="rId247" w:history="1">
        <w:r w:rsidR="00954569" w:rsidRPr="00002AC9">
          <w:rPr>
            <w:rStyle w:val="Hyperlink"/>
          </w:rPr>
          <w:t>https://committees.parliament.uk/publications/7496/documents/78687/default/</w:t>
        </w:r>
      </w:hyperlink>
      <w:r w:rsidR="00954569">
        <w:t xml:space="preserve"> </w:t>
      </w:r>
      <w:r w:rsidR="00C005B5">
        <w:t>Accessed on: 15.03.22</w:t>
      </w:r>
    </w:p>
  </w:footnote>
  <w:footnote w:id="456">
    <w:p w14:paraId="2E1A9A66" w14:textId="30CD2E1E" w:rsidR="005F3BA1" w:rsidRDefault="005F3BA1" w:rsidP="005F3BA1">
      <w:pPr>
        <w:pStyle w:val="FootnoteText"/>
        <w:tabs>
          <w:tab w:val="left" w:pos="795"/>
        </w:tabs>
      </w:pPr>
      <w:r>
        <w:rPr>
          <w:rStyle w:val="FootnoteReference"/>
        </w:rPr>
        <w:footnoteRef/>
      </w:r>
      <w:r>
        <w:t xml:space="preserve"> </w:t>
      </w:r>
      <w:r w:rsidRPr="005F3BA1">
        <w:t xml:space="preserve">JCHR (2020) The Government must urgently consider the human rights implications of COVID-19 measures, says Joint Committee on </w:t>
      </w:r>
      <w:r>
        <w:t>Human Rights. [online], 21 September. Available at:</w:t>
      </w:r>
      <w:r w:rsidRPr="005F3BA1">
        <w:t xml:space="preserve"> </w:t>
      </w:r>
      <w:hyperlink r:id="rId248" w:history="1">
        <w:r w:rsidR="00954569" w:rsidRPr="00002AC9">
          <w:rPr>
            <w:rStyle w:val="Hyperlink"/>
          </w:rPr>
          <w:t>https://committees.parliament.uk/work/218/the-governments-response-to-covid19-human-rights-implications/news/119291/the-government-must-urgently-consider-the-human-rights-implications-of-covid19-measures-says-joint-committee-on-human-rights</w:t>
        </w:r>
      </w:hyperlink>
      <w:r w:rsidR="00954569">
        <w:t xml:space="preserve"> </w:t>
      </w:r>
      <w:r w:rsidR="00C005B5">
        <w:t>Accessed on: 15.03.22</w:t>
      </w:r>
    </w:p>
  </w:footnote>
  <w:footnote w:id="457">
    <w:p w14:paraId="6FA6B229" w14:textId="1D1D2DCE" w:rsidR="005F3BA1" w:rsidRDefault="005F3BA1">
      <w:pPr>
        <w:pStyle w:val="FootnoteText"/>
      </w:pPr>
      <w:r>
        <w:rPr>
          <w:rStyle w:val="FootnoteReference"/>
        </w:rPr>
        <w:footnoteRef/>
      </w:r>
      <w:r>
        <w:t xml:space="preserve"> </w:t>
      </w:r>
      <w:r w:rsidRPr="005F3BA1">
        <w:t>NICE (2020)</w:t>
      </w:r>
      <w:r>
        <w:t>.</w:t>
      </w:r>
      <w:r w:rsidRPr="005F3BA1">
        <w:t xml:space="preserve"> NICE updates rapid COVID-19 guideline on critical care</w:t>
      </w:r>
      <w:r>
        <w:t xml:space="preserve">. </w:t>
      </w:r>
      <w:r w:rsidRPr="005F3BA1">
        <w:rPr>
          <w:i/>
          <w:iCs/>
        </w:rPr>
        <w:t>nice.org.uk</w:t>
      </w:r>
      <w:r>
        <w:t xml:space="preserve">, [online] 25 March. Available at: </w:t>
      </w:r>
      <w:hyperlink r:id="rId249" w:history="1">
        <w:r w:rsidR="00954569" w:rsidRPr="00002AC9">
          <w:rPr>
            <w:rStyle w:val="Hyperlink"/>
          </w:rPr>
          <w:t>https://www.nice.org.uk/news/article/nice-updates-rapid-covid-19-guideline-on-critical-care</w:t>
        </w:r>
      </w:hyperlink>
      <w:r w:rsidR="00954569">
        <w:t xml:space="preserve"> </w:t>
      </w:r>
      <w:r w:rsidR="00C005B5">
        <w:t>Accessed on: 15.03.22</w:t>
      </w:r>
    </w:p>
  </w:footnote>
  <w:footnote w:id="458">
    <w:p w14:paraId="44DBA2B0" w14:textId="40E5F786" w:rsidR="00A62015" w:rsidRPr="006672E6" w:rsidRDefault="00A62015" w:rsidP="00A62015">
      <w:pPr>
        <w:pStyle w:val="FootnoteText"/>
        <w:rPr>
          <w:i/>
          <w:iCs/>
        </w:rPr>
      </w:pPr>
      <w:r>
        <w:rPr>
          <w:rStyle w:val="FootnoteReference"/>
        </w:rPr>
        <w:footnoteRef/>
      </w:r>
      <w:r>
        <w:t xml:space="preserve"> Greater Manchester Coalition of Disabled People [GMCDP] 2020. </w:t>
      </w:r>
      <w:r w:rsidRPr="00A62015">
        <w:rPr>
          <w:i/>
          <w:iCs/>
        </w:rPr>
        <w:t>COVID-19: Emergency Hospital Passport</w:t>
      </w:r>
      <w:r>
        <w:t xml:space="preserve">. [online]. Available at: </w:t>
      </w:r>
      <w:hyperlink r:id="rId250" w:history="1">
        <w:r w:rsidR="0093401D" w:rsidRPr="00A97FBA">
          <w:rPr>
            <w:rStyle w:val="Hyperlink"/>
          </w:rPr>
          <w:t>https://gmcdp.com/sites/default/files/GMCDP%20COVID%2019_%20Emergency%20hospital%20passport</w:t>
        </w:r>
      </w:hyperlink>
      <w:r w:rsidR="00954569">
        <w:t xml:space="preserve"> </w:t>
      </w:r>
      <w:r w:rsidR="00C005B5">
        <w:t>Accessed on: 15.03.22</w:t>
      </w:r>
    </w:p>
  </w:footnote>
  <w:footnote w:id="459">
    <w:p w14:paraId="23E421D5" w14:textId="4779614A" w:rsidR="00107D12" w:rsidRDefault="00107D12">
      <w:pPr>
        <w:pStyle w:val="FootnoteText"/>
      </w:pPr>
      <w:r>
        <w:rPr>
          <w:rStyle w:val="FootnoteReference"/>
        </w:rPr>
        <w:footnoteRef/>
      </w:r>
      <w:r>
        <w:t xml:space="preserve"> BMA (2020).</w:t>
      </w:r>
      <w:r w:rsidRPr="00107D12">
        <w:t xml:space="preserve"> COVID-19: ethical issues when demand for life-saving treatment is at capacity</w:t>
      </w:r>
      <w:r>
        <w:t xml:space="preserve">. [online] 3 April. Available at: </w:t>
      </w:r>
      <w:hyperlink r:id="rId251" w:history="1">
        <w:r w:rsidR="00954569" w:rsidRPr="00002AC9">
          <w:rPr>
            <w:rStyle w:val="Hyperlink"/>
          </w:rPr>
          <w:t>https://www.bma.org.uk/advice-and-support/covid-19/ethics/covid-19-ethical-issues-when-demand-for-life-saving-treatment-is-at-capacity</w:t>
        </w:r>
      </w:hyperlink>
      <w:r w:rsidR="00954569">
        <w:t xml:space="preserve"> </w:t>
      </w:r>
      <w:r w:rsidR="00C005B5">
        <w:t>Accessed on: 15.03.22</w:t>
      </w:r>
    </w:p>
  </w:footnote>
  <w:footnote w:id="460">
    <w:p w14:paraId="396A296F" w14:textId="1B1C5AAA" w:rsidR="00A62015" w:rsidRDefault="00A62015" w:rsidP="007F381A">
      <w:pPr>
        <w:pStyle w:val="FootnoteText"/>
      </w:pPr>
      <w:r>
        <w:rPr>
          <w:rStyle w:val="FootnoteReference"/>
        </w:rPr>
        <w:footnoteRef/>
      </w:r>
      <w:r>
        <w:t xml:space="preserve"> </w:t>
      </w:r>
      <w:r w:rsidR="007F381A" w:rsidRPr="007F381A">
        <w:t>Shovlin, C. and Vizcaychip</w:t>
      </w:r>
      <w:r w:rsidR="007F381A">
        <w:t>i</w:t>
      </w:r>
      <w:r w:rsidR="007F381A" w:rsidRPr="007F381A">
        <w:t>, M. (2020) Implications for COVID-19 triage from the ICNARC report of 2204 COVID-19 cases managed in UK adult intensive care units</w:t>
      </w:r>
      <w:r w:rsidR="007F381A">
        <w:t xml:space="preserve">. </w:t>
      </w:r>
      <w:r w:rsidR="007F381A" w:rsidRPr="007F381A">
        <w:rPr>
          <w:i/>
          <w:iCs/>
        </w:rPr>
        <w:t>Emergency Medicine Journal</w:t>
      </w:r>
      <w:r w:rsidR="007F381A">
        <w:rPr>
          <w:i/>
          <w:iCs/>
        </w:rPr>
        <w:t xml:space="preserve">, </w:t>
      </w:r>
      <w:r w:rsidR="007F381A">
        <w:t>June, 37(6), pp.332-333. [online].</w:t>
      </w:r>
      <w:r w:rsidR="007F381A" w:rsidRPr="007F381A">
        <w:t xml:space="preserve"> http://orcid.org/0000-0001-7894-873XMarcela P Vizcaychipi3,4</w:t>
      </w:r>
    </w:p>
  </w:footnote>
  <w:footnote w:id="461">
    <w:p w14:paraId="74EDAC36" w14:textId="1A004868" w:rsidR="00A96B23" w:rsidRPr="00A96B23" w:rsidRDefault="00A96B23">
      <w:pPr>
        <w:pStyle w:val="FootnoteText"/>
      </w:pPr>
      <w:r>
        <w:rPr>
          <w:rStyle w:val="FootnoteReference"/>
        </w:rPr>
        <w:footnoteRef/>
      </w:r>
      <w:r>
        <w:t xml:space="preserve"> Investigations Team (2021). </w:t>
      </w:r>
      <w:r w:rsidRPr="00A96B23">
        <w:t>Medical treatment was withheld from people with learning disabilities during pandemic</w:t>
      </w:r>
      <w:r>
        <w:t xml:space="preserve">. </w:t>
      </w:r>
      <w:r>
        <w:rPr>
          <w:i/>
          <w:iCs/>
        </w:rPr>
        <w:t>Telegraph</w:t>
      </w:r>
      <w:r>
        <w:t xml:space="preserve">, 13 June. Available at: </w:t>
      </w:r>
      <w:hyperlink r:id="rId252" w:history="1">
        <w:r w:rsidR="00954569" w:rsidRPr="00002AC9">
          <w:rPr>
            <w:rStyle w:val="Hyperlink"/>
          </w:rPr>
          <w:t>https://www.telegraph.co.uk/news/2021/06/13/medical-treatment-withheld-people-learning/</w:t>
        </w:r>
      </w:hyperlink>
      <w:r w:rsidR="00954569">
        <w:t xml:space="preserve"> </w:t>
      </w:r>
      <w:r w:rsidR="00C005B5">
        <w:t>Accessed on: 15.03.22</w:t>
      </w:r>
    </w:p>
  </w:footnote>
  <w:footnote w:id="462">
    <w:p w14:paraId="06CB9504" w14:textId="7834D09A" w:rsidR="00954569" w:rsidRDefault="00954569" w:rsidP="00954569">
      <w:pPr>
        <w:pStyle w:val="FootnoteText"/>
      </w:pPr>
      <w:r>
        <w:rPr>
          <w:rStyle w:val="FootnoteReference"/>
        </w:rPr>
        <w:footnoteRef/>
      </w:r>
      <w:r>
        <w:t xml:space="preserve"> Amnesty International (2020). </w:t>
      </w:r>
      <w:r>
        <w:rPr>
          <w:i/>
          <w:iCs/>
        </w:rPr>
        <w:t xml:space="preserve">As If Expendable: the UK Government’s Failure to Protect Older People in Care Homes during the COVID-19 Pandemic. </w:t>
      </w:r>
      <w:r>
        <w:t xml:space="preserve">[online]. Available at: </w:t>
      </w:r>
      <w:hyperlink r:id="rId253" w:history="1">
        <w:r w:rsidRPr="00002AC9">
          <w:rPr>
            <w:rStyle w:val="Hyperlink"/>
          </w:rPr>
          <w:t>https://www.amnesty.org.uk/files/2020-10/Care%20Homes%20Report.pdf</w:t>
        </w:r>
      </w:hyperlink>
      <w:r w:rsidR="006672E6">
        <w:t xml:space="preserve">. </w:t>
      </w:r>
      <w:r w:rsidR="00C005B5">
        <w:t>Accessed on: 15.03.22</w:t>
      </w:r>
    </w:p>
  </w:footnote>
  <w:footnote w:id="463">
    <w:p w14:paraId="06BE1EA0" w14:textId="7D632DE1" w:rsidR="00954569" w:rsidRPr="00107D12" w:rsidRDefault="00954569" w:rsidP="00954569">
      <w:pPr>
        <w:pStyle w:val="FootnoteText"/>
      </w:pPr>
      <w:r>
        <w:rPr>
          <w:rStyle w:val="FootnoteReference"/>
        </w:rPr>
        <w:footnoteRef/>
      </w:r>
      <w:r>
        <w:t xml:space="preserve"> </w:t>
      </w:r>
      <w:r>
        <w:t>Pring, J</w:t>
      </w:r>
      <w:r w:rsidRPr="00954569">
        <w:t xml:space="preserve">. (2020). Coronavirus: Hancock refuses to publish treatment guidance. </w:t>
      </w:r>
      <w:r w:rsidRPr="00954569">
        <w:rPr>
          <w:i/>
          <w:iCs/>
        </w:rPr>
        <w:t>Disability News Service</w:t>
      </w:r>
      <w:r w:rsidRPr="00954569">
        <w:t xml:space="preserve">, 23 April. Available at: </w:t>
      </w:r>
      <w:hyperlink r:id="rId254" w:history="1">
        <w:r w:rsidRPr="00002AC9">
          <w:rPr>
            <w:rStyle w:val="Hyperlink"/>
          </w:rPr>
          <w:t>https://www.disabilitynewsservice.com/coronavirus-hancock-refuses-to-publish-treatment-guidance/</w:t>
        </w:r>
      </w:hyperlink>
      <w:r w:rsidR="006672E6">
        <w:t xml:space="preserve">. </w:t>
      </w:r>
      <w:r>
        <w:t>Access</w:t>
      </w:r>
      <w:r w:rsidR="006672E6">
        <w:t>ed</w:t>
      </w:r>
      <w:r>
        <w:t xml:space="preserve"> on: </w:t>
      </w:r>
      <w:r w:rsidR="006672E6">
        <w:t>15.03.22</w:t>
      </w:r>
    </w:p>
  </w:footnote>
  <w:footnote w:id="464">
    <w:p w14:paraId="5E600A14" w14:textId="116B8617" w:rsidR="00D2624A" w:rsidRDefault="00D2624A">
      <w:pPr>
        <w:pStyle w:val="FootnoteText"/>
      </w:pPr>
      <w:r>
        <w:rPr>
          <w:rStyle w:val="FootnoteReference"/>
        </w:rPr>
        <w:footnoteRef/>
      </w:r>
      <w:r w:rsidR="006672E6">
        <w:t xml:space="preserve"> CBCE7, CBCE10, CBCE13, CBCE16, CBCE17, CBCE21, CBCE23, CBCE27, CBCE28, CBCE32; DDPO5, DDPO26, CBCE36; FG4; SR12, SR14, SR88, SR111, SR160, SR163, SR191, SR228</w:t>
      </w:r>
      <w:r>
        <w:t xml:space="preserve"> </w:t>
      </w:r>
    </w:p>
  </w:footnote>
  <w:footnote w:id="465">
    <w:p w14:paraId="70C94768" w14:textId="29B7BBA0" w:rsidR="009B06FF" w:rsidRPr="0036251B" w:rsidRDefault="009B06FF" w:rsidP="0036251B">
      <w:pPr>
        <w:pStyle w:val="FootnoteText"/>
      </w:pPr>
      <w:r>
        <w:rPr>
          <w:rStyle w:val="FootnoteReference"/>
        </w:rPr>
        <w:footnoteRef/>
      </w:r>
      <w:r>
        <w:t xml:space="preserve"> </w:t>
      </w:r>
      <w:r w:rsidR="0036251B">
        <w:t xml:space="preserve">For example: </w:t>
      </w:r>
      <w:r>
        <w:t xml:space="preserve">Booth, R. (2020). </w:t>
      </w:r>
      <w:r w:rsidRPr="009B06FF">
        <w:t>UK healthcare regulator brands resuscitation strategy unacceptable</w:t>
      </w:r>
      <w:r>
        <w:t xml:space="preserve">. </w:t>
      </w:r>
      <w:r>
        <w:rPr>
          <w:i/>
          <w:iCs/>
        </w:rPr>
        <w:t xml:space="preserve">The Guardian, </w:t>
      </w:r>
      <w:r>
        <w:t xml:space="preserve">1 April. Available at: </w:t>
      </w:r>
      <w:hyperlink r:id="rId255" w:history="1">
        <w:r w:rsidR="0036251B" w:rsidRPr="003C2643">
          <w:rPr>
            <w:rStyle w:val="Hyperlink"/>
          </w:rPr>
          <w:t>https://www.theguardian.com/world/2020/apr/01/uk-healthcare-regulator-brands-resuscitation-strategy-unacceptable</w:t>
        </w:r>
      </w:hyperlink>
      <w:r w:rsidR="0036251B">
        <w:t xml:space="preserve">; Investigations Team (2021). People with mental illness and learning disabilities given ‘do not resuscitate’ orders during pandemic. </w:t>
      </w:r>
      <w:r w:rsidR="0036251B">
        <w:rPr>
          <w:i/>
          <w:iCs/>
        </w:rPr>
        <w:t>Telegraph</w:t>
      </w:r>
      <w:r w:rsidR="0036251B">
        <w:t xml:space="preserve">, [online] 9 June. Available at: </w:t>
      </w:r>
      <w:hyperlink r:id="rId256" w:history="1">
        <w:r w:rsidR="00954569" w:rsidRPr="00002AC9">
          <w:rPr>
            <w:rStyle w:val="Hyperlink"/>
          </w:rPr>
          <w:t>https://www.telegraph.co.uk/news/2021/06/09/patients-mental-illness-learning-disabilities-given-do-not-resuscitate/</w:t>
        </w:r>
      </w:hyperlink>
      <w:r w:rsidR="00DA7CA5">
        <w:t xml:space="preserve">. </w:t>
      </w:r>
      <w:r w:rsidR="00C005B5">
        <w:t>Accessed on: 15.03.22</w:t>
      </w:r>
    </w:p>
  </w:footnote>
  <w:footnote w:id="466">
    <w:p w14:paraId="799DD025" w14:textId="620C1338" w:rsidR="0036251B" w:rsidRDefault="0036251B">
      <w:pPr>
        <w:pStyle w:val="FootnoteText"/>
      </w:pPr>
      <w:r>
        <w:rPr>
          <w:rStyle w:val="FootnoteReference"/>
        </w:rPr>
        <w:footnoteRef/>
      </w:r>
      <w:r>
        <w:t xml:space="preserve"> </w:t>
      </w:r>
      <w:r w:rsidR="006672E6">
        <w:t>DDPO26</w:t>
      </w:r>
    </w:p>
  </w:footnote>
  <w:footnote w:id="467">
    <w:p w14:paraId="0E15A62D" w14:textId="1431DF7F" w:rsidR="00D2624A" w:rsidRPr="00D2624A" w:rsidRDefault="00D2624A">
      <w:pPr>
        <w:pStyle w:val="FootnoteText"/>
      </w:pPr>
      <w:r>
        <w:rPr>
          <w:rStyle w:val="FootnoteReference"/>
        </w:rPr>
        <w:footnoteRef/>
      </w:r>
      <w:r w:rsidR="00DA7CA5">
        <w:t xml:space="preserve"> </w:t>
      </w:r>
      <w:r>
        <w:t xml:space="preserve">CQC (2021). </w:t>
      </w:r>
      <w:r w:rsidRPr="00D2624A">
        <w:rPr>
          <w:i/>
          <w:iCs/>
        </w:rPr>
        <w:t xml:space="preserve">Protect, respect, connect – decisions about living and dying well during COVID-19. </w:t>
      </w:r>
      <w:r>
        <w:t xml:space="preserve">[online]. Available at: </w:t>
      </w:r>
      <w:hyperlink r:id="rId257" w:history="1">
        <w:r w:rsidR="00DA7CA5" w:rsidRPr="00A97FBA">
          <w:rPr>
            <w:rStyle w:val="Hyperlink"/>
          </w:rPr>
          <w:t>https://www.cqc.org.uk/news/releases/improved-oversight-reform-needed-pressures-pandemic-shine-light-inconsistent</w:t>
        </w:r>
      </w:hyperlink>
      <w:r w:rsidR="00DA7CA5">
        <w:t xml:space="preserve">. </w:t>
      </w:r>
      <w:r w:rsidR="00C005B5">
        <w:t>Accessed on: 15.03.22</w:t>
      </w:r>
    </w:p>
  </w:footnote>
  <w:footnote w:id="468">
    <w:p w14:paraId="52D25B21" w14:textId="3301A750" w:rsidR="00CE53BA" w:rsidRDefault="00CE53BA" w:rsidP="00CE53BA">
      <w:pPr>
        <w:pStyle w:val="FootnoteText"/>
      </w:pPr>
      <w:r>
        <w:rPr>
          <w:rStyle w:val="FootnoteReference"/>
        </w:rPr>
        <w:footnoteRef/>
      </w:r>
      <w:r>
        <w:t xml:space="preserve"> </w:t>
      </w:r>
      <w:r>
        <w:t xml:space="preserve">Pring, J. (2020). NHS trust tells people with muscular dystrophy: ‘We’re keeping your ventilator filters for patients with coronavirus’. </w:t>
      </w:r>
      <w:r>
        <w:rPr>
          <w:i/>
          <w:iCs/>
        </w:rPr>
        <w:t xml:space="preserve">Disability News </w:t>
      </w:r>
      <w:r w:rsidRPr="00CE53BA">
        <w:t>Service</w:t>
      </w:r>
      <w:r>
        <w:t xml:space="preserve">, 7 May. </w:t>
      </w:r>
      <w:r w:rsidRPr="00CE53BA">
        <w:t>Available</w:t>
      </w:r>
      <w:r>
        <w:t xml:space="preserve"> at: </w:t>
      </w:r>
      <w:hyperlink r:id="rId258" w:history="1">
        <w:r w:rsidR="00954569" w:rsidRPr="00002AC9">
          <w:rPr>
            <w:rStyle w:val="Hyperlink"/>
          </w:rPr>
          <w:t>https://www.disabilitynewsservice.com/nhs-trust-tells-people-with-muscular-dystrophy-were-keeping-your-ventilator-filters-for-patients-with-coronavirus/</w:t>
        </w:r>
      </w:hyperlink>
      <w:r w:rsidR="00DA7CA5">
        <w:t xml:space="preserve">. </w:t>
      </w:r>
      <w:r w:rsidR="00C005B5">
        <w:t>Accessed on: 15.03.22</w:t>
      </w:r>
    </w:p>
  </w:footnote>
  <w:footnote w:id="469">
    <w:p w14:paraId="32B5FE1B" w14:textId="4362C8D6" w:rsidR="00EB2657" w:rsidRDefault="00EB2657">
      <w:pPr>
        <w:pStyle w:val="FootnoteText"/>
      </w:pPr>
      <w:r>
        <w:rPr>
          <w:rStyle w:val="FootnoteReference"/>
        </w:rPr>
        <w:footnoteRef/>
      </w:r>
      <w:r>
        <w:t xml:space="preserve"> </w:t>
      </w:r>
      <w:r w:rsidRPr="00EB2657">
        <w:t xml:space="preserve">Mencap </w:t>
      </w:r>
      <w:r>
        <w:t xml:space="preserve">(2020). </w:t>
      </w:r>
      <w:r w:rsidRPr="00EB2657">
        <w:rPr>
          <w:i/>
          <w:iCs/>
        </w:rPr>
        <w:t>Learning Disability Nurse Survey</w:t>
      </w:r>
      <w:r>
        <w:t xml:space="preserve">. [online]. Available at: </w:t>
      </w:r>
      <w:r w:rsidRPr="00EB2657">
        <w:t xml:space="preserve"> </w:t>
      </w:r>
      <w:hyperlink r:id="rId259" w:history="1">
        <w:r w:rsidR="00DA7CA5" w:rsidRPr="00A97FBA">
          <w:rPr>
            <w:rStyle w:val="Hyperlink"/>
          </w:rPr>
          <w:t>www.mencap.org.uk/myhealthmylife</w:t>
        </w:r>
      </w:hyperlink>
      <w:r w:rsidR="00DA7CA5">
        <w:t>.</w:t>
      </w:r>
      <w:r w:rsidRPr="00EB2657">
        <w:t xml:space="preserve"> </w:t>
      </w:r>
      <w:r w:rsidR="00C005B5">
        <w:t>Accessed on: 15.03.22</w:t>
      </w:r>
    </w:p>
  </w:footnote>
  <w:footnote w:id="470">
    <w:p w14:paraId="2CA8DC27" w14:textId="3FAADD1C" w:rsidR="00A061EE" w:rsidRPr="00A061EE" w:rsidRDefault="00A061EE">
      <w:pPr>
        <w:pStyle w:val="FootnoteText"/>
      </w:pPr>
      <w:r>
        <w:rPr>
          <w:rStyle w:val="FootnoteReference"/>
        </w:rPr>
        <w:footnoteRef/>
      </w:r>
      <w:r>
        <w:t xml:space="preserve"> </w:t>
      </w:r>
      <w:r>
        <w:t xml:space="preserve">Pring, J. (2020). </w:t>
      </w:r>
      <w:r w:rsidRPr="00A061EE">
        <w:t xml:space="preserve">Coronavirus: New NHS guidance ‘leaves door </w:t>
      </w:r>
      <w:r w:rsidRPr="00A061EE">
        <w:t>open to dangerous discrimination</w:t>
      </w:r>
      <w:r>
        <w:t xml:space="preserve">. </w:t>
      </w:r>
      <w:r>
        <w:rPr>
          <w:i/>
          <w:iCs/>
        </w:rPr>
        <w:t>Disability News Service</w:t>
      </w:r>
      <w:r>
        <w:t xml:space="preserve">, [online] 18 June. Available at: </w:t>
      </w:r>
      <w:hyperlink r:id="rId260" w:history="1">
        <w:r w:rsidR="001F2F38" w:rsidRPr="00002AC9">
          <w:rPr>
            <w:rStyle w:val="Hyperlink"/>
          </w:rPr>
          <w:t>https://www.disabilitynewsservice.com/coronavirus-new-nhs-guidance-leaves-door-open-to-dangerous-discrimination/</w:t>
        </w:r>
      </w:hyperlink>
      <w:r w:rsidR="001F2F38">
        <w:t xml:space="preserve"> </w:t>
      </w:r>
      <w:r w:rsidR="00C005B5">
        <w:t>Accessed on: 15.03.22</w:t>
      </w:r>
    </w:p>
  </w:footnote>
  <w:footnote w:id="471">
    <w:p w14:paraId="51C5C450" w14:textId="42CCB2EE" w:rsidR="00756159" w:rsidRDefault="00756159">
      <w:pPr>
        <w:pStyle w:val="FootnoteText"/>
      </w:pPr>
      <w:r w:rsidRPr="00DA7CA5">
        <w:rPr>
          <w:rStyle w:val="FootnoteReference"/>
        </w:rPr>
        <w:footnoteRef/>
      </w:r>
      <w:r w:rsidRPr="00DA7CA5">
        <w:t xml:space="preserve"> </w:t>
      </w:r>
      <w:r w:rsidR="00DA7CA5" w:rsidRPr="00DA7CA5">
        <w:t xml:space="preserve">CBCE6, CBCE7, CBCE11, CBCE13, CBCE14, CBCE32; DDPO11, DDPO26, DDPO36; </w:t>
      </w:r>
      <w:r w:rsidR="00DA7CA5" w:rsidRPr="00DA7CA5">
        <w:t>D.DP25;</w:t>
      </w:r>
      <w:r w:rsidR="00DA7CA5" w:rsidRPr="00B32094">
        <w:t xml:space="preserve"> FG1</w:t>
      </w:r>
    </w:p>
  </w:footnote>
  <w:footnote w:id="472">
    <w:p w14:paraId="3CB66504" w14:textId="7CC48C5B" w:rsidR="00DE2E6F" w:rsidRDefault="00DE2E6F">
      <w:pPr>
        <w:pStyle w:val="FootnoteText"/>
      </w:pPr>
      <w:r>
        <w:rPr>
          <w:rStyle w:val="FootnoteReference"/>
        </w:rPr>
        <w:footnoteRef/>
      </w:r>
      <w:r>
        <w:t xml:space="preserve"> ONS (2020). </w:t>
      </w:r>
      <w:r w:rsidRPr="00DE2E6F">
        <w:rPr>
          <w:i/>
          <w:iCs/>
        </w:rPr>
        <w:t>Coronavirus and the social impacts on disabled people in Great Britain: July 2020</w:t>
      </w:r>
      <w:r>
        <w:t xml:space="preserve">. [online]. Available at: </w:t>
      </w:r>
      <w:hyperlink r:id="rId261" w:history="1">
        <w:r w:rsidR="001F2F38" w:rsidRPr="00002AC9">
          <w:rPr>
            <w:rStyle w:val="Hyperlink"/>
          </w:rPr>
          <w:t>https://www.ons.gov.uk/peoplepopulationandcommunity/healthandsocialcare/disability/articles/coronavirusandthesocialimpactsondisabledpeopleingreatbritain/july2020</w:t>
        </w:r>
      </w:hyperlink>
      <w:r w:rsidR="001F2F38">
        <w:t xml:space="preserve"> </w:t>
      </w:r>
      <w:r w:rsidR="00C005B5">
        <w:t>Accessed on: 15.03.22</w:t>
      </w:r>
    </w:p>
  </w:footnote>
  <w:footnote w:id="473">
    <w:p w14:paraId="79446719" w14:textId="131E1DE5" w:rsidR="007C3C8C" w:rsidRDefault="007C3C8C">
      <w:pPr>
        <w:pStyle w:val="FootnoteText"/>
      </w:pPr>
      <w:r w:rsidRPr="00D02835">
        <w:rPr>
          <w:rStyle w:val="FootnoteReference"/>
        </w:rPr>
        <w:footnoteRef/>
      </w:r>
      <w:r w:rsidRPr="00D02835">
        <w:t xml:space="preserve"> See above p.</w:t>
      </w:r>
      <w:fldSimple w:instr=" PAGEREF Para63 ">
        <w:r w:rsidR="00D02835" w:rsidRPr="00D02835">
          <w:rPr>
            <w:noProof/>
          </w:rPr>
          <w:t>31</w:t>
        </w:r>
      </w:fldSimple>
    </w:p>
  </w:footnote>
  <w:footnote w:id="474">
    <w:p w14:paraId="59FF4529" w14:textId="325F0DF5" w:rsidR="00606F5B" w:rsidRDefault="00606F5B">
      <w:pPr>
        <w:pStyle w:val="FootnoteText"/>
      </w:pPr>
      <w:r>
        <w:rPr>
          <w:rStyle w:val="FootnoteReference"/>
        </w:rPr>
        <w:footnoteRef/>
      </w:r>
      <w:r>
        <w:t xml:space="preserve"> Friends, Families and Travellers (2021). </w:t>
      </w:r>
      <w:r w:rsidRPr="002E7DBF">
        <w:rPr>
          <w:i/>
          <w:iCs/>
        </w:rPr>
        <w:t>Locked Out: 74% of GPs refused registration to nomadic patients during COVID-19 Pandemic.</w:t>
      </w:r>
      <w:r>
        <w:t xml:space="preserve"> </w:t>
      </w:r>
      <w:r w:rsidR="002E7DBF">
        <w:t xml:space="preserve">[online] 8 July. Available at: </w:t>
      </w:r>
      <w:hyperlink r:id="rId262" w:history="1">
        <w:r w:rsidR="002E7DBF" w:rsidRPr="00012462">
          <w:rPr>
            <w:rStyle w:val="Hyperlink"/>
          </w:rPr>
          <w:t>https://www.gypsy-traveller.org/news/locked-out-74-of-gps-refused-registration-to-nomadic-patients-during-covid-19-pandemic/</w:t>
        </w:r>
      </w:hyperlink>
      <w:r w:rsidR="002E7DBF">
        <w:t xml:space="preserve"> Access</w:t>
      </w:r>
      <w:r w:rsidR="00DA7CA5">
        <w:t>ed</w:t>
      </w:r>
      <w:r w:rsidR="002E7DBF">
        <w:t xml:space="preserve"> on: </w:t>
      </w:r>
      <w:r w:rsidR="00DA7CA5">
        <w:t>15.03.22</w:t>
      </w:r>
    </w:p>
  </w:footnote>
  <w:footnote w:id="475">
    <w:p w14:paraId="7F78A1AB" w14:textId="6A934277" w:rsidR="007C3C8C" w:rsidRDefault="007C3C8C" w:rsidP="007C3C8C">
      <w:pPr>
        <w:pStyle w:val="FootnoteText"/>
      </w:pPr>
      <w:r>
        <w:rPr>
          <w:rStyle w:val="FootnoteReference"/>
        </w:rPr>
        <w:footnoteRef/>
      </w:r>
      <w:r>
        <w:t xml:space="preserve"> </w:t>
      </w:r>
      <w:r w:rsidRPr="00536CB3">
        <w:t xml:space="preserve">WEC (2020). Unequal impact? Coronavirus, disability and access to services. HC 1050. Available at: </w:t>
      </w:r>
      <w:hyperlink r:id="rId263" w:history="1">
        <w:r w:rsidR="001F2F38" w:rsidRPr="00002AC9">
          <w:rPr>
            <w:rStyle w:val="Hyperlink"/>
          </w:rPr>
          <w:t>https://committees.parliament.uk/publications/4068/documents/40461/default/</w:t>
        </w:r>
      </w:hyperlink>
      <w:r w:rsidR="001F2F38">
        <w:t xml:space="preserve"> </w:t>
      </w:r>
      <w:r w:rsidR="00C005B5">
        <w:t>Accessed on: 15.03.22</w:t>
      </w:r>
    </w:p>
  </w:footnote>
  <w:footnote w:id="476">
    <w:p w14:paraId="2A492C76" w14:textId="2A6D5C56" w:rsidR="00B33888" w:rsidRPr="00B33888" w:rsidRDefault="00B33888">
      <w:pPr>
        <w:pStyle w:val="FootnoteText"/>
      </w:pPr>
      <w:r>
        <w:rPr>
          <w:rStyle w:val="FootnoteReference"/>
        </w:rPr>
        <w:footnoteRef/>
      </w:r>
      <w:r>
        <w:t xml:space="preserve"> DRUK (2020). </w:t>
      </w:r>
      <w:r w:rsidRPr="00B33888">
        <w:t>Disabled man dies due to lack of food during lockdown</w:t>
      </w:r>
      <w:r>
        <w:t xml:space="preserve">. </w:t>
      </w:r>
      <w:r>
        <w:rPr>
          <w:i/>
          <w:iCs/>
        </w:rPr>
        <w:t>d</w:t>
      </w:r>
      <w:r w:rsidRPr="00B33888">
        <w:rPr>
          <w:i/>
          <w:iCs/>
        </w:rPr>
        <w:t>isabilityrightsuk.org</w:t>
      </w:r>
      <w:r>
        <w:rPr>
          <w:i/>
          <w:iCs/>
        </w:rPr>
        <w:t xml:space="preserve">, </w:t>
      </w:r>
      <w:r>
        <w:t xml:space="preserve">[online] 25 June. Available at: </w:t>
      </w:r>
      <w:hyperlink r:id="rId264" w:history="1">
        <w:r w:rsidR="001F2F38" w:rsidRPr="00002AC9">
          <w:rPr>
            <w:rStyle w:val="Hyperlink"/>
          </w:rPr>
          <w:t>https://www.disabilityrightsuk.org/news/2020/june/disabled-man-dies-due-lack-food-during-lockdown</w:t>
        </w:r>
      </w:hyperlink>
      <w:r w:rsidR="001F2F38">
        <w:t xml:space="preserve"> </w:t>
      </w:r>
      <w:r w:rsidR="00C005B5">
        <w:t>Accessed on: 15.03.22</w:t>
      </w:r>
    </w:p>
  </w:footnote>
  <w:footnote w:id="477">
    <w:p w14:paraId="410EED28" w14:textId="3A454CBD" w:rsidR="007C3C8C" w:rsidRDefault="007C3C8C">
      <w:pPr>
        <w:pStyle w:val="FootnoteText"/>
      </w:pPr>
      <w:r>
        <w:rPr>
          <w:rStyle w:val="FootnoteReference"/>
        </w:rPr>
        <w:footnoteRef/>
      </w:r>
      <w:r>
        <w:t xml:space="preserve"> WEC 2020.</w:t>
      </w:r>
    </w:p>
  </w:footnote>
  <w:footnote w:id="478">
    <w:p w14:paraId="167DCAE6" w14:textId="0D056992" w:rsidR="00DF22A2" w:rsidRDefault="00DF22A2">
      <w:pPr>
        <w:pStyle w:val="FootnoteText"/>
      </w:pPr>
      <w:r>
        <w:rPr>
          <w:rStyle w:val="FootnoteReference"/>
        </w:rPr>
        <w:footnoteRef/>
      </w:r>
      <w:r>
        <w:t xml:space="preserve"> D.DP7</w:t>
      </w:r>
    </w:p>
  </w:footnote>
  <w:footnote w:id="479">
    <w:p w14:paraId="0964A90B" w14:textId="749A4F4F" w:rsidR="00DF22A2" w:rsidRPr="00CB4025" w:rsidRDefault="00DF22A2">
      <w:pPr>
        <w:pStyle w:val="FootnoteText"/>
      </w:pPr>
      <w:r>
        <w:rPr>
          <w:rStyle w:val="FootnoteReference"/>
        </w:rPr>
        <w:footnoteRef/>
      </w:r>
      <w:r>
        <w:t xml:space="preserve"> </w:t>
      </w:r>
      <w:r>
        <w:t xml:space="preserve">itvNEWS (2021). </w:t>
      </w:r>
      <w:r w:rsidRPr="00DF22A2">
        <w:t>Sheffield mother locked autistic son in attic until he almost starved to death</w:t>
      </w:r>
      <w:r w:rsidR="00CB4025">
        <w:t xml:space="preserve">. </w:t>
      </w:r>
      <w:r w:rsidR="00CB4025" w:rsidRPr="00CB4025">
        <w:rPr>
          <w:i/>
          <w:iCs/>
        </w:rPr>
        <w:t>itv.com</w:t>
      </w:r>
      <w:r w:rsidR="00CB4025">
        <w:t xml:space="preserve">, [online] 13 January. Available at: </w:t>
      </w:r>
      <w:hyperlink r:id="rId265" w:history="1">
        <w:r w:rsidR="001F2F38" w:rsidRPr="00002AC9">
          <w:rPr>
            <w:rStyle w:val="Hyperlink"/>
          </w:rPr>
          <w:t>https://www.itv.com/news/calendar/2022-01-12/mother-imprisoned-autistic-son-in-attic-until-he-almost-starved-to-death</w:t>
        </w:r>
      </w:hyperlink>
      <w:r w:rsidR="001F2F38">
        <w:t xml:space="preserve"> </w:t>
      </w:r>
      <w:r w:rsidR="00C005B5">
        <w:t>Accessed on: 15.03.22</w:t>
      </w:r>
    </w:p>
  </w:footnote>
  <w:footnote w:id="480">
    <w:p w14:paraId="0195DA8D" w14:textId="13A43EB5" w:rsidR="001C0522" w:rsidRDefault="001C0522">
      <w:pPr>
        <w:pStyle w:val="FootnoteText"/>
      </w:pPr>
      <w:r>
        <w:rPr>
          <w:rStyle w:val="FootnoteReference"/>
        </w:rPr>
        <w:footnoteRef/>
      </w:r>
      <w:r>
        <w:t xml:space="preserve"> </w:t>
      </w:r>
      <w:r w:rsidR="00F10E12">
        <w:t>As above.</w:t>
      </w:r>
    </w:p>
  </w:footnote>
  <w:footnote w:id="481">
    <w:p w14:paraId="0B651E07" w14:textId="0C2F635B" w:rsidR="00F10E12" w:rsidRDefault="00F10E12">
      <w:pPr>
        <w:pStyle w:val="FootnoteText"/>
      </w:pPr>
      <w:r>
        <w:rPr>
          <w:rStyle w:val="FootnoteReference"/>
        </w:rPr>
        <w:footnoteRef/>
      </w:r>
      <w:r>
        <w:t xml:space="preserve"> </w:t>
      </w:r>
      <w:r w:rsidR="006B5112">
        <w:t xml:space="preserve">ONS (2020). </w:t>
      </w:r>
      <w:r w:rsidR="006B5112" w:rsidRPr="006B5112">
        <w:rPr>
          <w:i/>
          <w:iCs/>
        </w:rPr>
        <w:t>Coronavirus and the social impacts on disabled people in Great Britain: July 2020</w:t>
      </w:r>
      <w:r w:rsidR="006B5112">
        <w:t xml:space="preserve">. [online], 20 August. </w:t>
      </w:r>
      <w:r>
        <w:t xml:space="preserve">Available at: </w:t>
      </w:r>
      <w:hyperlink r:id="rId266" w:history="1">
        <w:r w:rsidR="001F2F38" w:rsidRPr="00002AC9">
          <w:rPr>
            <w:rStyle w:val="Hyperlink"/>
          </w:rPr>
          <w:t>https://www.ons.gov.uk/peoplepopulationandcommunity/healthandsocialcare/disability/articles/coronavirusandthesocialimpactsondisabledpeopleingreatbritain/july2020</w:t>
        </w:r>
      </w:hyperlink>
      <w:r w:rsidR="001F2F38">
        <w:t xml:space="preserve"> </w:t>
      </w:r>
      <w:r w:rsidR="00C005B5">
        <w:t>Accessed on: 15.03.22</w:t>
      </w:r>
    </w:p>
  </w:footnote>
  <w:footnote w:id="482">
    <w:p w14:paraId="4E0FB031" w14:textId="2A464D55" w:rsidR="002D4BAF" w:rsidRDefault="002D4BAF">
      <w:pPr>
        <w:pStyle w:val="FootnoteText"/>
      </w:pPr>
      <w:r w:rsidRPr="000E2236">
        <w:rPr>
          <w:rStyle w:val="FootnoteReference"/>
        </w:rPr>
        <w:footnoteRef/>
      </w:r>
      <w:r w:rsidRPr="000E2236">
        <w:t xml:space="preserve"> See Annex </w:t>
      </w:r>
      <w:r w:rsidR="000E2236" w:rsidRPr="000E2236">
        <w:t>A,</w:t>
      </w:r>
      <w:r w:rsidRPr="000E2236">
        <w:t xml:space="preserve"> p</w:t>
      </w:r>
      <w:r w:rsidR="000E2236" w:rsidRPr="000E2236">
        <w:t>.</w:t>
      </w:r>
      <w:fldSimple w:instr=" PAGEREF AnnexA ">
        <w:r w:rsidR="000E2236" w:rsidRPr="000E2236">
          <w:rPr>
            <w:noProof/>
          </w:rPr>
          <w:t>148</w:t>
        </w:r>
      </w:fldSimple>
    </w:p>
  </w:footnote>
  <w:footnote w:id="483">
    <w:p w14:paraId="2A43C44E" w14:textId="1B737E6C" w:rsidR="002C6760" w:rsidRDefault="002C6760">
      <w:pPr>
        <w:pStyle w:val="FootnoteText"/>
      </w:pPr>
      <w:r>
        <w:rPr>
          <w:rStyle w:val="FootnoteReference"/>
        </w:rPr>
        <w:footnoteRef/>
      </w:r>
      <w:r>
        <w:t xml:space="preserve"> DDPO5</w:t>
      </w:r>
    </w:p>
  </w:footnote>
  <w:footnote w:id="484">
    <w:p w14:paraId="1340ACD2" w14:textId="53254806" w:rsidR="00DF22A2" w:rsidRDefault="00DF22A2">
      <w:pPr>
        <w:pStyle w:val="FootnoteText"/>
      </w:pPr>
      <w:r>
        <w:rPr>
          <w:rStyle w:val="FootnoteReference"/>
        </w:rPr>
        <w:footnoteRef/>
      </w:r>
      <w:r>
        <w:t xml:space="preserve"> 001; DDPO3</w:t>
      </w:r>
      <w:r w:rsidR="006B5112">
        <w:t>0</w:t>
      </w:r>
    </w:p>
  </w:footnote>
  <w:footnote w:id="485">
    <w:p w14:paraId="735CC5F4" w14:textId="3F3F6963" w:rsidR="00AD5058" w:rsidRDefault="00AD5058">
      <w:pPr>
        <w:pStyle w:val="FootnoteText"/>
      </w:pPr>
      <w:r>
        <w:rPr>
          <w:rStyle w:val="FootnoteReference"/>
        </w:rPr>
        <w:footnoteRef/>
      </w:r>
      <w:r>
        <w:t xml:space="preserve"> OO</w:t>
      </w:r>
      <w:r w:rsidR="00DA7CA5">
        <w:t>1</w:t>
      </w:r>
    </w:p>
  </w:footnote>
  <w:footnote w:id="486">
    <w:p w14:paraId="6A2B9953" w14:textId="56CB9F02" w:rsidR="00427B30" w:rsidRDefault="00427B30">
      <w:pPr>
        <w:pStyle w:val="FootnoteText"/>
      </w:pPr>
      <w:r>
        <w:rPr>
          <w:rStyle w:val="FootnoteReference"/>
        </w:rPr>
        <w:footnoteRef/>
      </w:r>
      <w:r>
        <w:t xml:space="preserve"> OO1</w:t>
      </w:r>
    </w:p>
  </w:footnote>
  <w:footnote w:id="487">
    <w:p w14:paraId="76590573" w14:textId="2D2AE19D" w:rsidR="00B144AD" w:rsidRPr="003B57D6" w:rsidRDefault="00B144AD" w:rsidP="00B144AD">
      <w:pPr>
        <w:pStyle w:val="FootnoteText"/>
      </w:pPr>
      <w:r w:rsidRPr="003B57D6">
        <w:rPr>
          <w:rStyle w:val="FootnoteReference"/>
        </w:rPr>
        <w:footnoteRef/>
      </w:r>
      <w:r w:rsidRPr="003B57D6">
        <w:t xml:space="preserve"> </w:t>
      </w:r>
      <w:r w:rsidR="003B57D6" w:rsidRPr="003B57D6">
        <w:t>FG1</w:t>
      </w:r>
    </w:p>
  </w:footnote>
  <w:footnote w:id="488">
    <w:p w14:paraId="5032FC7F" w14:textId="4993D1FB" w:rsidR="00B144AD" w:rsidRPr="003B252B" w:rsidRDefault="00B144AD" w:rsidP="00B144AD">
      <w:pPr>
        <w:pStyle w:val="FootnoteText"/>
        <w:rPr>
          <w:i/>
          <w:iCs/>
        </w:rPr>
      </w:pPr>
      <w:r>
        <w:rPr>
          <w:rStyle w:val="FootnoteReference"/>
        </w:rPr>
        <w:footnoteRef/>
      </w:r>
      <w:r>
        <w:t xml:space="preserve"> DHSC (2020).</w:t>
      </w:r>
      <w:r w:rsidRPr="003B252B">
        <w:rPr>
          <w:i/>
          <w:iCs/>
        </w:rPr>
        <w:t xml:space="preserve"> JCVI: updated interim advice on priority groups for COVID-19 vaccination</w:t>
      </w:r>
      <w:r>
        <w:t xml:space="preserve">. [online] 25 September. Available at: </w:t>
      </w:r>
      <w:hyperlink r:id="rId267" w:history="1">
        <w:r w:rsidR="001F2F38" w:rsidRPr="00002AC9">
          <w:rPr>
            <w:rStyle w:val="Hyperlink"/>
          </w:rPr>
          <w:t>https://www.gov.uk/government/publications/priority-groups-for-coronavirus-covid-19-vaccination-advice-from-the-jcvi-25-september-2020/jcvi-updated-interim-advice-on-priority-groups-for-covid-19-vaccination</w:t>
        </w:r>
      </w:hyperlink>
      <w:r w:rsidR="001F2F38">
        <w:t xml:space="preserve"> </w:t>
      </w:r>
      <w:r w:rsidR="00C005B5">
        <w:t>Accessed on: 15.03.22</w:t>
      </w:r>
    </w:p>
  </w:footnote>
  <w:footnote w:id="489">
    <w:p w14:paraId="4F0D6762" w14:textId="4F8E6A2B" w:rsidR="00B144AD" w:rsidRPr="00B934D8" w:rsidRDefault="00B144AD" w:rsidP="00B144AD">
      <w:pPr>
        <w:pStyle w:val="FootnoteText"/>
        <w:rPr>
          <w:i/>
          <w:iCs/>
        </w:rPr>
      </w:pPr>
      <w:r>
        <w:rPr>
          <w:rStyle w:val="FootnoteReference"/>
        </w:rPr>
        <w:footnoteRef/>
      </w:r>
      <w:r>
        <w:t xml:space="preserve"> DHSC (2020). </w:t>
      </w:r>
      <w:r w:rsidRPr="00B934D8">
        <w:rPr>
          <w:i/>
          <w:iCs/>
        </w:rPr>
        <w:t>Joint Committee on Vaccination and Immunisation: advice on priority groups for COVID-19 vaccination, 30 December 2020</w:t>
      </w:r>
      <w:r>
        <w:t xml:space="preserve">. [online], updated 6 January. Available at: </w:t>
      </w:r>
      <w:hyperlink r:id="rId268" w:history="1">
        <w:r w:rsidR="001F2F38" w:rsidRPr="00002AC9">
          <w:rPr>
            <w:rStyle w:val="Hyperlink"/>
          </w:rPr>
          <w:t>https://www.gov.uk/government/publications/priority-groups-for-coronavirus-covid-19-vaccination-advice-from-the-jcvi-30-december-2020/joint-committee-on-vaccination-and-immunisation-advice-on-priority-groups-for-covid-19-vaccination-30-december-2020</w:t>
        </w:r>
      </w:hyperlink>
      <w:r w:rsidR="001F2F38">
        <w:t xml:space="preserve"> </w:t>
      </w:r>
      <w:r w:rsidR="00C005B5">
        <w:t>Accessed on: 15.03.22</w:t>
      </w:r>
    </w:p>
  </w:footnote>
  <w:footnote w:id="490">
    <w:p w14:paraId="5043ECDF" w14:textId="521051C9" w:rsidR="00B144AD" w:rsidRDefault="00B144AD" w:rsidP="00B144AD">
      <w:pPr>
        <w:pStyle w:val="FootnoteText"/>
      </w:pPr>
      <w:r>
        <w:rPr>
          <w:rStyle w:val="FootnoteReference"/>
        </w:rPr>
        <w:footnoteRef/>
      </w:r>
      <w:r>
        <w:t xml:space="preserve"> </w:t>
      </w:r>
      <w:r w:rsidR="00EA7A6A">
        <w:t>CBCE32; OI3; SR254</w:t>
      </w:r>
    </w:p>
  </w:footnote>
  <w:footnote w:id="491">
    <w:p w14:paraId="1725CC78" w14:textId="02BCF25B" w:rsidR="00521259" w:rsidRDefault="00521259" w:rsidP="00521259">
      <w:pPr>
        <w:pStyle w:val="FootnoteText"/>
      </w:pPr>
      <w:r>
        <w:rPr>
          <w:rStyle w:val="FootnoteReference"/>
        </w:rPr>
        <w:footnoteRef/>
      </w:r>
      <w:r>
        <w:t xml:space="preserve"> DPAC and Black Activists Rising Against Cuts (2021). </w:t>
      </w:r>
      <w:r w:rsidRPr="000F3679">
        <w:t>Joint Press Statement on Safety at Work after the ending of Shielding</w:t>
      </w:r>
      <w:r>
        <w:t xml:space="preserve">. [press release] 31 March. Available at: </w:t>
      </w:r>
      <w:hyperlink r:id="rId269" w:history="1">
        <w:r w:rsidR="001F2F38" w:rsidRPr="00002AC9">
          <w:rPr>
            <w:rStyle w:val="Hyperlink"/>
          </w:rPr>
          <w:t>https://dpac.uk.net/2021/03/joint-press-statement-on-safety-at-work-after-the-ending-of-shieding/</w:t>
        </w:r>
      </w:hyperlink>
      <w:r w:rsidR="001F2F38">
        <w:t xml:space="preserve"> </w:t>
      </w:r>
      <w:r w:rsidR="00C005B5">
        <w:t>Accessed on: 15.03.22</w:t>
      </w:r>
    </w:p>
  </w:footnote>
  <w:footnote w:id="492">
    <w:p w14:paraId="1A2E1FA4" w14:textId="12015C59" w:rsidR="00B144AD" w:rsidRPr="008351F2" w:rsidRDefault="00B144AD" w:rsidP="00B144AD">
      <w:pPr>
        <w:pStyle w:val="FootnoteText"/>
      </w:pPr>
      <w:r>
        <w:rPr>
          <w:rStyle w:val="FootnoteReference"/>
        </w:rPr>
        <w:footnoteRef/>
      </w:r>
      <w:r>
        <w:t xml:space="preserve"> Faragher, J. (2020). </w:t>
      </w:r>
      <w:r w:rsidRPr="008351F2">
        <w:t>A fifth of disabled workers had work from home requests turned down during pandemic</w:t>
      </w:r>
      <w:r>
        <w:t xml:space="preserve">. </w:t>
      </w:r>
      <w:r>
        <w:rPr>
          <w:i/>
          <w:iCs/>
        </w:rPr>
        <w:t>Personnel Today</w:t>
      </w:r>
      <w:r>
        <w:t xml:space="preserve">, 23 November. Available at: </w:t>
      </w:r>
      <w:hyperlink r:id="rId270" w:history="1">
        <w:r w:rsidR="001F2F38" w:rsidRPr="00002AC9">
          <w:rPr>
            <w:rStyle w:val="Hyperlink"/>
          </w:rPr>
          <w:t>https://www.personneltoday.com/hr/a-fifth-of-disabled-workers-had-covid-work-from-home-requests-turned-down/</w:t>
        </w:r>
      </w:hyperlink>
      <w:r w:rsidR="001F2F38">
        <w:t xml:space="preserve"> </w:t>
      </w:r>
      <w:r w:rsidR="00C005B5">
        <w:t>Accessed on: 15.03.22</w:t>
      </w:r>
    </w:p>
  </w:footnote>
  <w:footnote w:id="493">
    <w:p w14:paraId="14F0FC80" w14:textId="1B5B7C33" w:rsidR="00D4149C" w:rsidRPr="001F2F38" w:rsidRDefault="00D4149C">
      <w:pPr>
        <w:pStyle w:val="FootnoteText"/>
      </w:pPr>
      <w:r>
        <w:rPr>
          <w:rStyle w:val="FootnoteReference"/>
        </w:rPr>
        <w:footnoteRef/>
      </w:r>
      <w:r>
        <w:t xml:space="preserve"> </w:t>
      </w:r>
      <w:r w:rsidR="00C30F59">
        <w:t xml:space="preserve">BBC News (2021). </w:t>
      </w:r>
      <w:r w:rsidR="00C006F0">
        <w:t>COVID</w:t>
      </w:r>
      <w:r w:rsidR="00C30F59" w:rsidRPr="00C30F59">
        <w:t>: Deaf woman wins claim over lack of sign language at briefings</w:t>
      </w:r>
      <w:r w:rsidR="00C30F59">
        <w:t xml:space="preserve">. </w:t>
      </w:r>
      <w:r w:rsidR="00C30F59">
        <w:rPr>
          <w:i/>
          <w:iCs/>
        </w:rPr>
        <w:t>bbc.co.uk</w:t>
      </w:r>
      <w:r w:rsidR="00C30F59">
        <w:t xml:space="preserve">, [online] 28 July. Available at: </w:t>
      </w:r>
      <w:hyperlink r:id="rId271" w:history="1">
        <w:r w:rsidR="00C30F59" w:rsidRPr="003C2643">
          <w:rPr>
            <w:rStyle w:val="Hyperlink"/>
          </w:rPr>
          <w:t>https://www.bbc.co.uk/news/uk-england-leeds-57998047</w:t>
        </w:r>
      </w:hyperlink>
      <w:r w:rsidR="001F2F38">
        <w:rPr>
          <w:rStyle w:val="Hyperlink"/>
        </w:rPr>
        <w:t xml:space="preserve"> </w:t>
      </w:r>
      <w:r w:rsidR="00C005B5">
        <w:rPr>
          <w:rStyle w:val="Hyperlink"/>
          <w:color w:val="auto"/>
          <w:u w:val="none"/>
        </w:rPr>
        <w:t>Accessed on: 15.03.22</w:t>
      </w:r>
    </w:p>
    <w:p w14:paraId="4304802F" w14:textId="5A7298AE" w:rsidR="00C30F59" w:rsidRPr="00C30F59" w:rsidRDefault="00C30F59">
      <w:pPr>
        <w:pStyle w:val="FootnoteText"/>
      </w:pPr>
      <w:r>
        <w:t xml:space="preserve">Judgment available here: </w:t>
      </w:r>
      <w:hyperlink r:id="rId272" w:history="1">
        <w:r w:rsidRPr="003C2643">
          <w:rPr>
            <w:rStyle w:val="Hyperlink"/>
          </w:rPr>
          <w:t>https://www.judiciary.uk/wp-content/uploads/2021/07/R-on-the-application-of-Katherine-Rowley-v-Minister-for-the-Cabinet-Office.pdf</w:t>
        </w:r>
      </w:hyperlink>
      <w:r>
        <w:t xml:space="preserve"> </w:t>
      </w:r>
    </w:p>
  </w:footnote>
  <w:footnote w:id="494">
    <w:p w14:paraId="7912670F" w14:textId="7FE14C08" w:rsidR="00A54F37" w:rsidRPr="00A54F37" w:rsidRDefault="00A54F37">
      <w:pPr>
        <w:pStyle w:val="FootnoteText"/>
      </w:pPr>
      <w:r>
        <w:rPr>
          <w:rStyle w:val="FootnoteReference"/>
        </w:rPr>
        <w:footnoteRef/>
      </w:r>
      <w:r>
        <w:t xml:space="preserve"> </w:t>
      </w:r>
      <w:r>
        <w:t xml:space="preserve">Pring, J. (2020). </w:t>
      </w:r>
      <w:r w:rsidRPr="00A54F37">
        <w:t>Concerns growing over Rees-Mogg’s ‘shocking’ comments on shielding MPs</w:t>
      </w:r>
      <w:r>
        <w:t xml:space="preserve">. </w:t>
      </w:r>
      <w:r>
        <w:rPr>
          <w:i/>
          <w:iCs/>
        </w:rPr>
        <w:t>Disability News Service</w:t>
      </w:r>
      <w:r>
        <w:t xml:space="preserve">, [online] 12 November. Available at: </w:t>
      </w:r>
      <w:hyperlink r:id="rId273" w:history="1">
        <w:r w:rsidR="001F2F38" w:rsidRPr="00002AC9">
          <w:rPr>
            <w:rStyle w:val="Hyperlink"/>
          </w:rPr>
          <w:t>https://www.disabilitynewsservice.com/concerns-growing-over-rees-moggs-shocking-comments-on-shielding-mps/</w:t>
        </w:r>
      </w:hyperlink>
      <w:r w:rsidR="001F2F38">
        <w:t xml:space="preserve"> </w:t>
      </w:r>
      <w:r w:rsidR="00C005B5">
        <w:t>Accessed on: 15.03.22</w:t>
      </w:r>
    </w:p>
  </w:footnote>
  <w:footnote w:id="495">
    <w:p w14:paraId="6FE3E2B9" w14:textId="7BBAF7B1" w:rsidR="00521259" w:rsidRPr="00C17543" w:rsidRDefault="00521259">
      <w:pPr>
        <w:pStyle w:val="FootnoteText"/>
      </w:pPr>
      <w:r>
        <w:rPr>
          <w:rStyle w:val="FootnoteReference"/>
        </w:rPr>
        <w:footnoteRef/>
      </w:r>
      <w:r>
        <w:t xml:space="preserve"> </w:t>
      </w:r>
      <w:r>
        <w:t xml:space="preserve">Pring, J. (2021). </w:t>
      </w:r>
      <w:r w:rsidR="00C17543" w:rsidRPr="00C17543">
        <w:t>Government’s ‘shocking’ pandemic rights list of shame</w:t>
      </w:r>
      <w:r w:rsidR="00C17543">
        <w:t xml:space="preserve">. </w:t>
      </w:r>
      <w:r w:rsidR="00C17543">
        <w:rPr>
          <w:i/>
          <w:iCs/>
        </w:rPr>
        <w:t>Disability News Service</w:t>
      </w:r>
      <w:r w:rsidR="00C17543">
        <w:t xml:space="preserve">, [online] 25 March. Available at: </w:t>
      </w:r>
      <w:hyperlink r:id="rId274" w:history="1">
        <w:r w:rsidR="001F2F38" w:rsidRPr="00002AC9">
          <w:rPr>
            <w:rStyle w:val="Hyperlink"/>
          </w:rPr>
          <w:t>https://www.disabilitynewsservice.com/governments-shocking-pandemic-rights-list-of-shame/</w:t>
        </w:r>
      </w:hyperlink>
      <w:r w:rsidR="001F2F38">
        <w:t xml:space="preserve"> </w:t>
      </w:r>
      <w:r w:rsidR="00C005B5">
        <w:t>Accessed on: 15.03.22</w:t>
      </w:r>
    </w:p>
  </w:footnote>
  <w:footnote w:id="496">
    <w:p w14:paraId="6388F102" w14:textId="76F180A0" w:rsidR="00E978F1" w:rsidRDefault="00E978F1">
      <w:pPr>
        <w:pStyle w:val="FootnoteText"/>
      </w:pPr>
      <w:r>
        <w:rPr>
          <w:rStyle w:val="FootnoteReference"/>
        </w:rPr>
        <w:footnoteRef/>
      </w:r>
      <w:r>
        <w:t xml:space="preserve"> Tidball et al 2020.</w:t>
      </w:r>
    </w:p>
  </w:footnote>
  <w:footnote w:id="497">
    <w:p w14:paraId="21EA4F79" w14:textId="4C75BB5C" w:rsidR="00E978F1" w:rsidRDefault="00E978F1">
      <w:pPr>
        <w:pStyle w:val="FootnoteText"/>
      </w:pPr>
      <w:r>
        <w:rPr>
          <w:rStyle w:val="FootnoteReference"/>
        </w:rPr>
        <w:footnoteRef/>
      </w:r>
      <w:r>
        <w:t xml:space="preserve"> Disability Unit (2021). </w:t>
      </w:r>
      <w:r w:rsidRPr="00E978F1">
        <w:rPr>
          <w:i/>
          <w:iCs/>
        </w:rPr>
        <w:t>The lived experience of disabled people during the COVID-19 pandemic</w:t>
      </w:r>
      <w:r>
        <w:t xml:space="preserve">. [online] </w:t>
      </w:r>
      <w:r w:rsidR="00841ECF">
        <w:t xml:space="preserve">28 July. Available at: </w:t>
      </w:r>
      <w:hyperlink r:id="rId275" w:history="1">
        <w:r w:rsidR="001F2F38" w:rsidRPr="00002AC9">
          <w:rPr>
            <w:rStyle w:val="Hyperlink"/>
          </w:rPr>
          <w:t>https://www.gov.uk/government/publications/the-lived-experience-of-disabled-people-during-the-covid-19-pandemic</w:t>
        </w:r>
      </w:hyperlink>
      <w:r w:rsidR="001F2F38">
        <w:t xml:space="preserve"> </w:t>
      </w:r>
      <w:r w:rsidR="00C005B5">
        <w:t>Accessed on: 15.03.22</w:t>
      </w:r>
    </w:p>
  </w:footnote>
  <w:footnote w:id="498">
    <w:p w14:paraId="673807B9" w14:textId="61693B04" w:rsidR="00841ECF" w:rsidRPr="00033441" w:rsidRDefault="00841ECF">
      <w:pPr>
        <w:pStyle w:val="FootnoteText"/>
      </w:pPr>
      <w:r>
        <w:rPr>
          <w:rStyle w:val="FootnoteReference"/>
        </w:rPr>
        <w:footnoteRef/>
      </w:r>
      <w:r>
        <w:t xml:space="preserve"> </w:t>
      </w:r>
      <w:r w:rsidRPr="00841ECF">
        <w:t>Cabinet Office, Prime Minister's Office, 10 Downing Street, and The Rt Hon Boris Johnson MP</w:t>
      </w:r>
      <w:r w:rsidR="00033441">
        <w:t xml:space="preserve"> (2021). </w:t>
      </w:r>
      <w:r w:rsidR="00033441" w:rsidRPr="00033441">
        <w:rPr>
          <w:i/>
          <w:iCs/>
        </w:rPr>
        <w:t xml:space="preserve">Prime Minister announces </w:t>
      </w:r>
      <w:r w:rsidR="00C006F0">
        <w:rPr>
          <w:i/>
          <w:iCs/>
        </w:rPr>
        <w:t>COVID</w:t>
      </w:r>
      <w:r w:rsidR="00033441" w:rsidRPr="00033441">
        <w:rPr>
          <w:i/>
          <w:iCs/>
        </w:rPr>
        <w:t>-19 Inquiry Chair</w:t>
      </w:r>
      <w:r w:rsidR="00033441">
        <w:t xml:space="preserve">. [press release], 15 December. Available at: </w:t>
      </w:r>
      <w:hyperlink r:id="rId276" w:history="1">
        <w:r w:rsidR="00033441" w:rsidRPr="003C2643">
          <w:rPr>
            <w:rStyle w:val="Hyperlink"/>
          </w:rPr>
          <w:t>https://www.gov.uk/government/news/prime-minister-announces-covid-19-inquiry-chair</w:t>
        </w:r>
      </w:hyperlink>
      <w:r w:rsidR="00033441">
        <w:t xml:space="preserve"> </w:t>
      </w:r>
      <w:r w:rsidR="00C005B5">
        <w:t>Accessed on: 15.03.22</w:t>
      </w:r>
    </w:p>
  </w:footnote>
  <w:footnote w:id="499">
    <w:p w14:paraId="2F6E3C05" w14:textId="70F72623" w:rsidR="00816275" w:rsidRDefault="00816275">
      <w:pPr>
        <w:pStyle w:val="FootnoteText"/>
      </w:pPr>
      <w:r>
        <w:rPr>
          <w:rStyle w:val="FootnoteReference"/>
        </w:rPr>
        <w:footnoteRef/>
      </w:r>
      <w:r>
        <w:t xml:space="preserve"> SR334</w:t>
      </w:r>
    </w:p>
  </w:footnote>
  <w:footnote w:id="500">
    <w:p w14:paraId="60711EE0" w14:textId="24291025" w:rsidR="008570F2" w:rsidRDefault="008570F2">
      <w:pPr>
        <w:pStyle w:val="FootnoteText"/>
      </w:pPr>
      <w:r>
        <w:rPr>
          <w:rStyle w:val="FootnoteReference"/>
        </w:rPr>
        <w:footnoteRef/>
      </w:r>
      <w:r>
        <w:t xml:space="preserve"> BBC News (2020). </w:t>
      </w:r>
      <w:r w:rsidRPr="008570F2">
        <w:t>Oliver McGowan: Health chief apologises for autistic teen's death</w:t>
      </w:r>
      <w:r>
        <w:t xml:space="preserve">. </w:t>
      </w:r>
      <w:r>
        <w:rPr>
          <w:i/>
          <w:iCs/>
        </w:rPr>
        <w:t>bbc.co.</w:t>
      </w:r>
      <w:r w:rsidRPr="008570F2">
        <w:t>uk</w:t>
      </w:r>
      <w:r>
        <w:t xml:space="preserve">, 2 December. </w:t>
      </w:r>
      <w:r w:rsidRPr="008570F2">
        <w:t>Available</w:t>
      </w:r>
      <w:r>
        <w:t xml:space="preserve"> at: </w:t>
      </w:r>
      <w:hyperlink r:id="rId277" w:history="1">
        <w:r w:rsidR="001F2F38" w:rsidRPr="00002AC9">
          <w:rPr>
            <w:rStyle w:val="Hyperlink"/>
          </w:rPr>
          <w:t>https://www.bbc.co.uk/news/uk-england-bristol-55157372</w:t>
        </w:r>
      </w:hyperlink>
      <w:r w:rsidR="001F2F38">
        <w:t xml:space="preserve"> </w:t>
      </w:r>
      <w:r w:rsidR="00C005B5">
        <w:t>Accessed on: 15.03.22</w:t>
      </w:r>
    </w:p>
  </w:footnote>
  <w:footnote w:id="501">
    <w:p w14:paraId="502B5680" w14:textId="322C2523" w:rsidR="006F07E9" w:rsidRDefault="006F07E9">
      <w:pPr>
        <w:pStyle w:val="FootnoteText"/>
      </w:pPr>
      <w:r>
        <w:rPr>
          <w:rStyle w:val="FootnoteReference"/>
        </w:rPr>
        <w:footnoteRef/>
      </w:r>
      <w:r>
        <w:t xml:space="preserve"> NDS 2021, p.8</w:t>
      </w:r>
      <w:r w:rsidR="00941AA1">
        <w:t>9</w:t>
      </w:r>
    </w:p>
  </w:footnote>
  <w:footnote w:id="502">
    <w:p w14:paraId="228AE2BA" w14:textId="00AEBDA6" w:rsidR="006F07E9" w:rsidRDefault="006F07E9">
      <w:pPr>
        <w:pStyle w:val="FootnoteText"/>
      </w:pPr>
      <w:r>
        <w:rPr>
          <w:rStyle w:val="FootnoteReference"/>
        </w:rPr>
        <w:footnoteRef/>
      </w:r>
      <w:r>
        <w:t xml:space="preserve"> ND</w:t>
      </w:r>
      <w:r w:rsidR="001F2F38">
        <w:t>S</w:t>
      </w:r>
      <w:r>
        <w:t xml:space="preserve"> 2021, p.87</w:t>
      </w:r>
    </w:p>
  </w:footnote>
  <w:footnote w:id="503">
    <w:p w14:paraId="3F6E0653" w14:textId="2FA19319" w:rsidR="00EB080B" w:rsidRDefault="00EB080B">
      <w:pPr>
        <w:pStyle w:val="FootnoteText"/>
      </w:pPr>
      <w:r w:rsidRPr="00EA7A6A">
        <w:rPr>
          <w:rStyle w:val="FootnoteReference"/>
        </w:rPr>
        <w:footnoteRef/>
      </w:r>
      <w:r w:rsidRPr="00EA7A6A">
        <w:t xml:space="preserve"> </w:t>
      </w:r>
      <w:r w:rsidR="00EA7A6A" w:rsidRPr="00EA39A2">
        <w:t>CBCE14; FG1</w:t>
      </w:r>
    </w:p>
  </w:footnote>
  <w:footnote w:id="504">
    <w:p w14:paraId="608B071C" w14:textId="4C8D4D4E" w:rsidR="00D27755" w:rsidRPr="00D27755" w:rsidRDefault="00D27755">
      <w:pPr>
        <w:pStyle w:val="FootnoteText"/>
      </w:pPr>
      <w:r>
        <w:rPr>
          <w:rStyle w:val="FootnoteReference"/>
        </w:rPr>
        <w:footnoteRef/>
      </w:r>
      <w:r w:rsidR="00EA7A6A">
        <w:t xml:space="preserve"> </w:t>
      </w:r>
      <w:r>
        <w:t xml:space="preserve">Campbell D. and Duncan, P. (2021). </w:t>
      </w:r>
      <w:r w:rsidRPr="00D27755">
        <w:t>Almost 6 million people on waiting lists for hospital treatment in England</w:t>
      </w:r>
      <w:r>
        <w:t xml:space="preserve">. </w:t>
      </w:r>
      <w:r>
        <w:rPr>
          <w:i/>
          <w:iCs/>
        </w:rPr>
        <w:t>The Guardian</w:t>
      </w:r>
      <w:r>
        <w:t xml:space="preserve">, [online] 9 December. Available at: </w:t>
      </w:r>
      <w:hyperlink r:id="rId278" w:history="1">
        <w:r w:rsidRPr="00A4243C">
          <w:rPr>
            <w:rStyle w:val="Hyperlink"/>
          </w:rPr>
          <w:t>https://www.theguardian.com/society/2021/dec/09/almost-6-million-people-on-waiting-lists-for-nhs-surgery-in-england</w:t>
        </w:r>
      </w:hyperlink>
      <w:r>
        <w:t xml:space="preserve"> </w:t>
      </w:r>
      <w:r w:rsidR="00C005B5">
        <w:t>Accessed on: 15.03.22</w:t>
      </w:r>
    </w:p>
  </w:footnote>
  <w:footnote w:id="505">
    <w:p w14:paraId="79FF062A" w14:textId="0308445F" w:rsidR="00235E49" w:rsidRPr="00235E49" w:rsidRDefault="00235E49" w:rsidP="00235E49">
      <w:pPr>
        <w:pStyle w:val="FootnoteText"/>
      </w:pPr>
      <w:r>
        <w:rPr>
          <w:rStyle w:val="FootnoteReference"/>
        </w:rPr>
        <w:footnoteRef/>
      </w:r>
      <w:r>
        <w:t xml:space="preserve"> Gregory, A. (2022). </w:t>
      </w:r>
      <w:r w:rsidRPr="00235E49">
        <w:t>NHS England plans dental ‘treatment blitz’ to tackle appointments backlog</w:t>
      </w:r>
      <w:r>
        <w:t xml:space="preserve">. </w:t>
      </w:r>
      <w:r w:rsidRPr="00235E49">
        <w:rPr>
          <w:i/>
          <w:iCs/>
        </w:rPr>
        <w:t>The Guardian</w:t>
      </w:r>
      <w:r>
        <w:t xml:space="preserve">, [online] 25 January. Available at: </w:t>
      </w:r>
      <w:hyperlink r:id="rId279" w:history="1">
        <w:r w:rsidRPr="00012462">
          <w:rPr>
            <w:rStyle w:val="Hyperlink"/>
          </w:rPr>
          <w:t>https://www.theguardian.com/society/2022/jan/25/nhs-england-dental-treatment-appointments-backlog</w:t>
        </w:r>
      </w:hyperlink>
      <w:r>
        <w:t xml:space="preserve"> </w:t>
      </w:r>
      <w:r w:rsidR="00C005B5">
        <w:t>Accessed on: 15.03.22</w:t>
      </w:r>
    </w:p>
  </w:footnote>
  <w:footnote w:id="506">
    <w:p w14:paraId="162B3725" w14:textId="28F66BCE" w:rsidR="00340C66" w:rsidRPr="00340C66" w:rsidRDefault="00340C66">
      <w:pPr>
        <w:pStyle w:val="FootnoteText"/>
      </w:pPr>
      <w:r>
        <w:rPr>
          <w:rStyle w:val="FootnoteReference"/>
        </w:rPr>
        <w:footnoteRef/>
      </w:r>
      <w:r>
        <w:t xml:space="preserve"> O’Dell, L. (2022). </w:t>
      </w:r>
      <w:r w:rsidRPr="00340C66">
        <w:t xml:space="preserve">Scrapping of </w:t>
      </w:r>
      <w:r w:rsidR="00C006F0">
        <w:t>COVID</w:t>
      </w:r>
      <w:r w:rsidRPr="00340C66">
        <w:t xml:space="preserve"> rules in England ‘will increase fear and anxiety’ for disabled people, charity warns</w:t>
      </w:r>
      <w:r>
        <w:t xml:space="preserve">. </w:t>
      </w:r>
      <w:r>
        <w:rPr>
          <w:i/>
          <w:iCs/>
        </w:rPr>
        <w:t>The Limping Chicken</w:t>
      </w:r>
      <w:r>
        <w:t xml:space="preserve">, [online] 21 February. Available at: </w:t>
      </w:r>
      <w:hyperlink r:id="rId280" w:history="1">
        <w:r w:rsidRPr="00414B28">
          <w:rPr>
            <w:rStyle w:val="Hyperlink"/>
          </w:rPr>
          <w:t>https://limpingchicken.com/2022/02/21/scrapping-of-covid-rules-in-england-will-increase-fear-and-anxiety-for-disabled-people-charity-warns/</w:t>
        </w:r>
      </w:hyperlink>
      <w:r>
        <w:t xml:space="preserve"> </w:t>
      </w:r>
      <w:r w:rsidR="00C005B5">
        <w:t>Accessed on: 15.03.22</w:t>
      </w:r>
    </w:p>
  </w:footnote>
  <w:footnote w:id="507">
    <w:p w14:paraId="039A5A9A" w14:textId="6025784C" w:rsidR="004050D8" w:rsidRDefault="004050D8">
      <w:pPr>
        <w:pStyle w:val="FootnoteText"/>
      </w:pPr>
      <w:r>
        <w:rPr>
          <w:rStyle w:val="FootnoteReference"/>
        </w:rPr>
        <w:footnoteRef/>
      </w:r>
      <w:r>
        <w:t xml:space="preserve"> </w:t>
      </w:r>
      <w:r w:rsidR="00715C4F">
        <w:t xml:space="preserve">HC Deb (21 February 2022). vol. 709, col.54. Available at:  </w:t>
      </w:r>
      <w:hyperlink r:id="rId281" w:history="1">
        <w:r w:rsidR="00715C4F" w:rsidRPr="00414B28">
          <w:rPr>
            <w:rStyle w:val="Hyperlink"/>
          </w:rPr>
          <w:t>https://hansard.parliament.uk/commons/2022-02-21/debates/982A4806-6695-4ECE-9D1C-4BD0E8798306/LivingWith</w:t>
        </w:r>
        <w:r w:rsidR="00C006F0">
          <w:rPr>
            <w:rStyle w:val="Hyperlink"/>
          </w:rPr>
          <w:t>COVID</w:t>
        </w:r>
        <w:r w:rsidR="00715C4F" w:rsidRPr="00414B28">
          <w:rPr>
            <w:rStyle w:val="Hyperlink"/>
          </w:rPr>
          <w:t>-19</w:t>
        </w:r>
      </w:hyperlink>
      <w:r w:rsidR="00715C4F">
        <w:t xml:space="preserve"> </w:t>
      </w:r>
      <w:r w:rsidR="00C005B5">
        <w:t>Accessed on: 15.03.22</w:t>
      </w:r>
    </w:p>
  </w:footnote>
  <w:footnote w:id="508">
    <w:p w14:paraId="517A694D" w14:textId="2FC78830" w:rsidR="00891390" w:rsidRDefault="00891390">
      <w:pPr>
        <w:pStyle w:val="FootnoteText"/>
      </w:pPr>
      <w:r>
        <w:rPr>
          <w:rStyle w:val="FootnoteReference"/>
        </w:rPr>
        <w:footnoteRef/>
      </w:r>
      <w:r>
        <w:t xml:space="preserve"> D.DP24</w:t>
      </w:r>
      <w:r w:rsidR="001A6F1B">
        <w:t>; see Annex A for personal testimonies from people with Down’s Syndrome and feedback on this issue.</w:t>
      </w:r>
    </w:p>
  </w:footnote>
  <w:footnote w:id="509">
    <w:p w14:paraId="329D7E70" w14:textId="3E2DC9B9" w:rsidR="001A6F1B" w:rsidRPr="00341043" w:rsidRDefault="001A6F1B" w:rsidP="001A6F1B">
      <w:pPr>
        <w:pStyle w:val="FootnoteText"/>
      </w:pPr>
      <w:r>
        <w:rPr>
          <w:rStyle w:val="FootnoteReference"/>
        </w:rPr>
        <w:footnoteRef/>
      </w:r>
      <w:r>
        <w:t xml:space="preserve"> BBC News. </w:t>
      </w:r>
      <w:r w:rsidRPr="00341043">
        <w:t>Woman with Down's syndrome loses abortion law fight</w:t>
      </w:r>
      <w:r>
        <w:t xml:space="preserve">. </w:t>
      </w:r>
      <w:r>
        <w:rPr>
          <w:i/>
          <w:iCs/>
        </w:rPr>
        <w:t>bbc.co.uk</w:t>
      </w:r>
      <w:r>
        <w:t xml:space="preserve">, [online] 23 September. Available at: </w:t>
      </w:r>
      <w:hyperlink r:id="rId282" w:history="1">
        <w:r w:rsidRPr="00002AC9">
          <w:rPr>
            <w:rStyle w:val="Hyperlink"/>
          </w:rPr>
          <w:t>https://www.bbc.co.uk/news/uk-england-coventry-warwickshire-58662846</w:t>
        </w:r>
      </w:hyperlink>
      <w:r>
        <w:t xml:space="preserve"> </w:t>
      </w:r>
      <w:r w:rsidR="00C005B5">
        <w:t>Accessed on: 15.03.22</w:t>
      </w:r>
    </w:p>
  </w:footnote>
  <w:footnote w:id="510">
    <w:p w14:paraId="3D56FDA7" w14:textId="11F9386F" w:rsidR="008D0363" w:rsidRDefault="008D0363" w:rsidP="008D0363">
      <w:pPr>
        <w:pStyle w:val="FootnoteText"/>
      </w:pPr>
      <w:r>
        <w:rPr>
          <w:rStyle w:val="FootnoteReference"/>
        </w:rPr>
        <w:footnoteRef/>
      </w:r>
      <w:r>
        <w:t xml:space="preserve"> </w:t>
      </w:r>
      <w:r w:rsidRPr="00341043">
        <w:t xml:space="preserve">Pring, J. (2022). Peer ‘makes new bid for assisted suicide legalisation’ through health and care bill. </w:t>
      </w:r>
      <w:r w:rsidRPr="0036517B">
        <w:rPr>
          <w:i/>
          <w:iCs/>
        </w:rPr>
        <w:t>Disability News Service</w:t>
      </w:r>
      <w:r w:rsidRPr="00341043">
        <w:t xml:space="preserve">, </w:t>
      </w:r>
      <w:r>
        <w:t xml:space="preserve">[online] </w:t>
      </w:r>
      <w:r w:rsidRPr="00341043">
        <w:t xml:space="preserve">6 January. Available at: </w:t>
      </w:r>
      <w:hyperlink r:id="rId283" w:history="1">
        <w:r w:rsidRPr="00002AC9">
          <w:rPr>
            <w:rStyle w:val="Hyperlink"/>
          </w:rPr>
          <w:t>https://www.disabilitynewsservice.com/peer-makes-new-bid-for-assisted-suicide-legalisation-through-health-and-care-bill/</w:t>
        </w:r>
      </w:hyperlink>
      <w:r>
        <w:t xml:space="preserve"> </w:t>
      </w:r>
      <w:r w:rsidR="00C005B5">
        <w:t>Accessed on: 15.03.22</w:t>
      </w:r>
    </w:p>
  </w:footnote>
  <w:footnote w:id="511">
    <w:p w14:paraId="19605003" w14:textId="4651C542" w:rsidR="00FF3AA9" w:rsidRPr="00EA7A6A" w:rsidRDefault="00FF3AA9">
      <w:pPr>
        <w:pStyle w:val="FootnoteText"/>
      </w:pPr>
      <w:r w:rsidRPr="00EA7A6A">
        <w:rPr>
          <w:rStyle w:val="FootnoteReference"/>
        </w:rPr>
        <w:footnoteRef/>
      </w:r>
      <w:r w:rsidRPr="00EA7A6A">
        <w:t xml:space="preserve"> </w:t>
      </w:r>
      <w:r w:rsidR="004F1508" w:rsidRPr="00EA7A6A">
        <w:t>DDPO39</w:t>
      </w:r>
    </w:p>
  </w:footnote>
  <w:footnote w:id="512">
    <w:p w14:paraId="5902938D" w14:textId="51053FC2" w:rsidR="00996E80" w:rsidRDefault="00996E80">
      <w:pPr>
        <w:pStyle w:val="FootnoteText"/>
      </w:pPr>
      <w:r w:rsidRPr="00EA7A6A">
        <w:rPr>
          <w:rStyle w:val="FootnoteReference"/>
        </w:rPr>
        <w:footnoteRef/>
      </w:r>
      <w:r w:rsidRPr="00EA7A6A">
        <w:t xml:space="preserve"> </w:t>
      </w:r>
      <w:r w:rsidR="00EA7A6A" w:rsidRPr="00EA7A6A">
        <w:t>DDPO41</w:t>
      </w:r>
    </w:p>
  </w:footnote>
  <w:footnote w:id="513">
    <w:p w14:paraId="4A8C5049" w14:textId="35B23DE6" w:rsidR="00F1277B" w:rsidRDefault="00F1277B">
      <w:pPr>
        <w:pStyle w:val="FootnoteText"/>
      </w:pPr>
      <w:r>
        <w:rPr>
          <w:rStyle w:val="FootnoteReference"/>
        </w:rPr>
        <w:footnoteRef/>
      </w:r>
      <w:r>
        <w:t xml:space="preserve"> BBC News (2022). </w:t>
      </w:r>
      <w:r w:rsidRPr="00F1277B">
        <w:t>Blackpool mother jailed for starving daughter to death</w:t>
      </w:r>
      <w:r>
        <w:t xml:space="preserve">. </w:t>
      </w:r>
      <w:r w:rsidRPr="00F1277B">
        <w:rPr>
          <w:i/>
          <w:iCs/>
        </w:rPr>
        <w:t>bbc.co.uk</w:t>
      </w:r>
      <w:r>
        <w:t xml:space="preserve">, [online] 25 February. Available at: </w:t>
      </w:r>
      <w:hyperlink r:id="rId284" w:history="1">
        <w:r w:rsidRPr="00054B02">
          <w:rPr>
            <w:rStyle w:val="Hyperlink"/>
          </w:rPr>
          <w:t>https://www.bbc.co.uk/news/uk-england-lancashire-60507814</w:t>
        </w:r>
      </w:hyperlink>
      <w:r>
        <w:t xml:space="preserve"> </w:t>
      </w:r>
      <w:r w:rsidR="00C005B5">
        <w:t>Accessed on: 15.03.22</w:t>
      </w:r>
    </w:p>
  </w:footnote>
  <w:footnote w:id="514">
    <w:p w14:paraId="62C4356C" w14:textId="071D6156" w:rsidR="000F739A" w:rsidRDefault="000F739A">
      <w:pPr>
        <w:pStyle w:val="FootnoteText"/>
      </w:pPr>
      <w:r>
        <w:rPr>
          <w:rStyle w:val="FootnoteReference"/>
        </w:rPr>
        <w:footnoteRef/>
      </w:r>
      <w:r>
        <w:t xml:space="preserve"> Sky News (2022). </w:t>
      </w:r>
      <w:r w:rsidRPr="000F739A">
        <w:t xml:space="preserve">Man 'kept as a slave' for 40 years now enjoys watching football and </w:t>
      </w:r>
      <w:r w:rsidRPr="000F739A">
        <w:t>old World Cups, says charity</w:t>
      </w:r>
      <w:r>
        <w:t xml:space="preserve">. </w:t>
      </w:r>
      <w:r>
        <w:rPr>
          <w:i/>
          <w:iCs/>
        </w:rPr>
        <w:t>news.sky.</w:t>
      </w:r>
      <w:r w:rsidRPr="000F739A">
        <w:t>com</w:t>
      </w:r>
      <w:r>
        <w:t xml:space="preserve">, [online] 4 February. </w:t>
      </w:r>
      <w:hyperlink r:id="rId285" w:history="1">
        <w:r w:rsidR="00EA7A6A" w:rsidRPr="00A97FBA">
          <w:rPr>
            <w:rStyle w:val="Hyperlink"/>
          </w:rPr>
          <w:t>https://news.sky.com/story/man-kept-as-a-slave-for-40-years-now-enjoys-watching-football-and-old-world-cups-says-charity-12532461</w:t>
        </w:r>
      </w:hyperlink>
      <w:r w:rsidR="00EA7A6A">
        <w:t>. Accessed on: 15.03.22</w:t>
      </w:r>
    </w:p>
  </w:footnote>
  <w:footnote w:id="515">
    <w:p w14:paraId="4977EE88" w14:textId="44980300" w:rsidR="00EC5D14" w:rsidRPr="00774242" w:rsidRDefault="00EC5D14">
      <w:pPr>
        <w:pStyle w:val="FootnoteText"/>
      </w:pPr>
      <w:r>
        <w:rPr>
          <w:rStyle w:val="FootnoteReference"/>
        </w:rPr>
        <w:footnoteRef/>
      </w:r>
      <w:r>
        <w:t xml:space="preserve"> Greater Manchester Coalition of Disabled People (2022). </w:t>
      </w:r>
      <w:r w:rsidRPr="00EC5D14">
        <w:t>GMCDP &amp; Foxglove Legal Challenge to the Department for Work and Pensions DWP Fraud Algorithm</w:t>
      </w:r>
      <w:r>
        <w:t xml:space="preserve">. </w:t>
      </w:r>
      <w:r w:rsidR="00774242" w:rsidRPr="00774242">
        <w:rPr>
          <w:i/>
          <w:iCs/>
        </w:rPr>
        <w:t>gmcdp.com</w:t>
      </w:r>
      <w:r w:rsidR="00774242">
        <w:t xml:space="preserve">, [online]. Available at: </w:t>
      </w:r>
      <w:hyperlink r:id="rId286" w:history="1">
        <w:r w:rsidR="00774242" w:rsidRPr="00414B28">
          <w:rPr>
            <w:rStyle w:val="Hyperlink"/>
          </w:rPr>
          <w:t>https://gmcdp.com/gmcdp-foxglove-legal-challenge-department-work-and-pensions-dwp-fraud-algorithm</w:t>
        </w:r>
      </w:hyperlink>
      <w:r w:rsidR="00774242">
        <w:t xml:space="preserve"> </w:t>
      </w:r>
      <w:r w:rsidR="00C005B5">
        <w:t>Accessed on: 15.03.22</w:t>
      </w:r>
    </w:p>
  </w:footnote>
  <w:footnote w:id="516">
    <w:p w14:paraId="4AD84BD5" w14:textId="681707F4" w:rsidR="00EC5D14" w:rsidRDefault="00EC5D14">
      <w:pPr>
        <w:pStyle w:val="FootnoteText"/>
      </w:pPr>
      <w:r>
        <w:rPr>
          <w:rStyle w:val="FootnoteReference"/>
        </w:rPr>
        <w:footnoteRef/>
      </w:r>
      <w:r>
        <w:t xml:space="preserve"> SR293</w:t>
      </w:r>
    </w:p>
  </w:footnote>
  <w:footnote w:id="517">
    <w:p w14:paraId="2B330920" w14:textId="77777777" w:rsidR="00893335" w:rsidRDefault="00893335" w:rsidP="00893335">
      <w:pPr>
        <w:pStyle w:val="FootnoteText"/>
      </w:pPr>
      <w:r>
        <w:rPr>
          <w:rStyle w:val="FootnoteReference"/>
        </w:rPr>
        <w:footnoteRef/>
      </w:r>
      <w:r>
        <w:t xml:space="preserve"> DDPO34</w:t>
      </w:r>
    </w:p>
  </w:footnote>
  <w:footnote w:id="518">
    <w:p w14:paraId="7680382C" w14:textId="77777777" w:rsidR="009524B4" w:rsidRDefault="009524B4" w:rsidP="009524B4">
      <w:pPr>
        <w:pStyle w:val="FootnoteText"/>
      </w:pPr>
      <w:r>
        <w:rPr>
          <w:rStyle w:val="FootnoteReference"/>
        </w:rPr>
        <w:footnoteRef/>
      </w:r>
      <w:r>
        <w:t xml:space="preserve"> SR144</w:t>
      </w:r>
    </w:p>
  </w:footnote>
  <w:footnote w:id="519">
    <w:p w14:paraId="53050DD3" w14:textId="5ED60DC9" w:rsidR="001C1FC3" w:rsidRDefault="001C1FC3">
      <w:pPr>
        <w:pStyle w:val="FootnoteText"/>
      </w:pPr>
      <w:r>
        <w:rPr>
          <w:rStyle w:val="FootnoteReference"/>
        </w:rPr>
        <w:footnoteRef/>
      </w:r>
      <w:r>
        <w:t xml:space="preserve"> SR144</w:t>
      </w:r>
    </w:p>
  </w:footnote>
  <w:footnote w:id="520">
    <w:p w14:paraId="55F44DBB" w14:textId="2ABEACD9" w:rsidR="008857CD" w:rsidRPr="008857CD" w:rsidRDefault="008857CD" w:rsidP="008857CD">
      <w:pPr>
        <w:pStyle w:val="FootnoteText"/>
      </w:pPr>
      <w:r>
        <w:rPr>
          <w:rStyle w:val="FootnoteReference"/>
        </w:rPr>
        <w:footnoteRef/>
      </w:r>
      <w:r>
        <w:t xml:space="preserve"> Chapman, R. (2021). Why Autistic People Are Worried by Spectrum 10K. </w:t>
      </w:r>
      <w:r>
        <w:rPr>
          <w:i/>
          <w:iCs/>
        </w:rPr>
        <w:t>Psychology Today</w:t>
      </w:r>
      <w:r>
        <w:t xml:space="preserve">, 25 August. Available at: </w:t>
      </w:r>
      <w:hyperlink r:id="rId287" w:history="1">
        <w:r w:rsidR="001F2F38" w:rsidRPr="00002AC9">
          <w:rPr>
            <w:rStyle w:val="Hyperlink"/>
          </w:rPr>
          <w:t>https://www.psychologytoday.com/gb/blog/neurodiverse-age/202108/why-autistic-people-are-worried-spectrum-10k</w:t>
        </w:r>
      </w:hyperlink>
      <w:r w:rsidR="001F2F38">
        <w:t xml:space="preserve"> </w:t>
      </w:r>
      <w:r w:rsidR="00C005B5">
        <w:t>Accessed on: 15.03.22</w:t>
      </w:r>
    </w:p>
  </w:footnote>
  <w:footnote w:id="521">
    <w:p w14:paraId="24C483D8" w14:textId="761C7932" w:rsidR="00E26F90" w:rsidRDefault="00E26F90">
      <w:pPr>
        <w:pStyle w:val="FootnoteText"/>
      </w:pPr>
      <w:r>
        <w:rPr>
          <w:rStyle w:val="FootnoteReference"/>
        </w:rPr>
        <w:footnoteRef/>
      </w:r>
      <w:r>
        <w:t xml:space="preserve"> Fourteen events were advertised publicly for open attendance on the Inclusion London website. All 17 were advertised in mail outs to their members and to other DDPOs in the region, on the host DDPO’s website and social media. Full list of events: </w:t>
      </w:r>
      <w:r w:rsidRPr="00E26F90">
        <w:t>https://www.inclusionlondon.org.uk/uncrdp/full-events-list/events-list/</w:t>
      </w:r>
    </w:p>
  </w:footnote>
  <w:footnote w:id="522">
    <w:p w14:paraId="624BA161" w14:textId="2F9D5BD4" w:rsidR="000C20CF" w:rsidRPr="000C20CF" w:rsidRDefault="000C20CF" w:rsidP="000C20CF">
      <w:pPr>
        <w:pStyle w:val="FootnoteText"/>
      </w:pPr>
      <w:r>
        <w:rPr>
          <w:rStyle w:val="FootnoteReference"/>
        </w:rPr>
        <w:footnoteRef/>
      </w:r>
      <w:r>
        <w:t xml:space="preserve"> NRPF Network (</w:t>
      </w:r>
      <w:r>
        <w:t xml:space="preserve">n.d..) </w:t>
      </w:r>
      <w:r w:rsidRPr="000C20CF">
        <w:t>Immigration status and entitlements</w:t>
      </w:r>
      <w:r w:rsidR="0046390E">
        <w:t xml:space="preserve"> – </w:t>
      </w:r>
    </w:p>
    <w:p w14:paraId="737C5BC2" w14:textId="5AF13C13" w:rsidR="000C20CF" w:rsidRDefault="000C20CF" w:rsidP="000C20CF">
      <w:pPr>
        <w:pStyle w:val="FootnoteText"/>
      </w:pPr>
      <w:r w:rsidRPr="000C20CF">
        <w:t>How immigration status affects eligibility for public funds and other services.</w:t>
      </w:r>
      <w:r>
        <w:t xml:space="preserve"> </w:t>
      </w:r>
      <w:r>
        <w:rPr>
          <w:i/>
          <w:iCs/>
        </w:rPr>
        <w:t xml:space="preserve">nrpfnetwork.org.uk </w:t>
      </w:r>
      <w:r>
        <w:t xml:space="preserve">[online] Available at: </w:t>
      </w:r>
      <w:hyperlink r:id="rId288" w:history="1">
        <w:r w:rsidRPr="00EB259E">
          <w:rPr>
            <w:rStyle w:val="Hyperlink"/>
          </w:rPr>
          <w:t>https://www.nrpfnetwork.org.uk/information-and-resources/rights-and-entitlements/immigration-status-and-entitlements/who-has-no-recourse-to-public-funds-nrpf</w:t>
        </w:r>
      </w:hyperlink>
      <w:r>
        <w:t xml:space="preserve"> </w:t>
      </w:r>
      <w:r w:rsidR="00C005B5">
        <w:t>Accessed on: 15.03.22</w:t>
      </w:r>
    </w:p>
  </w:footnote>
  <w:footnote w:id="523">
    <w:p w14:paraId="26C26854" w14:textId="7C9E1918" w:rsidR="008B5A28" w:rsidRDefault="008B5A28">
      <w:pPr>
        <w:pStyle w:val="FootnoteText"/>
      </w:pPr>
      <w:r>
        <w:rPr>
          <w:rStyle w:val="FootnoteReference"/>
        </w:rPr>
        <w:footnoteRef/>
      </w:r>
      <w:r>
        <w:t xml:space="preserve"> See Annex D p.</w:t>
      </w:r>
      <w:fldSimple w:instr=" PAGEREF AnnexD ">
        <w:r w:rsidR="00F17197">
          <w:rPr>
            <w:noProof/>
          </w:rPr>
          <w:t>151</w:t>
        </w:r>
      </w:fldSimple>
      <w:r>
        <w:t xml:space="preserve"> for calculating potential respondents</w:t>
      </w:r>
    </w:p>
  </w:footnote>
  <w:footnote w:id="524">
    <w:p w14:paraId="3183DC01" w14:textId="34D17976" w:rsidR="001B0E64" w:rsidRDefault="001B0E64">
      <w:pPr>
        <w:pStyle w:val="FootnoteText"/>
      </w:pPr>
      <w:r>
        <w:rPr>
          <w:rStyle w:val="FootnoteReference"/>
        </w:rPr>
        <w:footnoteRef/>
      </w:r>
      <w:r>
        <w:t xml:space="preserve"> </w:t>
      </w:r>
      <w:r w:rsidR="00F17197" w:rsidRPr="00F17197">
        <w:t>p.</w:t>
      </w:r>
      <w:fldSimple w:instr=" PAGEREF AnnexD ">
        <w:r w:rsidR="00F17197" w:rsidRPr="00F17197">
          <w:rPr>
            <w:noProof/>
          </w:rPr>
          <w:t>151</w:t>
        </w:r>
      </w:fldSimple>
      <w:r w:rsidR="00F17197" w:rsidRPr="00F17197">
        <w:t>.</w:t>
      </w:r>
    </w:p>
  </w:footnote>
  <w:footnote w:id="525">
    <w:p w14:paraId="4BC8F0F4" w14:textId="264B2B7B" w:rsidR="00A6242A" w:rsidRDefault="00A6242A" w:rsidP="00A6242A">
      <w:pPr>
        <w:pStyle w:val="FootnoteText"/>
      </w:pPr>
      <w:r>
        <w:rPr>
          <w:rStyle w:val="FootnoteReference"/>
        </w:rPr>
        <w:footnoteRef/>
      </w:r>
      <w:r>
        <w:t xml:space="preserve"> </w:t>
      </w:r>
      <w:r w:rsidR="00CC0455">
        <w:t>p</w:t>
      </w:r>
      <w:r>
        <w:t>.</w:t>
      </w:r>
      <w:fldSimple w:instr=" PAGEREF Abbreviations ">
        <w:r w:rsidR="00CC0455">
          <w:rPr>
            <w:noProof/>
          </w:rPr>
          <w:t>106</w:t>
        </w:r>
      </w:fldSimple>
    </w:p>
  </w:footnote>
  <w:footnote w:id="526">
    <w:p w14:paraId="5112F58E" w14:textId="3F88A072" w:rsidR="005B26AF" w:rsidRPr="003B57D6" w:rsidRDefault="005B26AF">
      <w:pPr>
        <w:pStyle w:val="FootnoteText"/>
      </w:pPr>
      <w:r w:rsidRPr="003B57D6">
        <w:rPr>
          <w:rStyle w:val="FootnoteReference"/>
        </w:rPr>
        <w:footnoteRef/>
      </w:r>
      <w:r w:rsidRPr="003B57D6">
        <w:t xml:space="preserve"> </w:t>
      </w:r>
      <w:r w:rsidR="003B57D6" w:rsidRPr="003B57D6">
        <w:t>OO9</w:t>
      </w:r>
    </w:p>
  </w:footnote>
  <w:footnote w:id="527">
    <w:p w14:paraId="03B23733" w14:textId="6A77BB2B" w:rsidR="005B26AF" w:rsidRDefault="005B26AF">
      <w:pPr>
        <w:pStyle w:val="FootnoteText"/>
      </w:pPr>
      <w:r w:rsidRPr="00DC51F7">
        <w:rPr>
          <w:rStyle w:val="FootnoteReference"/>
        </w:rPr>
        <w:footnoteRef/>
      </w:r>
      <w:r w:rsidRPr="00DC51F7">
        <w:t xml:space="preserve"> See p.</w:t>
      </w:r>
      <w:fldSimple w:instr=" PAGEREF Theme1 ">
        <w:r w:rsidR="00546F9A">
          <w:rPr>
            <w:noProof/>
          </w:rPr>
          <w:t>11</w:t>
        </w:r>
      </w:fldSimple>
      <w:r w:rsidRPr="00DC51F7">
        <w:t xml:space="preserve"> above</w:t>
      </w:r>
    </w:p>
  </w:footnote>
  <w:footnote w:id="528">
    <w:p w14:paraId="5E39C1B9" w14:textId="7457A7B5" w:rsidR="00414279" w:rsidRPr="003B57D6" w:rsidRDefault="00414279">
      <w:pPr>
        <w:pStyle w:val="FootnoteText"/>
      </w:pPr>
      <w:r w:rsidRPr="003B57D6">
        <w:rPr>
          <w:rStyle w:val="FootnoteReference"/>
        </w:rPr>
        <w:footnoteRef/>
      </w:r>
      <w:r w:rsidRPr="003B57D6">
        <w:t xml:space="preserve"> </w:t>
      </w:r>
      <w:r w:rsidR="003B57D6" w:rsidRPr="003B57D6">
        <w:t>DDPO38</w:t>
      </w:r>
    </w:p>
  </w:footnote>
  <w:footnote w:id="529">
    <w:p w14:paraId="3BC59A0E" w14:textId="7B590E05" w:rsidR="00C17543" w:rsidRDefault="00C17543">
      <w:pPr>
        <w:pStyle w:val="FootnoteText"/>
      </w:pPr>
      <w:r>
        <w:rPr>
          <w:rStyle w:val="FootnoteReference"/>
        </w:rPr>
        <w:footnoteRef/>
      </w:r>
      <w:r>
        <w:t xml:space="preserve"> Compiled by Disability News Service: </w:t>
      </w:r>
      <w:hyperlink r:id="rId289" w:history="1">
        <w:r w:rsidRPr="003C2643">
          <w:rPr>
            <w:rStyle w:val="Hyperlink"/>
          </w:rPr>
          <w:t>https://www.disabilitynewsservice.com/governments-shocking-pandemic-rights-list-of-shame/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CF5"/>
    <w:multiLevelType w:val="hybridMultilevel"/>
    <w:tmpl w:val="7C6CA7BA"/>
    <w:lvl w:ilvl="0" w:tplc="1AF21856">
      <w:start w:val="1"/>
      <w:numFmt w:val="decimal"/>
      <w:pStyle w:val="Numberlist"/>
      <w:lvlText w:val="%1."/>
      <w:lvlJc w:val="left"/>
      <w:pPr>
        <w:ind w:left="720" w:hanging="360"/>
      </w:pPr>
      <w:rPr>
        <w:b/>
        <w:bCs/>
        <w:color w:val="003B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908AE"/>
    <w:multiLevelType w:val="hybridMultilevel"/>
    <w:tmpl w:val="3AA08B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73943"/>
    <w:multiLevelType w:val="hybridMultilevel"/>
    <w:tmpl w:val="E92A9F84"/>
    <w:lvl w:ilvl="0" w:tplc="FFFFFFFF">
      <w:start w:val="1"/>
      <w:numFmt w:val="bullet"/>
      <w:lvlText w:val=""/>
      <w:lvlJc w:val="left"/>
      <w:pPr>
        <w:ind w:left="567" w:hanging="397"/>
      </w:pPr>
      <w:rPr>
        <w:rFonts w:ascii="Symbol" w:hAnsi="Symbol" w:hint="default"/>
        <w:color w:val="43B494"/>
      </w:rPr>
    </w:lvl>
    <w:lvl w:ilvl="1" w:tplc="079E9218">
      <w:start w:val="3"/>
      <w:numFmt w:val="bullet"/>
      <w:lvlText w:val="-"/>
      <w:lvlJc w:val="left"/>
      <w:pPr>
        <w:ind w:left="1667" w:hanging="360"/>
      </w:pPr>
      <w:rPr>
        <w:rFonts w:ascii="Calibri" w:eastAsiaTheme="minorHAnsi" w:hAnsi="Calibri" w:cs="Calibri" w:hint="default"/>
      </w:rPr>
    </w:lvl>
    <w:lvl w:ilvl="2" w:tplc="FFFFFFFF" w:tentative="1">
      <w:start w:val="1"/>
      <w:numFmt w:val="bullet"/>
      <w:lvlText w:val=""/>
      <w:lvlJc w:val="left"/>
      <w:pPr>
        <w:ind w:left="2387" w:hanging="360"/>
      </w:pPr>
      <w:rPr>
        <w:rFonts w:ascii="Wingdings" w:hAnsi="Wingdings" w:hint="default"/>
      </w:rPr>
    </w:lvl>
    <w:lvl w:ilvl="3" w:tplc="FFFFFFFF" w:tentative="1">
      <w:start w:val="1"/>
      <w:numFmt w:val="bullet"/>
      <w:lvlText w:val=""/>
      <w:lvlJc w:val="left"/>
      <w:pPr>
        <w:ind w:left="3107" w:hanging="360"/>
      </w:pPr>
      <w:rPr>
        <w:rFonts w:ascii="Symbol" w:hAnsi="Symbol" w:hint="default"/>
      </w:rPr>
    </w:lvl>
    <w:lvl w:ilvl="4" w:tplc="FFFFFFFF" w:tentative="1">
      <w:start w:val="1"/>
      <w:numFmt w:val="bullet"/>
      <w:lvlText w:val="o"/>
      <w:lvlJc w:val="left"/>
      <w:pPr>
        <w:ind w:left="3827" w:hanging="360"/>
      </w:pPr>
      <w:rPr>
        <w:rFonts w:ascii="Courier New" w:hAnsi="Courier New" w:cs="Courier New" w:hint="default"/>
      </w:rPr>
    </w:lvl>
    <w:lvl w:ilvl="5" w:tplc="FFFFFFFF" w:tentative="1">
      <w:start w:val="1"/>
      <w:numFmt w:val="bullet"/>
      <w:lvlText w:val=""/>
      <w:lvlJc w:val="left"/>
      <w:pPr>
        <w:ind w:left="4547" w:hanging="360"/>
      </w:pPr>
      <w:rPr>
        <w:rFonts w:ascii="Wingdings" w:hAnsi="Wingdings" w:hint="default"/>
      </w:rPr>
    </w:lvl>
    <w:lvl w:ilvl="6" w:tplc="FFFFFFFF" w:tentative="1">
      <w:start w:val="1"/>
      <w:numFmt w:val="bullet"/>
      <w:lvlText w:val=""/>
      <w:lvlJc w:val="left"/>
      <w:pPr>
        <w:ind w:left="5267" w:hanging="360"/>
      </w:pPr>
      <w:rPr>
        <w:rFonts w:ascii="Symbol" w:hAnsi="Symbol" w:hint="default"/>
      </w:rPr>
    </w:lvl>
    <w:lvl w:ilvl="7" w:tplc="FFFFFFFF" w:tentative="1">
      <w:start w:val="1"/>
      <w:numFmt w:val="bullet"/>
      <w:lvlText w:val="o"/>
      <w:lvlJc w:val="left"/>
      <w:pPr>
        <w:ind w:left="5987" w:hanging="360"/>
      </w:pPr>
      <w:rPr>
        <w:rFonts w:ascii="Courier New" w:hAnsi="Courier New" w:cs="Courier New" w:hint="default"/>
      </w:rPr>
    </w:lvl>
    <w:lvl w:ilvl="8" w:tplc="FFFFFFFF" w:tentative="1">
      <w:start w:val="1"/>
      <w:numFmt w:val="bullet"/>
      <w:lvlText w:val=""/>
      <w:lvlJc w:val="left"/>
      <w:pPr>
        <w:ind w:left="6707" w:hanging="360"/>
      </w:pPr>
      <w:rPr>
        <w:rFonts w:ascii="Wingdings" w:hAnsi="Wingdings" w:hint="default"/>
      </w:rPr>
    </w:lvl>
  </w:abstractNum>
  <w:abstractNum w:abstractNumId="3" w15:restartNumberingAfterBreak="0">
    <w:nsid w:val="1A1E1F9D"/>
    <w:multiLevelType w:val="hybridMultilevel"/>
    <w:tmpl w:val="B2562E2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A01598"/>
    <w:multiLevelType w:val="hybridMultilevel"/>
    <w:tmpl w:val="B2562E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0320B2"/>
    <w:multiLevelType w:val="hybridMultilevel"/>
    <w:tmpl w:val="F788D5F8"/>
    <w:lvl w:ilvl="0" w:tplc="435A603A">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37FE51D6"/>
    <w:multiLevelType w:val="hybridMultilevel"/>
    <w:tmpl w:val="9B964584"/>
    <w:lvl w:ilvl="0" w:tplc="0809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7" w15:restartNumberingAfterBreak="0">
    <w:nsid w:val="391920D3"/>
    <w:multiLevelType w:val="hybridMultilevel"/>
    <w:tmpl w:val="B088DD10"/>
    <w:lvl w:ilvl="0" w:tplc="5498AF68">
      <w:start w:val="20"/>
      <w:numFmt w:val="decimal"/>
      <w:lvlText w:val="%1."/>
      <w:lvlJc w:val="left"/>
      <w:pPr>
        <w:ind w:left="375" w:hanging="375"/>
      </w:pPr>
      <w:rPr>
        <w:rFonts w:hint="default"/>
        <w:b w:val="0"/>
        <w:bCs w:val="0"/>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0957FC"/>
    <w:multiLevelType w:val="hybridMultilevel"/>
    <w:tmpl w:val="46E2B514"/>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4E9561E9"/>
    <w:multiLevelType w:val="hybridMultilevel"/>
    <w:tmpl w:val="DC2E82D6"/>
    <w:lvl w:ilvl="0" w:tplc="E1CCDDB6">
      <w:start w:val="1"/>
      <w:numFmt w:val="decimal"/>
      <w:lvlText w:val="%1."/>
      <w:lvlJc w:val="left"/>
      <w:pPr>
        <w:ind w:left="720" w:hanging="360"/>
      </w:pPr>
      <w:rPr>
        <w:rFonts w:hint="default"/>
        <w:b/>
        <w:bCs/>
        <w:color w:val="003B3A"/>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AE7089"/>
    <w:multiLevelType w:val="hybridMultilevel"/>
    <w:tmpl w:val="D5884C6A"/>
    <w:lvl w:ilvl="0" w:tplc="69545DCC">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6B3B0F26"/>
    <w:multiLevelType w:val="hybridMultilevel"/>
    <w:tmpl w:val="AC06E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337921"/>
    <w:multiLevelType w:val="hybridMultilevel"/>
    <w:tmpl w:val="678E17B8"/>
    <w:lvl w:ilvl="0" w:tplc="46FCA788">
      <w:start w:val="1"/>
      <w:numFmt w:val="bullet"/>
      <w:lvlText w:val=""/>
      <w:lvlJc w:val="left"/>
      <w:pPr>
        <w:ind w:left="720" w:hanging="360"/>
      </w:pPr>
      <w:rPr>
        <w:rFonts w:ascii="Symbol" w:hAnsi="Symbol" w:hint="default"/>
      </w:rPr>
    </w:lvl>
    <w:lvl w:ilvl="1" w:tplc="9F760C52">
      <w:start w:val="1"/>
      <w:numFmt w:val="bullet"/>
      <w:lvlText w:val="o"/>
      <w:lvlJc w:val="left"/>
      <w:pPr>
        <w:ind w:left="1440" w:hanging="360"/>
      </w:pPr>
      <w:rPr>
        <w:rFonts w:ascii="Courier New" w:hAnsi="Courier New" w:hint="default"/>
      </w:rPr>
    </w:lvl>
    <w:lvl w:ilvl="2" w:tplc="F5D22BA4">
      <w:start w:val="1"/>
      <w:numFmt w:val="bullet"/>
      <w:lvlText w:val=""/>
      <w:lvlJc w:val="left"/>
      <w:pPr>
        <w:ind w:left="2160" w:hanging="360"/>
      </w:pPr>
      <w:rPr>
        <w:rFonts w:ascii="Wingdings" w:hAnsi="Wingdings" w:hint="default"/>
      </w:rPr>
    </w:lvl>
    <w:lvl w:ilvl="3" w:tplc="AAFAECE6">
      <w:start w:val="1"/>
      <w:numFmt w:val="bullet"/>
      <w:lvlText w:val=""/>
      <w:lvlJc w:val="left"/>
      <w:pPr>
        <w:ind w:left="2880" w:hanging="360"/>
      </w:pPr>
      <w:rPr>
        <w:rFonts w:ascii="Symbol" w:hAnsi="Symbol" w:hint="default"/>
      </w:rPr>
    </w:lvl>
    <w:lvl w:ilvl="4" w:tplc="C8367714">
      <w:start w:val="1"/>
      <w:numFmt w:val="bullet"/>
      <w:lvlText w:val="o"/>
      <w:lvlJc w:val="left"/>
      <w:pPr>
        <w:ind w:left="3600" w:hanging="360"/>
      </w:pPr>
      <w:rPr>
        <w:rFonts w:ascii="Courier New" w:hAnsi="Courier New" w:hint="default"/>
      </w:rPr>
    </w:lvl>
    <w:lvl w:ilvl="5" w:tplc="BBAEA2CE">
      <w:start w:val="1"/>
      <w:numFmt w:val="bullet"/>
      <w:lvlText w:val=""/>
      <w:lvlJc w:val="left"/>
      <w:pPr>
        <w:ind w:left="4320" w:hanging="360"/>
      </w:pPr>
      <w:rPr>
        <w:rFonts w:ascii="Wingdings" w:hAnsi="Wingdings" w:hint="default"/>
      </w:rPr>
    </w:lvl>
    <w:lvl w:ilvl="6" w:tplc="28466442">
      <w:start w:val="1"/>
      <w:numFmt w:val="bullet"/>
      <w:lvlText w:val=""/>
      <w:lvlJc w:val="left"/>
      <w:pPr>
        <w:ind w:left="5040" w:hanging="360"/>
      </w:pPr>
      <w:rPr>
        <w:rFonts w:ascii="Symbol" w:hAnsi="Symbol" w:hint="default"/>
      </w:rPr>
    </w:lvl>
    <w:lvl w:ilvl="7" w:tplc="93D26DA0">
      <w:start w:val="1"/>
      <w:numFmt w:val="bullet"/>
      <w:lvlText w:val="o"/>
      <w:lvlJc w:val="left"/>
      <w:pPr>
        <w:ind w:left="5760" w:hanging="360"/>
      </w:pPr>
      <w:rPr>
        <w:rFonts w:ascii="Courier New" w:hAnsi="Courier New" w:hint="default"/>
      </w:rPr>
    </w:lvl>
    <w:lvl w:ilvl="8" w:tplc="139C94AA">
      <w:start w:val="1"/>
      <w:numFmt w:val="bullet"/>
      <w:lvlText w:val=""/>
      <w:lvlJc w:val="left"/>
      <w:pPr>
        <w:ind w:left="6480" w:hanging="360"/>
      </w:pPr>
      <w:rPr>
        <w:rFonts w:ascii="Wingdings" w:hAnsi="Wingdings" w:hint="default"/>
      </w:rPr>
    </w:lvl>
  </w:abstractNum>
  <w:abstractNum w:abstractNumId="13" w15:restartNumberingAfterBreak="0">
    <w:nsid w:val="7EF13C5A"/>
    <w:multiLevelType w:val="hybridMultilevel"/>
    <w:tmpl w:val="AA8C4A46"/>
    <w:lvl w:ilvl="0" w:tplc="C87AAC24">
      <w:start w:val="1"/>
      <w:numFmt w:val="bullet"/>
      <w:pStyle w:val="Bullets"/>
      <w:lvlText w:val=""/>
      <w:lvlJc w:val="left"/>
      <w:pPr>
        <w:ind w:left="567" w:hanging="397"/>
      </w:pPr>
      <w:rPr>
        <w:rFonts w:ascii="Symbol" w:hAnsi="Symbol" w:hint="default"/>
        <w:color w:val="43B494"/>
      </w:rPr>
    </w:lvl>
    <w:lvl w:ilvl="1" w:tplc="08090003">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num w:numId="1">
    <w:abstractNumId w:val="9"/>
  </w:num>
  <w:num w:numId="2">
    <w:abstractNumId w:val="1"/>
  </w:num>
  <w:num w:numId="3">
    <w:abstractNumId w:val="7"/>
  </w:num>
  <w:num w:numId="4">
    <w:abstractNumId w:val="4"/>
  </w:num>
  <w:num w:numId="5">
    <w:abstractNumId w:val="13"/>
  </w:num>
  <w:num w:numId="6">
    <w:abstractNumId w:val="2"/>
  </w:num>
  <w:num w:numId="7">
    <w:abstractNumId w:val="0"/>
  </w:num>
  <w:num w:numId="8">
    <w:abstractNumId w:val="0"/>
    <w:lvlOverride w:ilvl="0">
      <w:startOverride w:val="1"/>
    </w:lvlOverride>
  </w:num>
  <w:num w:numId="9">
    <w:abstractNumId w:val="3"/>
  </w:num>
  <w:num w:numId="10">
    <w:abstractNumId w:val="12"/>
  </w:num>
  <w:num w:numId="11">
    <w:abstractNumId w:val="11"/>
  </w:num>
  <w:num w:numId="12">
    <w:abstractNumId w:val="10"/>
  </w:num>
  <w:num w:numId="13">
    <w:abstractNumId w:val="6"/>
  </w:num>
  <w:num w:numId="14">
    <w:abstractNumId w:val="8"/>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8B7"/>
    <w:rsid w:val="00001AF8"/>
    <w:rsid w:val="00004C3E"/>
    <w:rsid w:val="0000581E"/>
    <w:rsid w:val="00011785"/>
    <w:rsid w:val="00012916"/>
    <w:rsid w:val="0001702F"/>
    <w:rsid w:val="000208EE"/>
    <w:rsid w:val="0002289A"/>
    <w:rsid w:val="00026A92"/>
    <w:rsid w:val="000301AE"/>
    <w:rsid w:val="00031192"/>
    <w:rsid w:val="00033441"/>
    <w:rsid w:val="00034253"/>
    <w:rsid w:val="00041F79"/>
    <w:rsid w:val="000441CD"/>
    <w:rsid w:val="00044230"/>
    <w:rsid w:val="00044B6A"/>
    <w:rsid w:val="00046037"/>
    <w:rsid w:val="00050379"/>
    <w:rsid w:val="00052BC8"/>
    <w:rsid w:val="00052F4D"/>
    <w:rsid w:val="000538E2"/>
    <w:rsid w:val="0005515E"/>
    <w:rsid w:val="00060484"/>
    <w:rsid w:val="00061242"/>
    <w:rsid w:val="000616B1"/>
    <w:rsid w:val="00061FFA"/>
    <w:rsid w:val="000636FD"/>
    <w:rsid w:val="00063DCF"/>
    <w:rsid w:val="00064661"/>
    <w:rsid w:val="00065306"/>
    <w:rsid w:val="00065A73"/>
    <w:rsid w:val="00065AA3"/>
    <w:rsid w:val="00067765"/>
    <w:rsid w:val="00070377"/>
    <w:rsid w:val="000721FC"/>
    <w:rsid w:val="0007253F"/>
    <w:rsid w:val="0007479C"/>
    <w:rsid w:val="0007591D"/>
    <w:rsid w:val="00075A79"/>
    <w:rsid w:val="00076EB0"/>
    <w:rsid w:val="00080B96"/>
    <w:rsid w:val="000815E1"/>
    <w:rsid w:val="000819E1"/>
    <w:rsid w:val="000827A5"/>
    <w:rsid w:val="000837BA"/>
    <w:rsid w:val="000859A7"/>
    <w:rsid w:val="00085CE1"/>
    <w:rsid w:val="000878B0"/>
    <w:rsid w:val="000906E8"/>
    <w:rsid w:val="00090C04"/>
    <w:rsid w:val="000925AE"/>
    <w:rsid w:val="00095DF7"/>
    <w:rsid w:val="00096205"/>
    <w:rsid w:val="0009795C"/>
    <w:rsid w:val="00097E32"/>
    <w:rsid w:val="000A2B08"/>
    <w:rsid w:val="000A358B"/>
    <w:rsid w:val="000A3B78"/>
    <w:rsid w:val="000A426F"/>
    <w:rsid w:val="000A4838"/>
    <w:rsid w:val="000A7C5F"/>
    <w:rsid w:val="000B23E1"/>
    <w:rsid w:val="000B24C7"/>
    <w:rsid w:val="000B40C2"/>
    <w:rsid w:val="000B51E2"/>
    <w:rsid w:val="000B707E"/>
    <w:rsid w:val="000C20CF"/>
    <w:rsid w:val="000C3211"/>
    <w:rsid w:val="000C4026"/>
    <w:rsid w:val="000C487E"/>
    <w:rsid w:val="000C6674"/>
    <w:rsid w:val="000C7DE7"/>
    <w:rsid w:val="000D1075"/>
    <w:rsid w:val="000D16AE"/>
    <w:rsid w:val="000D22EB"/>
    <w:rsid w:val="000D2C4A"/>
    <w:rsid w:val="000D62C3"/>
    <w:rsid w:val="000E1B5D"/>
    <w:rsid w:val="000E2236"/>
    <w:rsid w:val="000E2F03"/>
    <w:rsid w:val="000E2F7D"/>
    <w:rsid w:val="000E3E97"/>
    <w:rsid w:val="000E3EF6"/>
    <w:rsid w:val="000E5593"/>
    <w:rsid w:val="000E5C0A"/>
    <w:rsid w:val="000F0243"/>
    <w:rsid w:val="000F1BAB"/>
    <w:rsid w:val="000F1EB7"/>
    <w:rsid w:val="000F2784"/>
    <w:rsid w:val="000F3679"/>
    <w:rsid w:val="000F5DF0"/>
    <w:rsid w:val="000F6191"/>
    <w:rsid w:val="000F739A"/>
    <w:rsid w:val="00105728"/>
    <w:rsid w:val="001075C5"/>
    <w:rsid w:val="00107D12"/>
    <w:rsid w:val="00110333"/>
    <w:rsid w:val="00110535"/>
    <w:rsid w:val="001129BD"/>
    <w:rsid w:val="00113CA8"/>
    <w:rsid w:val="00120732"/>
    <w:rsid w:val="00121892"/>
    <w:rsid w:val="00121A9A"/>
    <w:rsid w:val="001226A6"/>
    <w:rsid w:val="00122D23"/>
    <w:rsid w:val="00123C59"/>
    <w:rsid w:val="001265C8"/>
    <w:rsid w:val="00127CC2"/>
    <w:rsid w:val="00131798"/>
    <w:rsid w:val="00134999"/>
    <w:rsid w:val="00140D35"/>
    <w:rsid w:val="00143EC5"/>
    <w:rsid w:val="00144734"/>
    <w:rsid w:val="001458E0"/>
    <w:rsid w:val="0014605B"/>
    <w:rsid w:val="00147A89"/>
    <w:rsid w:val="001503DE"/>
    <w:rsid w:val="00150998"/>
    <w:rsid w:val="00154413"/>
    <w:rsid w:val="00154418"/>
    <w:rsid w:val="00167A9B"/>
    <w:rsid w:val="001725FC"/>
    <w:rsid w:val="00173818"/>
    <w:rsid w:val="00173B5B"/>
    <w:rsid w:val="00173F6A"/>
    <w:rsid w:val="001748C6"/>
    <w:rsid w:val="00174CBF"/>
    <w:rsid w:val="00176ADE"/>
    <w:rsid w:val="00177027"/>
    <w:rsid w:val="00177C2B"/>
    <w:rsid w:val="00180156"/>
    <w:rsid w:val="001803F7"/>
    <w:rsid w:val="00181927"/>
    <w:rsid w:val="0018316B"/>
    <w:rsid w:val="00183CBE"/>
    <w:rsid w:val="00184D27"/>
    <w:rsid w:val="00186B50"/>
    <w:rsid w:val="001870BE"/>
    <w:rsid w:val="001870CD"/>
    <w:rsid w:val="0018778A"/>
    <w:rsid w:val="0019372D"/>
    <w:rsid w:val="00194553"/>
    <w:rsid w:val="00194B06"/>
    <w:rsid w:val="00195572"/>
    <w:rsid w:val="00197DCB"/>
    <w:rsid w:val="001A37F9"/>
    <w:rsid w:val="001A3DD5"/>
    <w:rsid w:val="001A4FD3"/>
    <w:rsid w:val="001A5738"/>
    <w:rsid w:val="001A6F1B"/>
    <w:rsid w:val="001A7E57"/>
    <w:rsid w:val="001B0E64"/>
    <w:rsid w:val="001B2B0C"/>
    <w:rsid w:val="001B5737"/>
    <w:rsid w:val="001B583E"/>
    <w:rsid w:val="001B6B3C"/>
    <w:rsid w:val="001B6EB5"/>
    <w:rsid w:val="001C0522"/>
    <w:rsid w:val="001C0669"/>
    <w:rsid w:val="001C16E1"/>
    <w:rsid w:val="001C1B9D"/>
    <w:rsid w:val="001C1FC3"/>
    <w:rsid w:val="001C2686"/>
    <w:rsid w:val="001C2C6D"/>
    <w:rsid w:val="001C4C06"/>
    <w:rsid w:val="001C5A62"/>
    <w:rsid w:val="001C5B18"/>
    <w:rsid w:val="001C6C9D"/>
    <w:rsid w:val="001D0521"/>
    <w:rsid w:val="001D0C15"/>
    <w:rsid w:val="001D1882"/>
    <w:rsid w:val="001D277F"/>
    <w:rsid w:val="001D48E6"/>
    <w:rsid w:val="001D6EF7"/>
    <w:rsid w:val="001D759D"/>
    <w:rsid w:val="001E1D19"/>
    <w:rsid w:val="001E3CDA"/>
    <w:rsid w:val="001E49EB"/>
    <w:rsid w:val="001E6D2F"/>
    <w:rsid w:val="001F1519"/>
    <w:rsid w:val="001F18A3"/>
    <w:rsid w:val="001F2F38"/>
    <w:rsid w:val="001F38B2"/>
    <w:rsid w:val="001F51A7"/>
    <w:rsid w:val="0020156D"/>
    <w:rsid w:val="002016B2"/>
    <w:rsid w:val="002021F2"/>
    <w:rsid w:val="002031A8"/>
    <w:rsid w:val="002039EA"/>
    <w:rsid w:val="0020585C"/>
    <w:rsid w:val="00207D59"/>
    <w:rsid w:val="0021322A"/>
    <w:rsid w:val="00213702"/>
    <w:rsid w:val="002176EA"/>
    <w:rsid w:val="002201ED"/>
    <w:rsid w:val="002239AE"/>
    <w:rsid w:val="0022715D"/>
    <w:rsid w:val="00231B6B"/>
    <w:rsid w:val="002347D0"/>
    <w:rsid w:val="00234FA4"/>
    <w:rsid w:val="00235290"/>
    <w:rsid w:val="00235D01"/>
    <w:rsid w:val="00235E49"/>
    <w:rsid w:val="002379B4"/>
    <w:rsid w:val="00237ABA"/>
    <w:rsid w:val="002407BC"/>
    <w:rsid w:val="002414DB"/>
    <w:rsid w:val="00241D0C"/>
    <w:rsid w:val="00241D61"/>
    <w:rsid w:val="00245C35"/>
    <w:rsid w:val="00246EA9"/>
    <w:rsid w:val="00246ED5"/>
    <w:rsid w:val="00252F17"/>
    <w:rsid w:val="00254409"/>
    <w:rsid w:val="00257808"/>
    <w:rsid w:val="00257919"/>
    <w:rsid w:val="00262968"/>
    <w:rsid w:val="0026309F"/>
    <w:rsid w:val="002636F1"/>
    <w:rsid w:val="0026413A"/>
    <w:rsid w:val="00266C02"/>
    <w:rsid w:val="0026701B"/>
    <w:rsid w:val="00272506"/>
    <w:rsid w:val="002733D1"/>
    <w:rsid w:val="00275905"/>
    <w:rsid w:val="002777FC"/>
    <w:rsid w:val="00277BE9"/>
    <w:rsid w:val="0028032F"/>
    <w:rsid w:val="002811C5"/>
    <w:rsid w:val="00282F30"/>
    <w:rsid w:val="00285005"/>
    <w:rsid w:val="002856E4"/>
    <w:rsid w:val="00286457"/>
    <w:rsid w:val="002874AA"/>
    <w:rsid w:val="00287554"/>
    <w:rsid w:val="002909BD"/>
    <w:rsid w:val="00292D3A"/>
    <w:rsid w:val="002937BB"/>
    <w:rsid w:val="00297152"/>
    <w:rsid w:val="00297CEB"/>
    <w:rsid w:val="00297E87"/>
    <w:rsid w:val="002A1B2B"/>
    <w:rsid w:val="002A4C75"/>
    <w:rsid w:val="002A4C8D"/>
    <w:rsid w:val="002A5529"/>
    <w:rsid w:val="002B0C3D"/>
    <w:rsid w:val="002B444D"/>
    <w:rsid w:val="002B5730"/>
    <w:rsid w:val="002B64EB"/>
    <w:rsid w:val="002B6C68"/>
    <w:rsid w:val="002B722B"/>
    <w:rsid w:val="002C007B"/>
    <w:rsid w:val="002C4656"/>
    <w:rsid w:val="002C487E"/>
    <w:rsid w:val="002C657C"/>
    <w:rsid w:val="002C6760"/>
    <w:rsid w:val="002C74F9"/>
    <w:rsid w:val="002C77BB"/>
    <w:rsid w:val="002D249B"/>
    <w:rsid w:val="002D336C"/>
    <w:rsid w:val="002D3A5A"/>
    <w:rsid w:val="002D4450"/>
    <w:rsid w:val="002D4BAF"/>
    <w:rsid w:val="002D6A75"/>
    <w:rsid w:val="002E4A38"/>
    <w:rsid w:val="002E6728"/>
    <w:rsid w:val="002E7DBF"/>
    <w:rsid w:val="002F1486"/>
    <w:rsid w:val="002F2924"/>
    <w:rsid w:val="002F3F9C"/>
    <w:rsid w:val="002F48B4"/>
    <w:rsid w:val="002F76E7"/>
    <w:rsid w:val="002F79E8"/>
    <w:rsid w:val="00302629"/>
    <w:rsid w:val="003069DB"/>
    <w:rsid w:val="003209B5"/>
    <w:rsid w:val="00320F31"/>
    <w:rsid w:val="00321272"/>
    <w:rsid w:val="00321527"/>
    <w:rsid w:val="00321C79"/>
    <w:rsid w:val="003224EA"/>
    <w:rsid w:val="00324515"/>
    <w:rsid w:val="003256D0"/>
    <w:rsid w:val="0032591B"/>
    <w:rsid w:val="00325A5C"/>
    <w:rsid w:val="003277CB"/>
    <w:rsid w:val="00327ABF"/>
    <w:rsid w:val="00330782"/>
    <w:rsid w:val="0033258A"/>
    <w:rsid w:val="00335F8C"/>
    <w:rsid w:val="0033672B"/>
    <w:rsid w:val="003377E4"/>
    <w:rsid w:val="00337D77"/>
    <w:rsid w:val="00340C66"/>
    <w:rsid w:val="00341043"/>
    <w:rsid w:val="003420BD"/>
    <w:rsid w:val="003448CA"/>
    <w:rsid w:val="003461E7"/>
    <w:rsid w:val="00347AB5"/>
    <w:rsid w:val="0035043E"/>
    <w:rsid w:val="00350DDA"/>
    <w:rsid w:val="00352763"/>
    <w:rsid w:val="0035572C"/>
    <w:rsid w:val="0035681E"/>
    <w:rsid w:val="00356B06"/>
    <w:rsid w:val="00356C4A"/>
    <w:rsid w:val="0035748E"/>
    <w:rsid w:val="00357F91"/>
    <w:rsid w:val="00360C50"/>
    <w:rsid w:val="00361161"/>
    <w:rsid w:val="003613A7"/>
    <w:rsid w:val="0036251B"/>
    <w:rsid w:val="003633F7"/>
    <w:rsid w:val="0036517B"/>
    <w:rsid w:val="003653EB"/>
    <w:rsid w:val="00366071"/>
    <w:rsid w:val="003661AE"/>
    <w:rsid w:val="00366A72"/>
    <w:rsid w:val="00367F81"/>
    <w:rsid w:val="0037143A"/>
    <w:rsid w:val="00380287"/>
    <w:rsid w:val="003802C4"/>
    <w:rsid w:val="003809AA"/>
    <w:rsid w:val="003852F0"/>
    <w:rsid w:val="00385D7A"/>
    <w:rsid w:val="00386F3E"/>
    <w:rsid w:val="003879B0"/>
    <w:rsid w:val="00390B61"/>
    <w:rsid w:val="00392033"/>
    <w:rsid w:val="0039336D"/>
    <w:rsid w:val="00393425"/>
    <w:rsid w:val="00395B0E"/>
    <w:rsid w:val="0039655C"/>
    <w:rsid w:val="003A0639"/>
    <w:rsid w:val="003A078D"/>
    <w:rsid w:val="003A2195"/>
    <w:rsid w:val="003A2A7D"/>
    <w:rsid w:val="003A2BB0"/>
    <w:rsid w:val="003A4373"/>
    <w:rsid w:val="003A4F24"/>
    <w:rsid w:val="003A5114"/>
    <w:rsid w:val="003B0F5F"/>
    <w:rsid w:val="003B252B"/>
    <w:rsid w:val="003B5189"/>
    <w:rsid w:val="003B5524"/>
    <w:rsid w:val="003B57D6"/>
    <w:rsid w:val="003B6A88"/>
    <w:rsid w:val="003B740F"/>
    <w:rsid w:val="003C03D5"/>
    <w:rsid w:val="003C0C04"/>
    <w:rsid w:val="003C4231"/>
    <w:rsid w:val="003C5B43"/>
    <w:rsid w:val="003C67C9"/>
    <w:rsid w:val="003D21D2"/>
    <w:rsid w:val="003D367A"/>
    <w:rsid w:val="003D7F26"/>
    <w:rsid w:val="003E2085"/>
    <w:rsid w:val="003E4113"/>
    <w:rsid w:val="003F044A"/>
    <w:rsid w:val="003F0ED8"/>
    <w:rsid w:val="003F4A63"/>
    <w:rsid w:val="00403EF3"/>
    <w:rsid w:val="004050D8"/>
    <w:rsid w:val="004057D9"/>
    <w:rsid w:val="00406D31"/>
    <w:rsid w:val="00410E92"/>
    <w:rsid w:val="00411866"/>
    <w:rsid w:val="00412A77"/>
    <w:rsid w:val="00414279"/>
    <w:rsid w:val="00417453"/>
    <w:rsid w:val="004175DF"/>
    <w:rsid w:val="00422197"/>
    <w:rsid w:val="00424E77"/>
    <w:rsid w:val="004253D2"/>
    <w:rsid w:val="00427B30"/>
    <w:rsid w:val="00435F7B"/>
    <w:rsid w:val="004409C5"/>
    <w:rsid w:val="00441C0F"/>
    <w:rsid w:val="00441F5D"/>
    <w:rsid w:val="004434E7"/>
    <w:rsid w:val="00446723"/>
    <w:rsid w:val="0045326C"/>
    <w:rsid w:val="0045715A"/>
    <w:rsid w:val="004601B8"/>
    <w:rsid w:val="0046390E"/>
    <w:rsid w:val="004653C1"/>
    <w:rsid w:val="00466085"/>
    <w:rsid w:val="004661DE"/>
    <w:rsid w:val="00471206"/>
    <w:rsid w:val="00483CDD"/>
    <w:rsid w:val="00484987"/>
    <w:rsid w:val="00486B53"/>
    <w:rsid w:val="0049221B"/>
    <w:rsid w:val="004923B8"/>
    <w:rsid w:val="00496FC9"/>
    <w:rsid w:val="00497C90"/>
    <w:rsid w:val="004A1C48"/>
    <w:rsid w:val="004A1E8C"/>
    <w:rsid w:val="004A2095"/>
    <w:rsid w:val="004A46FD"/>
    <w:rsid w:val="004A4DB9"/>
    <w:rsid w:val="004A7059"/>
    <w:rsid w:val="004B176E"/>
    <w:rsid w:val="004B1871"/>
    <w:rsid w:val="004B245F"/>
    <w:rsid w:val="004B2DFC"/>
    <w:rsid w:val="004B3951"/>
    <w:rsid w:val="004B3B7A"/>
    <w:rsid w:val="004B6E56"/>
    <w:rsid w:val="004B7A0C"/>
    <w:rsid w:val="004C197A"/>
    <w:rsid w:val="004C19A7"/>
    <w:rsid w:val="004C4AF2"/>
    <w:rsid w:val="004C611C"/>
    <w:rsid w:val="004D02B1"/>
    <w:rsid w:val="004D2A0F"/>
    <w:rsid w:val="004D2DBF"/>
    <w:rsid w:val="004D2ED1"/>
    <w:rsid w:val="004D3789"/>
    <w:rsid w:val="004D4DF8"/>
    <w:rsid w:val="004E0813"/>
    <w:rsid w:val="004E234D"/>
    <w:rsid w:val="004E23E5"/>
    <w:rsid w:val="004E3C2F"/>
    <w:rsid w:val="004E4AFC"/>
    <w:rsid w:val="004E6753"/>
    <w:rsid w:val="004E689E"/>
    <w:rsid w:val="004E7183"/>
    <w:rsid w:val="004F0A16"/>
    <w:rsid w:val="004F1508"/>
    <w:rsid w:val="004F2282"/>
    <w:rsid w:val="004F2E4C"/>
    <w:rsid w:val="004F34B7"/>
    <w:rsid w:val="004F55FA"/>
    <w:rsid w:val="004F5C41"/>
    <w:rsid w:val="004F6354"/>
    <w:rsid w:val="004F63DA"/>
    <w:rsid w:val="004F6DB8"/>
    <w:rsid w:val="005000BA"/>
    <w:rsid w:val="005011FA"/>
    <w:rsid w:val="00503C03"/>
    <w:rsid w:val="00505AF9"/>
    <w:rsid w:val="0050606D"/>
    <w:rsid w:val="00510870"/>
    <w:rsid w:val="00511E97"/>
    <w:rsid w:val="00514874"/>
    <w:rsid w:val="005171B3"/>
    <w:rsid w:val="00517E6D"/>
    <w:rsid w:val="00520C4E"/>
    <w:rsid w:val="00521259"/>
    <w:rsid w:val="00522F93"/>
    <w:rsid w:val="00525250"/>
    <w:rsid w:val="00525CB3"/>
    <w:rsid w:val="00526F07"/>
    <w:rsid w:val="00532EF5"/>
    <w:rsid w:val="00533FD4"/>
    <w:rsid w:val="005344F9"/>
    <w:rsid w:val="00536CB3"/>
    <w:rsid w:val="00537751"/>
    <w:rsid w:val="00545582"/>
    <w:rsid w:val="00546F9A"/>
    <w:rsid w:val="005502B1"/>
    <w:rsid w:val="00556BE9"/>
    <w:rsid w:val="005570A7"/>
    <w:rsid w:val="00557713"/>
    <w:rsid w:val="00560018"/>
    <w:rsid w:val="005602D1"/>
    <w:rsid w:val="00560B7A"/>
    <w:rsid w:val="00567ED6"/>
    <w:rsid w:val="005702AB"/>
    <w:rsid w:val="0057157B"/>
    <w:rsid w:val="005717A9"/>
    <w:rsid w:val="005717F8"/>
    <w:rsid w:val="00582C57"/>
    <w:rsid w:val="005861C7"/>
    <w:rsid w:val="00587104"/>
    <w:rsid w:val="00590B17"/>
    <w:rsid w:val="00592FCE"/>
    <w:rsid w:val="00596771"/>
    <w:rsid w:val="005A32F3"/>
    <w:rsid w:val="005A6AD3"/>
    <w:rsid w:val="005B04C6"/>
    <w:rsid w:val="005B0A86"/>
    <w:rsid w:val="005B12EA"/>
    <w:rsid w:val="005B1881"/>
    <w:rsid w:val="005B1F82"/>
    <w:rsid w:val="005B26AF"/>
    <w:rsid w:val="005B2836"/>
    <w:rsid w:val="005B287E"/>
    <w:rsid w:val="005B395A"/>
    <w:rsid w:val="005B3B79"/>
    <w:rsid w:val="005B4098"/>
    <w:rsid w:val="005B430D"/>
    <w:rsid w:val="005B442F"/>
    <w:rsid w:val="005B45BB"/>
    <w:rsid w:val="005B63EB"/>
    <w:rsid w:val="005B6A29"/>
    <w:rsid w:val="005C35B4"/>
    <w:rsid w:val="005C61F8"/>
    <w:rsid w:val="005C7D26"/>
    <w:rsid w:val="005D11F8"/>
    <w:rsid w:val="005D21E3"/>
    <w:rsid w:val="005D4471"/>
    <w:rsid w:val="005D6533"/>
    <w:rsid w:val="005D6783"/>
    <w:rsid w:val="005E0B54"/>
    <w:rsid w:val="005E1484"/>
    <w:rsid w:val="005E4203"/>
    <w:rsid w:val="005F224F"/>
    <w:rsid w:val="005F3BA1"/>
    <w:rsid w:val="005F4953"/>
    <w:rsid w:val="005F6115"/>
    <w:rsid w:val="005F6474"/>
    <w:rsid w:val="005F6812"/>
    <w:rsid w:val="005F68B7"/>
    <w:rsid w:val="005F7687"/>
    <w:rsid w:val="00600EF9"/>
    <w:rsid w:val="006010E6"/>
    <w:rsid w:val="00604ED6"/>
    <w:rsid w:val="00605C25"/>
    <w:rsid w:val="0060672E"/>
    <w:rsid w:val="00606F5B"/>
    <w:rsid w:val="00606FD6"/>
    <w:rsid w:val="00614682"/>
    <w:rsid w:val="00624D86"/>
    <w:rsid w:val="00625189"/>
    <w:rsid w:val="00635C5F"/>
    <w:rsid w:val="00636EE6"/>
    <w:rsid w:val="0063753A"/>
    <w:rsid w:val="00637AE4"/>
    <w:rsid w:val="00641AFD"/>
    <w:rsid w:val="00642F06"/>
    <w:rsid w:val="006463C8"/>
    <w:rsid w:val="0064665D"/>
    <w:rsid w:val="00646AE9"/>
    <w:rsid w:val="00646D8F"/>
    <w:rsid w:val="00652DCC"/>
    <w:rsid w:val="00653314"/>
    <w:rsid w:val="00661369"/>
    <w:rsid w:val="00662409"/>
    <w:rsid w:val="00662D08"/>
    <w:rsid w:val="00662F3B"/>
    <w:rsid w:val="00664509"/>
    <w:rsid w:val="0066492C"/>
    <w:rsid w:val="006651B4"/>
    <w:rsid w:val="006672E6"/>
    <w:rsid w:val="00667A8E"/>
    <w:rsid w:val="0067329A"/>
    <w:rsid w:val="00673817"/>
    <w:rsid w:val="00674886"/>
    <w:rsid w:val="00674F8C"/>
    <w:rsid w:val="006760B5"/>
    <w:rsid w:val="00677D17"/>
    <w:rsid w:val="00683F09"/>
    <w:rsid w:val="006876EC"/>
    <w:rsid w:val="006907A7"/>
    <w:rsid w:val="00690986"/>
    <w:rsid w:val="00694883"/>
    <w:rsid w:val="006968B9"/>
    <w:rsid w:val="006A1275"/>
    <w:rsid w:val="006A1EC8"/>
    <w:rsid w:val="006A387B"/>
    <w:rsid w:val="006A4D87"/>
    <w:rsid w:val="006A52DB"/>
    <w:rsid w:val="006A62B1"/>
    <w:rsid w:val="006A7368"/>
    <w:rsid w:val="006A7886"/>
    <w:rsid w:val="006B0005"/>
    <w:rsid w:val="006B196C"/>
    <w:rsid w:val="006B27EC"/>
    <w:rsid w:val="006B43D5"/>
    <w:rsid w:val="006B44F8"/>
    <w:rsid w:val="006B5112"/>
    <w:rsid w:val="006B602D"/>
    <w:rsid w:val="006B6932"/>
    <w:rsid w:val="006B73F4"/>
    <w:rsid w:val="006B7878"/>
    <w:rsid w:val="006B7C3E"/>
    <w:rsid w:val="006C0CE3"/>
    <w:rsid w:val="006C2D22"/>
    <w:rsid w:val="006C3616"/>
    <w:rsid w:val="006C75CF"/>
    <w:rsid w:val="006D009E"/>
    <w:rsid w:val="006D31D3"/>
    <w:rsid w:val="006D457B"/>
    <w:rsid w:val="006F07E9"/>
    <w:rsid w:val="006F09A8"/>
    <w:rsid w:val="006F10F9"/>
    <w:rsid w:val="006F6793"/>
    <w:rsid w:val="006F7498"/>
    <w:rsid w:val="00700220"/>
    <w:rsid w:val="00700417"/>
    <w:rsid w:val="00705393"/>
    <w:rsid w:val="00707C91"/>
    <w:rsid w:val="00713395"/>
    <w:rsid w:val="00714639"/>
    <w:rsid w:val="00715C4F"/>
    <w:rsid w:val="00716F1A"/>
    <w:rsid w:val="0072321A"/>
    <w:rsid w:val="00723EE0"/>
    <w:rsid w:val="00732222"/>
    <w:rsid w:val="00732E7E"/>
    <w:rsid w:val="00733352"/>
    <w:rsid w:val="007334F0"/>
    <w:rsid w:val="00733851"/>
    <w:rsid w:val="0074030E"/>
    <w:rsid w:val="00740A10"/>
    <w:rsid w:val="00740AD5"/>
    <w:rsid w:val="007428FC"/>
    <w:rsid w:val="007450E4"/>
    <w:rsid w:val="00745DAE"/>
    <w:rsid w:val="007476F3"/>
    <w:rsid w:val="00750361"/>
    <w:rsid w:val="007544A4"/>
    <w:rsid w:val="00754CF3"/>
    <w:rsid w:val="00756159"/>
    <w:rsid w:val="007561A6"/>
    <w:rsid w:val="0075674A"/>
    <w:rsid w:val="00757E9A"/>
    <w:rsid w:val="00760BE4"/>
    <w:rsid w:val="00762FF5"/>
    <w:rsid w:val="00763363"/>
    <w:rsid w:val="00764670"/>
    <w:rsid w:val="00765380"/>
    <w:rsid w:val="00771358"/>
    <w:rsid w:val="00771FD0"/>
    <w:rsid w:val="007720BB"/>
    <w:rsid w:val="00774242"/>
    <w:rsid w:val="00774B96"/>
    <w:rsid w:val="00775EE4"/>
    <w:rsid w:val="00776167"/>
    <w:rsid w:val="0077725F"/>
    <w:rsid w:val="00777CB0"/>
    <w:rsid w:val="00777D78"/>
    <w:rsid w:val="007808DA"/>
    <w:rsid w:val="007813AD"/>
    <w:rsid w:val="00781E1B"/>
    <w:rsid w:val="00783829"/>
    <w:rsid w:val="00783A70"/>
    <w:rsid w:val="00785F1B"/>
    <w:rsid w:val="007875F4"/>
    <w:rsid w:val="00794060"/>
    <w:rsid w:val="00794147"/>
    <w:rsid w:val="00794BDF"/>
    <w:rsid w:val="00794E58"/>
    <w:rsid w:val="0079724A"/>
    <w:rsid w:val="007A02DE"/>
    <w:rsid w:val="007A2EF5"/>
    <w:rsid w:val="007A4001"/>
    <w:rsid w:val="007A7128"/>
    <w:rsid w:val="007B5B40"/>
    <w:rsid w:val="007B739D"/>
    <w:rsid w:val="007C1E44"/>
    <w:rsid w:val="007C27A5"/>
    <w:rsid w:val="007C3C8C"/>
    <w:rsid w:val="007C3F1B"/>
    <w:rsid w:val="007C5688"/>
    <w:rsid w:val="007D2297"/>
    <w:rsid w:val="007D2527"/>
    <w:rsid w:val="007D438F"/>
    <w:rsid w:val="007D70F8"/>
    <w:rsid w:val="007D75D3"/>
    <w:rsid w:val="007D7639"/>
    <w:rsid w:val="007E1F64"/>
    <w:rsid w:val="007E1FC5"/>
    <w:rsid w:val="007E7E08"/>
    <w:rsid w:val="007F005E"/>
    <w:rsid w:val="007F1FAA"/>
    <w:rsid w:val="007F2813"/>
    <w:rsid w:val="007F381A"/>
    <w:rsid w:val="007F56C1"/>
    <w:rsid w:val="00802D33"/>
    <w:rsid w:val="00816275"/>
    <w:rsid w:val="00816DEE"/>
    <w:rsid w:val="008210C9"/>
    <w:rsid w:val="008224B7"/>
    <w:rsid w:val="00822C72"/>
    <w:rsid w:val="00824610"/>
    <w:rsid w:val="0082579A"/>
    <w:rsid w:val="00826F6F"/>
    <w:rsid w:val="008347F1"/>
    <w:rsid w:val="008351F2"/>
    <w:rsid w:val="008357CC"/>
    <w:rsid w:val="00836436"/>
    <w:rsid w:val="0083711A"/>
    <w:rsid w:val="00841ECF"/>
    <w:rsid w:val="008435C3"/>
    <w:rsid w:val="00843DA4"/>
    <w:rsid w:val="008456A7"/>
    <w:rsid w:val="00845F65"/>
    <w:rsid w:val="008513C0"/>
    <w:rsid w:val="008523B7"/>
    <w:rsid w:val="008523C2"/>
    <w:rsid w:val="00854079"/>
    <w:rsid w:val="008570F2"/>
    <w:rsid w:val="00857217"/>
    <w:rsid w:val="0086224C"/>
    <w:rsid w:val="00872650"/>
    <w:rsid w:val="00875562"/>
    <w:rsid w:val="00876200"/>
    <w:rsid w:val="00876614"/>
    <w:rsid w:val="00876A52"/>
    <w:rsid w:val="00882E18"/>
    <w:rsid w:val="008857CD"/>
    <w:rsid w:val="00887AFC"/>
    <w:rsid w:val="0089028A"/>
    <w:rsid w:val="00890777"/>
    <w:rsid w:val="00890EE3"/>
    <w:rsid w:val="00891390"/>
    <w:rsid w:val="00892186"/>
    <w:rsid w:val="00892CF4"/>
    <w:rsid w:val="00893335"/>
    <w:rsid w:val="00893609"/>
    <w:rsid w:val="00893A7C"/>
    <w:rsid w:val="00893C58"/>
    <w:rsid w:val="00895915"/>
    <w:rsid w:val="008959EF"/>
    <w:rsid w:val="008975C3"/>
    <w:rsid w:val="008A2DFC"/>
    <w:rsid w:val="008A428F"/>
    <w:rsid w:val="008A6DDE"/>
    <w:rsid w:val="008B02C5"/>
    <w:rsid w:val="008B39DE"/>
    <w:rsid w:val="008B5A28"/>
    <w:rsid w:val="008C0393"/>
    <w:rsid w:val="008C0617"/>
    <w:rsid w:val="008C0C46"/>
    <w:rsid w:val="008C1FDF"/>
    <w:rsid w:val="008C5210"/>
    <w:rsid w:val="008D0363"/>
    <w:rsid w:val="008D09AD"/>
    <w:rsid w:val="008D1B9B"/>
    <w:rsid w:val="008D2AF2"/>
    <w:rsid w:val="008D6874"/>
    <w:rsid w:val="008D6A2A"/>
    <w:rsid w:val="008E1968"/>
    <w:rsid w:val="008E3A88"/>
    <w:rsid w:val="008E4B47"/>
    <w:rsid w:val="008E5AA5"/>
    <w:rsid w:val="008E7E5F"/>
    <w:rsid w:val="008F29D2"/>
    <w:rsid w:val="008F4330"/>
    <w:rsid w:val="008F4462"/>
    <w:rsid w:val="008F48C0"/>
    <w:rsid w:val="009036C7"/>
    <w:rsid w:val="009037D2"/>
    <w:rsid w:val="00906A4B"/>
    <w:rsid w:val="00911B6E"/>
    <w:rsid w:val="009216BC"/>
    <w:rsid w:val="00923572"/>
    <w:rsid w:val="00923FFC"/>
    <w:rsid w:val="00927283"/>
    <w:rsid w:val="00927FCC"/>
    <w:rsid w:val="009304BD"/>
    <w:rsid w:val="00932C81"/>
    <w:rsid w:val="0093401D"/>
    <w:rsid w:val="00936683"/>
    <w:rsid w:val="009376DB"/>
    <w:rsid w:val="009407A3"/>
    <w:rsid w:val="00941671"/>
    <w:rsid w:val="00941AA1"/>
    <w:rsid w:val="00941F7B"/>
    <w:rsid w:val="0094662B"/>
    <w:rsid w:val="00947320"/>
    <w:rsid w:val="00947997"/>
    <w:rsid w:val="009524B4"/>
    <w:rsid w:val="00954569"/>
    <w:rsid w:val="00954EA1"/>
    <w:rsid w:val="009606E2"/>
    <w:rsid w:val="009608C0"/>
    <w:rsid w:val="00960F7C"/>
    <w:rsid w:val="00961718"/>
    <w:rsid w:val="00962FC3"/>
    <w:rsid w:val="00963515"/>
    <w:rsid w:val="009640BC"/>
    <w:rsid w:val="0096426B"/>
    <w:rsid w:val="009646EA"/>
    <w:rsid w:val="009647DC"/>
    <w:rsid w:val="009649C9"/>
    <w:rsid w:val="0097165F"/>
    <w:rsid w:val="00971FF3"/>
    <w:rsid w:val="00973EEC"/>
    <w:rsid w:val="0097479A"/>
    <w:rsid w:val="00976298"/>
    <w:rsid w:val="00977ED5"/>
    <w:rsid w:val="00980BB4"/>
    <w:rsid w:val="00983036"/>
    <w:rsid w:val="00983B40"/>
    <w:rsid w:val="00985B36"/>
    <w:rsid w:val="00990606"/>
    <w:rsid w:val="00992503"/>
    <w:rsid w:val="009958F4"/>
    <w:rsid w:val="00996E80"/>
    <w:rsid w:val="009A34EF"/>
    <w:rsid w:val="009A53DB"/>
    <w:rsid w:val="009A7054"/>
    <w:rsid w:val="009A7286"/>
    <w:rsid w:val="009A7665"/>
    <w:rsid w:val="009B06FF"/>
    <w:rsid w:val="009B0F1B"/>
    <w:rsid w:val="009B1500"/>
    <w:rsid w:val="009B4859"/>
    <w:rsid w:val="009B4DB4"/>
    <w:rsid w:val="009B4F50"/>
    <w:rsid w:val="009B5D78"/>
    <w:rsid w:val="009C3D96"/>
    <w:rsid w:val="009C6A92"/>
    <w:rsid w:val="009C7259"/>
    <w:rsid w:val="009D1222"/>
    <w:rsid w:val="009D53A1"/>
    <w:rsid w:val="009D6639"/>
    <w:rsid w:val="009D6936"/>
    <w:rsid w:val="009E2EEE"/>
    <w:rsid w:val="009E32E6"/>
    <w:rsid w:val="009E4768"/>
    <w:rsid w:val="009E482B"/>
    <w:rsid w:val="009E5137"/>
    <w:rsid w:val="009F3F6C"/>
    <w:rsid w:val="009F47FB"/>
    <w:rsid w:val="009F7A1F"/>
    <w:rsid w:val="00A0137F"/>
    <w:rsid w:val="00A03787"/>
    <w:rsid w:val="00A03E73"/>
    <w:rsid w:val="00A061EE"/>
    <w:rsid w:val="00A07B29"/>
    <w:rsid w:val="00A1179E"/>
    <w:rsid w:val="00A14798"/>
    <w:rsid w:val="00A15D51"/>
    <w:rsid w:val="00A20679"/>
    <w:rsid w:val="00A222CB"/>
    <w:rsid w:val="00A229C5"/>
    <w:rsid w:val="00A233DD"/>
    <w:rsid w:val="00A2365B"/>
    <w:rsid w:val="00A24767"/>
    <w:rsid w:val="00A2489A"/>
    <w:rsid w:val="00A2553B"/>
    <w:rsid w:val="00A2731C"/>
    <w:rsid w:val="00A311A3"/>
    <w:rsid w:val="00A3176C"/>
    <w:rsid w:val="00A33CA7"/>
    <w:rsid w:val="00A33DED"/>
    <w:rsid w:val="00A34C88"/>
    <w:rsid w:val="00A4324F"/>
    <w:rsid w:val="00A44AD9"/>
    <w:rsid w:val="00A455A1"/>
    <w:rsid w:val="00A46327"/>
    <w:rsid w:val="00A47AFC"/>
    <w:rsid w:val="00A505B1"/>
    <w:rsid w:val="00A50A7E"/>
    <w:rsid w:val="00A54529"/>
    <w:rsid w:val="00A54F37"/>
    <w:rsid w:val="00A57413"/>
    <w:rsid w:val="00A613D5"/>
    <w:rsid w:val="00A62015"/>
    <w:rsid w:val="00A6217A"/>
    <w:rsid w:val="00A6242A"/>
    <w:rsid w:val="00A646F9"/>
    <w:rsid w:val="00A64A8A"/>
    <w:rsid w:val="00A726D1"/>
    <w:rsid w:val="00A748D1"/>
    <w:rsid w:val="00A76A74"/>
    <w:rsid w:val="00A811C3"/>
    <w:rsid w:val="00A82887"/>
    <w:rsid w:val="00A8493B"/>
    <w:rsid w:val="00A84ED1"/>
    <w:rsid w:val="00A85AF5"/>
    <w:rsid w:val="00A868E0"/>
    <w:rsid w:val="00A86A97"/>
    <w:rsid w:val="00A90EC9"/>
    <w:rsid w:val="00A924C4"/>
    <w:rsid w:val="00A94107"/>
    <w:rsid w:val="00A94365"/>
    <w:rsid w:val="00A95411"/>
    <w:rsid w:val="00A9617E"/>
    <w:rsid w:val="00A96B23"/>
    <w:rsid w:val="00A97286"/>
    <w:rsid w:val="00A97D55"/>
    <w:rsid w:val="00AA27C2"/>
    <w:rsid w:val="00AA388E"/>
    <w:rsid w:val="00AA7890"/>
    <w:rsid w:val="00AA7DC4"/>
    <w:rsid w:val="00AB04CE"/>
    <w:rsid w:val="00AB3F82"/>
    <w:rsid w:val="00AB4496"/>
    <w:rsid w:val="00AB4AF2"/>
    <w:rsid w:val="00AB5A94"/>
    <w:rsid w:val="00AB6044"/>
    <w:rsid w:val="00AB65DA"/>
    <w:rsid w:val="00AC0B92"/>
    <w:rsid w:val="00AC0E80"/>
    <w:rsid w:val="00AC2C0C"/>
    <w:rsid w:val="00AC2E75"/>
    <w:rsid w:val="00AC4BB8"/>
    <w:rsid w:val="00AC5FF8"/>
    <w:rsid w:val="00AC61CC"/>
    <w:rsid w:val="00AC72DE"/>
    <w:rsid w:val="00AC7AA1"/>
    <w:rsid w:val="00AD08B2"/>
    <w:rsid w:val="00AD09AE"/>
    <w:rsid w:val="00AD2526"/>
    <w:rsid w:val="00AD3CBA"/>
    <w:rsid w:val="00AD4613"/>
    <w:rsid w:val="00AD5058"/>
    <w:rsid w:val="00AD63B8"/>
    <w:rsid w:val="00AD7106"/>
    <w:rsid w:val="00AE5192"/>
    <w:rsid w:val="00AE6D74"/>
    <w:rsid w:val="00AE6FC8"/>
    <w:rsid w:val="00AE7DF0"/>
    <w:rsid w:val="00AF0EBC"/>
    <w:rsid w:val="00AF0FCB"/>
    <w:rsid w:val="00AF208E"/>
    <w:rsid w:val="00AF61C8"/>
    <w:rsid w:val="00AF6372"/>
    <w:rsid w:val="00AF7092"/>
    <w:rsid w:val="00B00BDC"/>
    <w:rsid w:val="00B0209B"/>
    <w:rsid w:val="00B02911"/>
    <w:rsid w:val="00B02A1E"/>
    <w:rsid w:val="00B11F1F"/>
    <w:rsid w:val="00B12172"/>
    <w:rsid w:val="00B1444A"/>
    <w:rsid w:val="00B144AD"/>
    <w:rsid w:val="00B14752"/>
    <w:rsid w:val="00B1654D"/>
    <w:rsid w:val="00B165F3"/>
    <w:rsid w:val="00B1689E"/>
    <w:rsid w:val="00B2111D"/>
    <w:rsid w:val="00B22504"/>
    <w:rsid w:val="00B2326F"/>
    <w:rsid w:val="00B24448"/>
    <w:rsid w:val="00B26700"/>
    <w:rsid w:val="00B2761C"/>
    <w:rsid w:val="00B3095D"/>
    <w:rsid w:val="00B30CC9"/>
    <w:rsid w:val="00B3176A"/>
    <w:rsid w:val="00B31C4E"/>
    <w:rsid w:val="00B3335E"/>
    <w:rsid w:val="00B33888"/>
    <w:rsid w:val="00B37DA4"/>
    <w:rsid w:val="00B40F3B"/>
    <w:rsid w:val="00B415FF"/>
    <w:rsid w:val="00B419F6"/>
    <w:rsid w:val="00B45975"/>
    <w:rsid w:val="00B522F2"/>
    <w:rsid w:val="00B600DE"/>
    <w:rsid w:val="00B61D9E"/>
    <w:rsid w:val="00B62483"/>
    <w:rsid w:val="00B624C4"/>
    <w:rsid w:val="00B63890"/>
    <w:rsid w:val="00B63F3A"/>
    <w:rsid w:val="00B65518"/>
    <w:rsid w:val="00B66924"/>
    <w:rsid w:val="00B71DD0"/>
    <w:rsid w:val="00B72255"/>
    <w:rsid w:val="00B7264F"/>
    <w:rsid w:val="00B75AD3"/>
    <w:rsid w:val="00B772D6"/>
    <w:rsid w:val="00B77F5D"/>
    <w:rsid w:val="00B8065A"/>
    <w:rsid w:val="00B82084"/>
    <w:rsid w:val="00B82627"/>
    <w:rsid w:val="00B83467"/>
    <w:rsid w:val="00B84149"/>
    <w:rsid w:val="00B84303"/>
    <w:rsid w:val="00B85C48"/>
    <w:rsid w:val="00B87759"/>
    <w:rsid w:val="00B91BAE"/>
    <w:rsid w:val="00B93278"/>
    <w:rsid w:val="00B934D8"/>
    <w:rsid w:val="00B97800"/>
    <w:rsid w:val="00BA1E24"/>
    <w:rsid w:val="00BA4EBA"/>
    <w:rsid w:val="00BA57EE"/>
    <w:rsid w:val="00BB53FC"/>
    <w:rsid w:val="00BB6A41"/>
    <w:rsid w:val="00BB7A61"/>
    <w:rsid w:val="00BC1D56"/>
    <w:rsid w:val="00BC32A5"/>
    <w:rsid w:val="00BC7863"/>
    <w:rsid w:val="00BD0811"/>
    <w:rsid w:val="00BD18CE"/>
    <w:rsid w:val="00BE20F6"/>
    <w:rsid w:val="00BE2396"/>
    <w:rsid w:val="00BE26C6"/>
    <w:rsid w:val="00BF20C0"/>
    <w:rsid w:val="00BF2674"/>
    <w:rsid w:val="00BF3065"/>
    <w:rsid w:val="00BF3588"/>
    <w:rsid w:val="00BF3652"/>
    <w:rsid w:val="00BF37FA"/>
    <w:rsid w:val="00BF50CE"/>
    <w:rsid w:val="00BF6CB9"/>
    <w:rsid w:val="00BF6E40"/>
    <w:rsid w:val="00BF778D"/>
    <w:rsid w:val="00C005B5"/>
    <w:rsid w:val="00C006F0"/>
    <w:rsid w:val="00C1185E"/>
    <w:rsid w:val="00C17543"/>
    <w:rsid w:val="00C17D6A"/>
    <w:rsid w:val="00C17F0F"/>
    <w:rsid w:val="00C2138B"/>
    <w:rsid w:val="00C24CDF"/>
    <w:rsid w:val="00C2603C"/>
    <w:rsid w:val="00C30F59"/>
    <w:rsid w:val="00C3114F"/>
    <w:rsid w:val="00C3214F"/>
    <w:rsid w:val="00C3524E"/>
    <w:rsid w:val="00C354DA"/>
    <w:rsid w:val="00C368DB"/>
    <w:rsid w:val="00C37695"/>
    <w:rsid w:val="00C4358E"/>
    <w:rsid w:val="00C442AC"/>
    <w:rsid w:val="00C44528"/>
    <w:rsid w:val="00C4790C"/>
    <w:rsid w:val="00C47BB1"/>
    <w:rsid w:val="00C51401"/>
    <w:rsid w:val="00C557F1"/>
    <w:rsid w:val="00C61197"/>
    <w:rsid w:val="00C629F4"/>
    <w:rsid w:val="00C62AF7"/>
    <w:rsid w:val="00C6310C"/>
    <w:rsid w:val="00C649DF"/>
    <w:rsid w:val="00C715B7"/>
    <w:rsid w:val="00C76818"/>
    <w:rsid w:val="00C77615"/>
    <w:rsid w:val="00C77AD3"/>
    <w:rsid w:val="00C810A5"/>
    <w:rsid w:val="00C826F5"/>
    <w:rsid w:val="00C92E69"/>
    <w:rsid w:val="00C94A12"/>
    <w:rsid w:val="00CA0F70"/>
    <w:rsid w:val="00CA420E"/>
    <w:rsid w:val="00CA4F18"/>
    <w:rsid w:val="00CA51B1"/>
    <w:rsid w:val="00CA620F"/>
    <w:rsid w:val="00CA6A29"/>
    <w:rsid w:val="00CB051C"/>
    <w:rsid w:val="00CB142C"/>
    <w:rsid w:val="00CB22FF"/>
    <w:rsid w:val="00CB3B74"/>
    <w:rsid w:val="00CB4025"/>
    <w:rsid w:val="00CB42CE"/>
    <w:rsid w:val="00CB5011"/>
    <w:rsid w:val="00CC0455"/>
    <w:rsid w:val="00CC67DD"/>
    <w:rsid w:val="00CD1E24"/>
    <w:rsid w:val="00CD6E41"/>
    <w:rsid w:val="00CE011D"/>
    <w:rsid w:val="00CE1568"/>
    <w:rsid w:val="00CE1701"/>
    <w:rsid w:val="00CE53BA"/>
    <w:rsid w:val="00CE54DD"/>
    <w:rsid w:val="00CE6A96"/>
    <w:rsid w:val="00CE773E"/>
    <w:rsid w:val="00CF1589"/>
    <w:rsid w:val="00CF1E50"/>
    <w:rsid w:val="00CF520F"/>
    <w:rsid w:val="00D00A22"/>
    <w:rsid w:val="00D02835"/>
    <w:rsid w:val="00D031D6"/>
    <w:rsid w:val="00D05DA9"/>
    <w:rsid w:val="00D123ED"/>
    <w:rsid w:val="00D12DCB"/>
    <w:rsid w:val="00D130D2"/>
    <w:rsid w:val="00D13336"/>
    <w:rsid w:val="00D1512F"/>
    <w:rsid w:val="00D1600A"/>
    <w:rsid w:val="00D21BA8"/>
    <w:rsid w:val="00D222CB"/>
    <w:rsid w:val="00D228BE"/>
    <w:rsid w:val="00D23768"/>
    <w:rsid w:val="00D240A6"/>
    <w:rsid w:val="00D2624A"/>
    <w:rsid w:val="00D27755"/>
    <w:rsid w:val="00D309C4"/>
    <w:rsid w:val="00D4149C"/>
    <w:rsid w:val="00D4248F"/>
    <w:rsid w:val="00D42E8F"/>
    <w:rsid w:val="00D439B2"/>
    <w:rsid w:val="00D44966"/>
    <w:rsid w:val="00D456D0"/>
    <w:rsid w:val="00D46638"/>
    <w:rsid w:val="00D46F58"/>
    <w:rsid w:val="00D55997"/>
    <w:rsid w:val="00D55B0D"/>
    <w:rsid w:val="00D576E9"/>
    <w:rsid w:val="00D60090"/>
    <w:rsid w:val="00D62542"/>
    <w:rsid w:val="00D6278E"/>
    <w:rsid w:val="00D630F6"/>
    <w:rsid w:val="00D64D87"/>
    <w:rsid w:val="00D659ED"/>
    <w:rsid w:val="00D65ECB"/>
    <w:rsid w:val="00D71F34"/>
    <w:rsid w:val="00D7289B"/>
    <w:rsid w:val="00D728BC"/>
    <w:rsid w:val="00D74063"/>
    <w:rsid w:val="00D74587"/>
    <w:rsid w:val="00D74D49"/>
    <w:rsid w:val="00D76856"/>
    <w:rsid w:val="00D77E7C"/>
    <w:rsid w:val="00D80241"/>
    <w:rsid w:val="00D802D8"/>
    <w:rsid w:val="00D809BA"/>
    <w:rsid w:val="00D82A49"/>
    <w:rsid w:val="00D83C47"/>
    <w:rsid w:val="00D83EA7"/>
    <w:rsid w:val="00D85F6C"/>
    <w:rsid w:val="00D8672D"/>
    <w:rsid w:val="00D867E2"/>
    <w:rsid w:val="00D91300"/>
    <w:rsid w:val="00D92833"/>
    <w:rsid w:val="00D96374"/>
    <w:rsid w:val="00D97A51"/>
    <w:rsid w:val="00DA16A8"/>
    <w:rsid w:val="00DA2DA4"/>
    <w:rsid w:val="00DA3315"/>
    <w:rsid w:val="00DA40DB"/>
    <w:rsid w:val="00DA4BA7"/>
    <w:rsid w:val="00DA562C"/>
    <w:rsid w:val="00DA58F8"/>
    <w:rsid w:val="00DA5AF2"/>
    <w:rsid w:val="00DA6FE8"/>
    <w:rsid w:val="00DA75E4"/>
    <w:rsid w:val="00DA7CA5"/>
    <w:rsid w:val="00DB0501"/>
    <w:rsid w:val="00DB09E2"/>
    <w:rsid w:val="00DB2246"/>
    <w:rsid w:val="00DB23C1"/>
    <w:rsid w:val="00DB3ABC"/>
    <w:rsid w:val="00DB3DFF"/>
    <w:rsid w:val="00DB4ADC"/>
    <w:rsid w:val="00DB579C"/>
    <w:rsid w:val="00DB5820"/>
    <w:rsid w:val="00DB5B0C"/>
    <w:rsid w:val="00DB6508"/>
    <w:rsid w:val="00DB71C6"/>
    <w:rsid w:val="00DC1778"/>
    <w:rsid w:val="00DC4A4A"/>
    <w:rsid w:val="00DC51F7"/>
    <w:rsid w:val="00DC76A1"/>
    <w:rsid w:val="00DD00B5"/>
    <w:rsid w:val="00DD1605"/>
    <w:rsid w:val="00DD2037"/>
    <w:rsid w:val="00DD22EF"/>
    <w:rsid w:val="00DD3D23"/>
    <w:rsid w:val="00DD589F"/>
    <w:rsid w:val="00DE0F05"/>
    <w:rsid w:val="00DE212F"/>
    <w:rsid w:val="00DE2E6F"/>
    <w:rsid w:val="00DE475B"/>
    <w:rsid w:val="00DE4DA6"/>
    <w:rsid w:val="00DF159B"/>
    <w:rsid w:val="00DF160C"/>
    <w:rsid w:val="00DF1E0E"/>
    <w:rsid w:val="00DF22A2"/>
    <w:rsid w:val="00DF2E11"/>
    <w:rsid w:val="00DF3510"/>
    <w:rsid w:val="00DF3AC9"/>
    <w:rsid w:val="00DF3ECA"/>
    <w:rsid w:val="00DF471B"/>
    <w:rsid w:val="00DF5745"/>
    <w:rsid w:val="00E00E96"/>
    <w:rsid w:val="00E050CE"/>
    <w:rsid w:val="00E052E5"/>
    <w:rsid w:val="00E05481"/>
    <w:rsid w:val="00E068B8"/>
    <w:rsid w:val="00E075A5"/>
    <w:rsid w:val="00E07AFF"/>
    <w:rsid w:val="00E113EB"/>
    <w:rsid w:val="00E11CFD"/>
    <w:rsid w:val="00E122F1"/>
    <w:rsid w:val="00E131F1"/>
    <w:rsid w:val="00E14370"/>
    <w:rsid w:val="00E145A8"/>
    <w:rsid w:val="00E1729E"/>
    <w:rsid w:val="00E17A25"/>
    <w:rsid w:val="00E2046D"/>
    <w:rsid w:val="00E215D0"/>
    <w:rsid w:val="00E23517"/>
    <w:rsid w:val="00E25BA6"/>
    <w:rsid w:val="00E260D0"/>
    <w:rsid w:val="00E26B51"/>
    <w:rsid w:val="00E26D75"/>
    <w:rsid w:val="00E26F90"/>
    <w:rsid w:val="00E3194F"/>
    <w:rsid w:val="00E32287"/>
    <w:rsid w:val="00E3264F"/>
    <w:rsid w:val="00E361B6"/>
    <w:rsid w:val="00E36805"/>
    <w:rsid w:val="00E42FCE"/>
    <w:rsid w:val="00E43CD0"/>
    <w:rsid w:val="00E4611D"/>
    <w:rsid w:val="00E47F23"/>
    <w:rsid w:val="00E51EB8"/>
    <w:rsid w:val="00E54561"/>
    <w:rsid w:val="00E54BC3"/>
    <w:rsid w:val="00E57BC5"/>
    <w:rsid w:val="00E61650"/>
    <w:rsid w:val="00E622C5"/>
    <w:rsid w:val="00E64ABD"/>
    <w:rsid w:val="00E672DC"/>
    <w:rsid w:val="00E71550"/>
    <w:rsid w:val="00E72311"/>
    <w:rsid w:val="00E72B8F"/>
    <w:rsid w:val="00E739BB"/>
    <w:rsid w:val="00E75013"/>
    <w:rsid w:val="00E7508E"/>
    <w:rsid w:val="00E76627"/>
    <w:rsid w:val="00E805C4"/>
    <w:rsid w:val="00E82391"/>
    <w:rsid w:val="00E85D09"/>
    <w:rsid w:val="00E85D3D"/>
    <w:rsid w:val="00E8764B"/>
    <w:rsid w:val="00E87C27"/>
    <w:rsid w:val="00E926B2"/>
    <w:rsid w:val="00E9306B"/>
    <w:rsid w:val="00E93B87"/>
    <w:rsid w:val="00E948B3"/>
    <w:rsid w:val="00E978F1"/>
    <w:rsid w:val="00E97E4F"/>
    <w:rsid w:val="00EA0839"/>
    <w:rsid w:val="00EA2F4E"/>
    <w:rsid w:val="00EA2F70"/>
    <w:rsid w:val="00EA5107"/>
    <w:rsid w:val="00EA7A6A"/>
    <w:rsid w:val="00EB080B"/>
    <w:rsid w:val="00EB1098"/>
    <w:rsid w:val="00EB2453"/>
    <w:rsid w:val="00EB2657"/>
    <w:rsid w:val="00EB4068"/>
    <w:rsid w:val="00EB4787"/>
    <w:rsid w:val="00EB6181"/>
    <w:rsid w:val="00EB647A"/>
    <w:rsid w:val="00EB6A1F"/>
    <w:rsid w:val="00EC23A8"/>
    <w:rsid w:val="00EC293F"/>
    <w:rsid w:val="00EC5D14"/>
    <w:rsid w:val="00EC6142"/>
    <w:rsid w:val="00ED29A1"/>
    <w:rsid w:val="00ED3296"/>
    <w:rsid w:val="00ED3C56"/>
    <w:rsid w:val="00EE647A"/>
    <w:rsid w:val="00EE64F7"/>
    <w:rsid w:val="00EE65D0"/>
    <w:rsid w:val="00EE6C60"/>
    <w:rsid w:val="00EF6237"/>
    <w:rsid w:val="00EF6430"/>
    <w:rsid w:val="00EF6522"/>
    <w:rsid w:val="00F00BC4"/>
    <w:rsid w:val="00F02E6A"/>
    <w:rsid w:val="00F039E1"/>
    <w:rsid w:val="00F10142"/>
    <w:rsid w:val="00F10E12"/>
    <w:rsid w:val="00F1277B"/>
    <w:rsid w:val="00F12C71"/>
    <w:rsid w:val="00F13A17"/>
    <w:rsid w:val="00F15A30"/>
    <w:rsid w:val="00F17197"/>
    <w:rsid w:val="00F20925"/>
    <w:rsid w:val="00F2299B"/>
    <w:rsid w:val="00F24540"/>
    <w:rsid w:val="00F263FB"/>
    <w:rsid w:val="00F30091"/>
    <w:rsid w:val="00F30F2D"/>
    <w:rsid w:val="00F33EEC"/>
    <w:rsid w:val="00F35691"/>
    <w:rsid w:val="00F35A39"/>
    <w:rsid w:val="00F37015"/>
    <w:rsid w:val="00F40150"/>
    <w:rsid w:val="00F40E2F"/>
    <w:rsid w:val="00F4177A"/>
    <w:rsid w:val="00F43544"/>
    <w:rsid w:val="00F478B6"/>
    <w:rsid w:val="00F50FCD"/>
    <w:rsid w:val="00F51870"/>
    <w:rsid w:val="00F566AB"/>
    <w:rsid w:val="00F57AAE"/>
    <w:rsid w:val="00F619A9"/>
    <w:rsid w:val="00F6515E"/>
    <w:rsid w:val="00F656E6"/>
    <w:rsid w:val="00F708E9"/>
    <w:rsid w:val="00F7169E"/>
    <w:rsid w:val="00F80A0F"/>
    <w:rsid w:val="00F85E8F"/>
    <w:rsid w:val="00F8612C"/>
    <w:rsid w:val="00F867E2"/>
    <w:rsid w:val="00F8744B"/>
    <w:rsid w:val="00F916F8"/>
    <w:rsid w:val="00F91D7C"/>
    <w:rsid w:val="00FA137C"/>
    <w:rsid w:val="00FA1A2D"/>
    <w:rsid w:val="00FA299F"/>
    <w:rsid w:val="00FA3546"/>
    <w:rsid w:val="00FA3B11"/>
    <w:rsid w:val="00FA71D1"/>
    <w:rsid w:val="00FA7C65"/>
    <w:rsid w:val="00FB0911"/>
    <w:rsid w:val="00FB4F94"/>
    <w:rsid w:val="00FC2A38"/>
    <w:rsid w:val="00FC4E53"/>
    <w:rsid w:val="00FC55B5"/>
    <w:rsid w:val="00FC6222"/>
    <w:rsid w:val="00FC69F4"/>
    <w:rsid w:val="00FD18D7"/>
    <w:rsid w:val="00FD6F43"/>
    <w:rsid w:val="00FD7F67"/>
    <w:rsid w:val="00FE06F9"/>
    <w:rsid w:val="00FE1966"/>
    <w:rsid w:val="00FE2E93"/>
    <w:rsid w:val="00FF046D"/>
    <w:rsid w:val="00FF18BA"/>
    <w:rsid w:val="00FF2B3B"/>
    <w:rsid w:val="00FF2BE4"/>
    <w:rsid w:val="00FF3427"/>
    <w:rsid w:val="00FF35A1"/>
    <w:rsid w:val="00FF3849"/>
    <w:rsid w:val="00FF3AA9"/>
    <w:rsid w:val="00FF5480"/>
    <w:rsid w:val="00FF5F60"/>
    <w:rsid w:val="00FF7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D79FB3"/>
  <w15:chartTrackingRefBased/>
  <w15:docId w15:val="{B3443E29-EB3F-42FE-945D-A274C413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E11"/>
    <w:pPr>
      <w:spacing w:after="280" w:line="300" w:lineRule="auto"/>
    </w:pPr>
    <w:rPr>
      <w:rFonts w:ascii="Proxima Nova" w:hAnsi="Proxima Nova"/>
      <w:sz w:val="28"/>
    </w:rPr>
  </w:style>
  <w:style w:type="paragraph" w:styleId="Heading1">
    <w:name w:val="heading 1"/>
    <w:basedOn w:val="Normal"/>
    <w:next w:val="Normal"/>
    <w:link w:val="Heading1Char"/>
    <w:uiPriority w:val="9"/>
    <w:qFormat/>
    <w:rsid w:val="002347D0"/>
    <w:pPr>
      <w:keepNext/>
      <w:keepLines/>
      <w:spacing w:before="240" w:after="0"/>
      <w:outlineLvl w:val="0"/>
    </w:pPr>
    <w:rPr>
      <w:rFonts w:eastAsiaTheme="majorEastAsia" w:cstheme="majorBidi"/>
      <w:color w:val="003B3A"/>
      <w:sz w:val="100"/>
      <w:szCs w:val="100"/>
    </w:rPr>
  </w:style>
  <w:style w:type="paragraph" w:styleId="Heading2">
    <w:name w:val="heading 2"/>
    <w:basedOn w:val="H2"/>
    <w:next w:val="Normal"/>
    <w:link w:val="Heading2Char"/>
    <w:uiPriority w:val="9"/>
    <w:unhideWhenUsed/>
    <w:qFormat/>
    <w:rsid w:val="00B522F2"/>
    <w:pPr>
      <w:keepNext/>
      <w:spacing w:before="960"/>
      <w:outlineLvl w:val="1"/>
    </w:pPr>
  </w:style>
  <w:style w:type="paragraph" w:styleId="Heading3">
    <w:name w:val="heading 3"/>
    <w:basedOn w:val="Normal"/>
    <w:next w:val="Normal"/>
    <w:link w:val="Heading3Char"/>
    <w:uiPriority w:val="9"/>
    <w:unhideWhenUsed/>
    <w:qFormat/>
    <w:rsid w:val="00B522F2"/>
    <w:pPr>
      <w:keepNext/>
      <w:keepLines/>
      <w:spacing w:before="360" w:after="180"/>
      <w:outlineLvl w:val="2"/>
    </w:pPr>
    <w:rPr>
      <w:rFonts w:eastAsiaTheme="majorEastAsia" w:cstheme="majorBidi"/>
      <w:b/>
      <w:bCs/>
      <w:color w:val="003B3A"/>
      <w:sz w:val="36"/>
      <w:szCs w:val="36"/>
    </w:rPr>
  </w:style>
  <w:style w:type="paragraph" w:styleId="Heading4">
    <w:name w:val="heading 4"/>
    <w:basedOn w:val="Normal"/>
    <w:next w:val="Normal"/>
    <w:link w:val="Heading4Char"/>
    <w:uiPriority w:val="9"/>
    <w:semiHidden/>
    <w:unhideWhenUsed/>
    <w:qFormat/>
    <w:rsid w:val="00186B5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EC5"/>
    <w:pPr>
      <w:ind w:left="720"/>
      <w:contextualSpacing/>
    </w:pPr>
  </w:style>
  <w:style w:type="character" w:styleId="Hyperlink">
    <w:name w:val="Hyperlink"/>
    <w:basedOn w:val="DefaultParagraphFont"/>
    <w:uiPriority w:val="99"/>
    <w:unhideWhenUsed/>
    <w:rsid w:val="00123C59"/>
    <w:rPr>
      <w:rFonts w:ascii="Proxima Nova" w:hAnsi="Proxima Nova"/>
      <w:color w:val="0563C1" w:themeColor="hyperlink"/>
      <w:u w:val="single"/>
    </w:rPr>
  </w:style>
  <w:style w:type="character" w:styleId="UnresolvedMention">
    <w:name w:val="Unresolved Mention"/>
    <w:basedOn w:val="DefaultParagraphFont"/>
    <w:uiPriority w:val="99"/>
    <w:semiHidden/>
    <w:unhideWhenUsed/>
    <w:rsid w:val="00CE011D"/>
    <w:rPr>
      <w:color w:val="605E5C"/>
      <w:shd w:val="clear" w:color="auto" w:fill="E1DFDD"/>
    </w:rPr>
  </w:style>
  <w:style w:type="paragraph" w:styleId="FootnoteText">
    <w:name w:val="footnote text"/>
    <w:aliases w:val="5_G"/>
    <w:basedOn w:val="Normal"/>
    <w:link w:val="FootnoteTextChar"/>
    <w:uiPriority w:val="99"/>
    <w:unhideWhenUsed/>
    <w:rsid w:val="00D55B0D"/>
    <w:pPr>
      <w:spacing w:after="40"/>
    </w:pPr>
    <w:rPr>
      <w:sz w:val="24"/>
      <w:szCs w:val="20"/>
    </w:rPr>
  </w:style>
  <w:style w:type="character" w:customStyle="1" w:styleId="FootnoteTextChar">
    <w:name w:val="Footnote Text Char"/>
    <w:aliases w:val="5_G Char"/>
    <w:basedOn w:val="DefaultParagraphFont"/>
    <w:link w:val="FootnoteText"/>
    <w:uiPriority w:val="99"/>
    <w:rsid w:val="00D55B0D"/>
    <w:rPr>
      <w:rFonts w:ascii="Proxima Nova" w:hAnsi="Proxima Nova"/>
      <w:sz w:val="24"/>
      <w:szCs w:val="20"/>
    </w:rPr>
  </w:style>
  <w:style w:type="character" w:styleId="FootnoteReference">
    <w:name w:val="footnote reference"/>
    <w:aliases w:val="footnote characters Char,4_G,Footnotes refss,ftref,BVI fnr,BVI fnr Car Car,BVI fnr Car,BVI fnr Car Car Car Car,BVI fnr Char Car Car Car,BVI fnr Char Car Car Car Char,BVI fnr Car Car Car Car Char Char,4_G Char"/>
    <w:basedOn w:val="DefaultParagraphFont"/>
    <w:link w:val="footnotecharacters"/>
    <w:uiPriority w:val="99"/>
    <w:unhideWhenUsed/>
    <w:qFormat/>
    <w:rsid w:val="00983036"/>
    <w:rPr>
      <w:vertAlign w:val="superscript"/>
    </w:rPr>
  </w:style>
  <w:style w:type="paragraph" w:styleId="Header">
    <w:name w:val="header"/>
    <w:basedOn w:val="Normal"/>
    <w:link w:val="HeaderChar"/>
    <w:uiPriority w:val="99"/>
    <w:unhideWhenUsed/>
    <w:rsid w:val="00406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D31"/>
  </w:style>
  <w:style w:type="paragraph" w:styleId="Footer">
    <w:name w:val="footer"/>
    <w:basedOn w:val="Normal"/>
    <w:link w:val="FooterChar"/>
    <w:uiPriority w:val="99"/>
    <w:unhideWhenUsed/>
    <w:rsid w:val="00406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D31"/>
  </w:style>
  <w:style w:type="table" w:styleId="TableGrid">
    <w:name w:val="Table Grid"/>
    <w:basedOn w:val="TableNormal"/>
    <w:uiPriority w:val="39"/>
    <w:rsid w:val="00B624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characters">
    <w:name w:val="footnote characters"/>
    <w:basedOn w:val="Normal"/>
    <w:link w:val="FootnoteReference"/>
    <w:uiPriority w:val="99"/>
    <w:rsid w:val="00D130D2"/>
    <w:pPr>
      <w:spacing w:line="240" w:lineRule="exact"/>
      <w:jc w:val="both"/>
    </w:pPr>
    <w:rPr>
      <w:vertAlign w:val="superscript"/>
    </w:rPr>
  </w:style>
  <w:style w:type="character" w:styleId="CommentReference">
    <w:name w:val="annotation reference"/>
    <w:basedOn w:val="DefaultParagraphFont"/>
    <w:uiPriority w:val="99"/>
    <w:semiHidden/>
    <w:unhideWhenUsed/>
    <w:rsid w:val="004B176E"/>
    <w:rPr>
      <w:sz w:val="16"/>
      <w:szCs w:val="16"/>
    </w:rPr>
  </w:style>
  <w:style w:type="paragraph" w:styleId="CommentText">
    <w:name w:val="annotation text"/>
    <w:basedOn w:val="Normal"/>
    <w:link w:val="CommentTextChar"/>
    <w:uiPriority w:val="99"/>
    <w:unhideWhenUsed/>
    <w:rsid w:val="004B176E"/>
    <w:pPr>
      <w:spacing w:line="240" w:lineRule="auto"/>
    </w:pPr>
    <w:rPr>
      <w:sz w:val="20"/>
      <w:szCs w:val="20"/>
    </w:rPr>
  </w:style>
  <w:style w:type="character" w:customStyle="1" w:styleId="CommentTextChar">
    <w:name w:val="Comment Text Char"/>
    <w:basedOn w:val="DefaultParagraphFont"/>
    <w:link w:val="CommentText"/>
    <w:uiPriority w:val="99"/>
    <w:rsid w:val="004B176E"/>
    <w:rPr>
      <w:sz w:val="20"/>
      <w:szCs w:val="20"/>
    </w:rPr>
  </w:style>
  <w:style w:type="paragraph" w:styleId="CommentSubject">
    <w:name w:val="annotation subject"/>
    <w:basedOn w:val="CommentText"/>
    <w:next w:val="CommentText"/>
    <w:link w:val="CommentSubjectChar"/>
    <w:uiPriority w:val="99"/>
    <w:semiHidden/>
    <w:unhideWhenUsed/>
    <w:rsid w:val="004B176E"/>
    <w:rPr>
      <w:b/>
      <w:bCs/>
    </w:rPr>
  </w:style>
  <w:style w:type="character" w:customStyle="1" w:styleId="CommentSubjectChar">
    <w:name w:val="Comment Subject Char"/>
    <w:basedOn w:val="CommentTextChar"/>
    <w:link w:val="CommentSubject"/>
    <w:uiPriority w:val="99"/>
    <w:semiHidden/>
    <w:rsid w:val="004B176E"/>
    <w:rPr>
      <w:b/>
      <w:bCs/>
      <w:sz w:val="20"/>
      <w:szCs w:val="20"/>
    </w:rPr>
  </w:style>
  <w:style w:type="paragraph" w:styleId="NormalWeb">
    <w:name w:val="Normal (Web)"/>
    <w:basedOn w:val="Normal"/>
    <w:uiPriority w:val="99"/>
    <w:unhideWhenUsed/>
    <w:rsid w:val="00C175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17543"/>
    <w:rPr>
      <w:i/>
      <w:iCs/>
    </w:rPr>
  </w:style>
  <w:style w:type="character" w:styleId="FollowedHyperlink">
    <w:name w:val="FollowedHyperlink"/>
    <w:basedOn w:val="DefaultParagraphFont"/>
    <w:uiPriority w:val="99"/>
    <w:semiHidden/>
    <w:unhideWhenUsed/>
    <w:rsid w:val="00C810A5"/>
    <w:rPr>
      <w:color w:val="954F72" w:themeColor="followedHyperlink"/>
      <w:u w:val="single"/>
    </w:rPr>
  </w:style>
  <w:style w:type="paragraph" w:styleId="EndnoteText">
    <w:name w:val="endnote text"/>
    <w:basedOn w:val="Normal"/>
    <w:link w:val="EndnoteTextChar"/>
    <w:uiPriority w:val="99"/>
    <w:unhideWhenUsed/>
    <w:rsid w:val="00167A9B"/>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rsid w:val="00167A9B"/>
    <w:rPr>
      <w:rFonts w:ascii="Times New Roman" w:eastAsia="Times New Roman" w:hAnsi="Times New Roman" w:cs="Times New Roman"/>
      <w:sz w:val="20"/>
      <w:szCs w:val="20"/>
      <w:lang w:val="en-US"/>
    </w:rPr>
  </w:style>
  <w:style w:type="character" w:styleId="EndnoteReference">
    <w:name w:val="endnote reference"/>
    <w:uiPriority w:val="99"/>
    <w:semiHidden/>
    <w:unhideWhenUsed/>
    <w:rsid w:val="00167A9B"/>
    <w:rPr>
      <w:vertAlign w:val="superscript"/>
    </w:rPr>
  </w:style>
  <w:style w:type="paragraph" w:customStyle="1" w:styleId="paragraph">
    <w:name w:val="paragraph"/>
    <w:basedOn w:val="Normal"/>
    <w:rsid w:val="004434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434E7"/>
  </w:style>
  <w:style w:type="character" w:customStyle="1" w:styleId="eop">
    <w:name w:val="eop"/>
    <w:basedOn w:val="DefaultParagraphFont"/>
    <w:rsid w:val="004434E7"/>
  </w:style>
  <w:style w:type="character" w:customStyle="1" w:styleId="Heading1Char">
    <w:name w:val="Heading 1 Char"/>
    <w:basedOn w:val="DefaultParagraphFont"/>
    <w:link w:val="Heading1"/>
    <w:uiPriority w:val="9"/>
    <w:rsid w:val="002347D0"/>
    <w:rPr>
      <w:rFonts w:ascii="Proxima Nova" w:eastAsiaTheme="majorEastAsia" w:hAnsi="Proxima Nova" w:cstheme="majorBidi"/>
      <w:color w:val="003B3A"/>
      <w:sz w:val="100"/>
      <w:szCs w:val="100"/>
    </w:rPr>
  </w:style>
  <w:style w:type="character" w:customStyle="1" w:styleId="Heading2Char">
    <w:name w:val="Heading 2 Char"/>
    <w:basedOn w:val="DefaultParagraphFont"/>
    <w:link w:val="Heading2"/>
    <w:uiPriority w:val="9"/>
    <w:rsid w:val="00B522F2"/>
    <w:rPr>
      <w:rFonts w:ascii="Proxima Nova" w:hAnsi="Proxima Nova" w:cs="Proxima Nova"/>
      <w:color w:val="004346"/>
      <w:sz w:val="52"/>
      <w:szCs w:val="52"/>
      <w:lang w:val="en-US"/>
    </w:rPr>
  </w:style>
  <w:style w:type="paragraph" w:customStyle="1" w:styleId="Bullets">
    <w:name w:val="Bullets"/>
    <w:basedOn w:val="ListParagraph"/>
    <w:uiPriority w:val="99"/>
    <w:rsid w:val="00320F31"/>
    <w:pPr>
      <w:numPr>
        <w:numId w:val="5"/>
      </w:numPr>
      <w:suppressAutoHyphens/>
      <w:autoSpaceDE w:val="0"/>
      <w:autoSpaceDN w:val="0"/>
      <w:adjustRightInd w:val="0"/>
      <w:spacing w:after="240"/>
      <w:contextualSpacing w:val="0"/>
      <w:textAlignment w:val="center"/>
    </w:pPr>
    <w:rPr>
      <w:rFonts w:cs="Proxima Nova Semibold"/>
      <w:color w:val="004346"/>
      <w:szCs w:val="28"/>
      <w:lang w:val="en-US"/>
    </w:rPr>
  </w:style>
  <w:style w:type="paragraph" w:customStyle="1" w:styleId="H1">
    <w:name w:val="H1"/>
    <w:basedOn w:val="Normal"/>
    <w:uiPriority w:val="99"/>
    <w:rsid w:val="00320F31"/>
    <w:pPr>
      <w:suppressAutoHyphens/>
      <w:autoSpaceDE w:val="0"/>
      <w:autoSpaceDN w:val="0"/>
      <w:adjustRightInd w:val="0"/>
      <w:spacing w:after="340" w:line="860" w:lineRule="atLeast"/>
      <w:textAlignment w:val="center"/>
    </w:pPr>
    <w:rPr>
      <w:rFonts w:cs="Proxima Nova"/>
      <w:color w:val="004346"/>
      <w:sz w:val="88"/>
      <w:szCs w:val="88"/>
      <w:lang w:val="en-US"/>
    </w:rPr>
  </w:style>
  <w:style w:type="paragraph" w:customStyle="1" w:styleId="H2">
    <w:name w:val="H2"/>
    <w:basedOn w:val="Normal"/>
    <w:uiPriority w:val="99"/>
    <w:rsid w:val="00186B50"/>
    <w:pPr>
      <w:suppressAutoHyphens/>
      <w:autoSpaceDE w:val="0"/>
      <w:autoSpaceDN w:val="0"/>
      <w:adjustRightInd w:val="0"/>
      <w:spacing w:after="340"/>
      <w:textAlignment w:val="center"/>
    </w:pPr>
    <w:rPr>
      <w:rFonts w:cs="Proxima Nova"/>
      <w:color w:val="004346"/>
      <w:sz w:val="52"/>
      <w:szCs w:val="52"/>
      <w:lang w:val="en-US"/>
    </w:rPr>
  </w:style>
  <w:style w:type="character" w:customStyle="1" w:styleId="Heading3Char">
    <w:name w:val="Heading 3 Char"/>
    <w:basedOn w:val="DefaultParagraphFont"/>
    <w:link w:val="Heading3"/>
    <w:uiPriority w:val="9"/>
    <w:rsid w:val="00B522F2"/>
    <w:rPr>
      <w:rFonts w:ascii="Proxima Nova" w:eastAsiaTheme="majorEastAsia" w:hAnsi="Proxima Nova" w:cstheme="majorBidi"/>
      <w:b/>
      <w:bCs/>
      <w:color w:val="003B3A"/>
      <w:sz w:val="36"/>
      <w:szCs w:val="36"/>
    </w:rPr>
  </w:style>
  <w:style w:type="paragraph" w:customStyle="1" w:styleId="ArticleHeading">
    <w:name w:val="Article Heading"/>
    <w:basedOn w:val="Heading2"/>
    <w:qFormat/>
    <w:rsid w:val="00B522F2"/>
    <w:pPr>
      <w:spacing w:before="560" w:after="280"/>
    </w:pPr>
    <w:rPr>
      <w:sz w:val="44"/>
      <w:szCs w:val="44"/>
    </w:rPr>
  </w:style>
  <w:style w:type="paragraph" w:customStyle="1" w:styleId="Numberlist">
    <w:name w:val="Number list"/>
    <w:basedOn w:val="NormalWeb"/>
    <w:qFormat/>
    <w:rsid w:val="00275905"/>
    <w:pPr>
      <w:numPr>
        <w:numId w:val="7"/>
      </w:numPr>
      <w:shd w:val="clear" w:color="auto" w:fill="FFFFFF"/>
      <w:spacing w:before="0" w:beforeAutospacing="0" w:after="390" w:afterAutospacing="0" w:line="300" w:lineRule="auto"/>
    </w:pPr>
    <w:rPr>
      <w:rFonts w:ascii="Proxima Nova" w:hAnsi="Proxima Nova" w:cstheme="minorHAnsi"/>
      <w:color w:val="222222"/>
      <w:sz w:val="28"/>
      <w:szCs w:val="28"/>
    </w:rPr>
  </w:style>
  <w:style w:type="paragraph" w:customStyle="1" w:styleId="SingleTxtG">
    <w:name w:val="_ Single Txt_G"/>
    <w:basedOn w:val="Normal"/>
    <w:link w:val="SingleTxtGChar"/>
    <w:rsid w:val="000C6674"/>
    <w:pPr>
      <w:suppressAutoHyphens/>
      <w:spacing w:after="120" w:line="240" w:lineRule="atLeast"/>
      <w:ind w:left="1134" w:right="1134"/>
      <w:jc w:val="both"/>
    </w:pPr>
    <w:rPr>
      <w:rFonts w:ascii="Times New Roman" w:eastAsia="SimSun" w:hAnsi="Times New Roman" w:cs="Times New Roman"/>
      <w:sz w:val="20"/>
      <w:szCs w:val="20"/>
      <w:lang w:eastAsia="zh-CN"/>
    </w:rPr>
  </w:style>
  <w:style w:type="character" w:customStyle="1" w:styleId="SingleTxtGChar">
    <w:name w:val="_ Single Txt_G Char"/>
    <w:basedOn w:val="DefaultParagraphFont"/>
    <w:link w:val="SingleTxtG"/>
    <w:rsid w:val="000C6674"/>
    <w:rPr>
      <w:rFonts w:ascii="Times New Roman" w:eastAsia="SimSun" w:hAnsi="Times New Roman" w:cs="Times New Roman"/>
      <w:sz w:val="20"/>
      <w:szCs w:val="20"/>
      <w:lang w:eastAsia="zh-CN"/>
    </w:rPr>
  </w:style>
  <w:style w:type="character" w:customStyle="1" w:styleId="apple-converted-space">
    <w:name w:val="apple-converted-space"/>
    <w:basedOn w:val="DefaultParagraphFont"/>
    <w:rsid w:val="000C6674"/>
  </w:style>
  <w:style w:type="character" w:styleId="Strong">
    <w:name w:val="Strong"/>
    <w:basedOn w:val="DefaultParagraphFont"/>
    <w:uiPriority w:val="22"/>
    <w:qFormat/>
    <w:rsid w:val="000C6674"/>
    <w:rPr>
      <w:b/>
      <w:bCs/>
    </w:rPr>
  </w:style>
  <w:style w:type="paragraph" w:customStyle="1" w:styleId="Annextableheading">
    <w:name w:val="Annex table heading"/>
    <w:basedOn w:val="Heading3"/>
    <w:qFormat/>
    <w:rsid w:val="000C6674"/>
    <w:pPr>
      <w:framePr w:hSpace="180" w:wrap="around" w:vAnchor="text" w:hAnchor="margin" w:y="482"/>
      <w:spacing w:before="0"/>
    </w:pPr>
    <w:rPr>
      <w:sz w:val="28"/>
      <w:szCs w:val="28"/>
    </w:rPr>
  </w:style>
  <w:style w:type="character" w:customStyle="1" w:styleId="Heading4Char">
    <w:name w:val="Heading 4 Char"/>
    <w:basedOn w:val="DefaultParagraphFont"/>
    <w:link w:val="Heading4"/>
    <w:uiPriority w:val="9"/>
    <w:semiHidden/>
    <w:rsid w:val="00186B50"/>
    <w:rPr>
      <w:rFonts w:asciiTheme="majorHAnsi" w:eastAsiaTheme="majorEastAsia" w:hAnsiTheme="majorHAnsi" w:cstheme="majorBidi"/>
      <w:i/>
      <w:iCs/>
      <w:color w:val="2F5496" w:themeColor="accent1" w:themeShade="BF"/>
      <w:sz w:val="28"/>
    </w:rPr>
  </w:style>
  <w:style w:type="paragraph" w:styleId="TOC2">
    <w:name w:val="toc 2"/>
    <w:basedOn w:val="Normal"/>
    <w:next w:val="Normal"/>
    <w:autoRedefine/>
    <w:uiPriority w:val="39"/>
    <w:unhideWhenUsed/>
    <w:rsid w:val="0026309F"/>
    <w:pPr>
      <w:tabs>
        <w:tab w:val="right" w:leader="dot" w:pos="9174"/>
      </w:tabs>
      <w:spacing w:after="80"/>
      <w:ind w:left="280"/>
    </w:pPr>
  </w:style>
  <w:style w:type="paragraph" w:styleId="TOC1">
    <w:name w:val="toc 1"/>
    <w:basedOn w:val="Normal"/>
    <w:next w:val="Normal"/>
    <w:autoRedefine/>
    <w:uiPriority w:val="39"/>
    <w:unhideWhenUsed/>
    <w:rsid w:val="0026309F"/>
    <w:pPr>
      <w:tabs>
        <w:tab w:val="right" w:leader="dot" w:pos="9174"/>
      </w:tabs>
      <w:spacing w:after="100"/>
    </w:pPr>
    <w:rPr>
      <w:b/>
      <w:bCs/>
      <w:noProof/>
      <w:color w:val="003B3A"/>
    </w:rPr>
  </w:style>
  <w:style w:type="paragraph" w:styleId="NoSpacing">
    <w:name w:val="No Spacing"/>
    <w:link w:val="NoSpacingChar"/>
    <w:uiPriority w:val="1"/>
    <w:qFormat/>
    <w:rsid w:val="0026309F"/>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26309F"/>
    <w:rPr>
      <w:rFonts w:eastAsiaTheme="minorEastAsia"/>
      <w:lang w:val="en-US" w:eastAsia="zh-C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rsid w:val="006D009E"/>
    <w:pPr>
      <w:spacing w:line="240" w:lineRule="exact"/>
      <w:jc w:val="both"/>
    </w:pPr>
    <w:rPr>
      <w:vertAlign w:val="superscript"/>
      <w:lang w:eastAsia="en-GB"/>
    </w:rPr>
  </w:style>
  <w:style w:type="paragraph" w:customStyle="1" w:styleId="msonormal0">
    <w:name w:val="msonormal"/>
    <w:basedOn w:val="Normal"/>
    <w:rsid w:val="006D00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6D009E"/>
    <w:pP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6D009E"/>
    <w:pP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7">
    <w:name w:val="xl67"/>
    <w:basedOn w:val="Normal"/>
    <w:rsid w:val="006D009E"/>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8">
    <w:name w:val="xl68"/>
    <w:basedOn w:val="Normal"/>
    <w:rsid w:val="006D00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6D009E"/>
    <w:pP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0">
    <w:name w:val="xl70"/>
    <w:basedOn w:val="Normal"/>
    <w:rsid w:val="006D009E"/>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1">
    <w:name w:val="xl71"/>
    <w:basedOn w:val="Normal"/>
    <w:rsid w:val="006D009E"/>
    <w:pP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6D0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 5"/>
    <w:basedOn w:val="Normal"/>
    <w:qFormat/>
    <w:rsid w:val="006D009E"/>
    <w:pPr>
      <w:spacing w:before="280"/>
    </w:pPr>
    <w:rPr>
      <w:b/>
      <w:color w:val="003B3A"/>
      <w:sz w:val="32"/>
      <w:szCs w:val="32"/>
      <w:lang w:eastAsia="en-GB"/>
    </w:rPr>
  </w:style>
  <w:style w:type="paragraph" w:customStyle="1" w:styleId="Quotes">
    <w:name w:val="Quotes"/>
    <w:basedOn w:val="Normal"/>
    <w:qFormat/>
    <w:rsid w:val="006D009E"/>
    <w:pPr>
      <w:ind w:left="720"/>
    </w:pPr>
    <w:rPr>
      <w:color w:val="003B3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916">
      <w:bodyDiv w:val="1"/>
      <w:marLeft w:val="0"/>
      <w:marRight w:val="0"/>
      <w:marTop w:val="0"/>
      <w:marBottom w:val="0"/>
      <w:divBdr>
        <w:top w:val="none" w:sz="0" w:space="0" w:color="auto"/>
        <w:left w:val="none" w:sz="0" w:space="0" w:color="auto"/>
        <w:bottom w:val="none" w:sz="0" w:space="0" w:color="auto"/>
        <w:right w:val="none" w:sz="0" w:space="0" w:color="auto"/>
      </w:divBdr>
    </w:div>
    <w:div w:id="18969888">
      <w:bodyDiv w:val="1"/>
      <w:marLeft w:val="0"/>
      <w:marRight w:val="0"/>
      <w:marTop w:val="0"/>
      <w:marBottom w:val="0"/>
      <w:divBdr>
        <w:top w:val="none" w:sz="0" w:space="0" w:color="auto"/>
        <w:left w:val="none" w:sz="0" w:space="0" w:color="auto"/>
        <w:bottom w:val="none" w:sz="0" w:space="0" w:color="auto"/>
        <w:right w:val="none" w:sz="0" w:space="0" w:color="auto"/>
      </w:divBdr>
    </w:div>
    <w:div w:id="134756594">
      <w:bodyDiv w:val="1"/>
      <w:marLeft w:val="0"/>
      <w:marRight w:val="0"/>
      <w:marTop w:val="0"/>
      <w:marBottom w:val="0"/>
      <w:divBdr>
        <w:top w:val="none" w:sz="0" w:space="0" w:color="auto"/>
        <w:left w:val="none" w:sz="0" w:space="0" w:color="auto"/>
        <w:bottom w:val="none" w:sz="0" w:space="0" w:color="auto"/>
        <w:right w:val="none" w:sz="0" w:space="0" w:color="auto"/>
      </w:divBdr>
    </w:div>
    <w:div w:id="238684954">
      <w:bodyDiv w:val="1"/>
      <w:marLeft w:val="0"/>
      <w:marRight w:val="0"/>
      <w:marTop w:val="0"/>
      <w:marBottom w:val="0"/>
      <w:divBdr>
        <w:top w:val="none" w:sz="0" w:space="0" w:color="auto"/>
        <w:left w:val="none" w:sz="0" w:space="0" w:color="auto"/>
        <w:bottom w:val="none" w:sz="0" w:space="0" w:color="auto"/>
        <w:right w:val="none" w:sz="0" w:space="0" w:color="auto"/>
      </w:divBdr>
    </w:div>
    <w:div w:id="272908268">
      <w:bodyDiv w:val="1"/>
      <w:marLeft w:val="0"/>
      <w:marRight w:val="0"/>
      <w:marTop w:val="0"/>
      <w:marBottom w:val="0"/>
      <w:divBdr>
        <w:top w:val="none" w:sz="0" w:space="0" w:color="auto"/>
        <w:left w:val="none" w:sz="0" w:space="0" w:color="auto"/>
        <w:bottom w:val="none" w:sz="0" w:space="0" w:color="auto"/>
        <w:right w:val="none" w:sz="0" w:space="0" w:color="auto"/>
      </w:divBdr>
    </w:div>
    <w:div w:id="283511447">
      <w:bodyDiv w:val="1"/>
      <w:marLeft w:val="0"/>
      <w:marRight w:val="0"/>
      <w:marTop w:val="0"/>
      <w:marBottom w:val="0"/>
      <w:divBdr>
        <w:top w:val="none" w:sz="0" w:space="0" w:color="auto"/>
        <w:left w:val="none" w:sz="0" w:space="0" w:color="auto"/>
        <w:bottom w:val="none" w:sz="0" w:space="0" w:color="auto"/>
        <w:right w:val="none" w:sz="0" w:space="0" w:color="auto"/>
      </w:divBdr>
    </w:div>
    <w:div w:id="375356546">
      <w:bodyDiv w:val="1"/>
      <w:marLeft w:val="0"/>
      <w:marRight w:val="0"/>
      <w:marTop w:val="0"/>
      <w:marBottom w:val="0"/>
      <w:divBdr>
        <w:top w:val="none" w:sz="0" w:space="0" w:color="auto"/>
        <w:left w:val="none" w:sz="0" w:space="0" w:color="auto"/>
        <w:bottom w:val="none" w:sz="0" w:space="0" w:color="auto"/>
        <w:right w:val="none" w:sz="0" w:space="0" w:color="auto"/>
      </w:divBdr>
    </w:div>
    <w:div w:id="416899664">
      <w:bodyDiv w:val="1"/>
      <w:marLeft w:val="0"/>
      <w:marRight w:val="0"/>
      <w:marTop w:val="0"/>
      <w:marBottom w:val="0"/>
      <w:divBdr>
        <w:top w:val="none" w:sz="0" w:space="0" w:color="auto"/>
        <w:left w:val="none" w:sz="0" w:space="0" w:color="auto"/>
        <w:bottom w:val="none" w:sz="0" w:space="0" w:color="auto"/>
        <w:right w:val="none" w:sz="0" w:space="0" w:color="auto"/>
      </w:divBdr>
    </w:div>
    <w:div w:id="460224773">
      <w:bodyDiv w:val="1"/>
      <w:marLeft w:val="0"/>
      <w:marRight w:val="0"/>
      <w:marTop w:val="0"/>
      <w:marBottom w:val="0"/>
      <w:divBdr>
        <w:top w:val="none" w:sz="0" w:space="0" w:color="auto"/>
        <w:left w:val="none" w:sz="0" w:space="0" w:color="auto"/>
        <w:bottom w:val="none" w:sz="0" w:space="0" w:color="auto"/>
        <w:right w:val="none" w:sz="0" w:space="0" w:color="auto"/>
      </w:divBdr>
    </w:div>
    <w:div w:id="466237766">
      <w:bodyDiv w:val="1"/>
      <w:marLeft w:val="0"/>
      <w:marRight w:val="0"/>
      <w:marTop w:val="0"/>
      <w:marBottom w:val="0"/>
      <w:divBdr>
        <w:top w:val="none" w:sz="0" w:space="0" w:color="auto"/>
        <w:left w:val="none" w:sz="0" w:space="0" w:color="auto"/>
        <w:bottom w:val="none" w:sz="0" w:space="0" w:color="auto"/>
        <w:right w:val="none" w:sz="0" w:space="0" w:color="auto"/>
      </w:divBdr>
    </w:div>
    <w:div w:id="567613999">
      <w:bodyDiv w:val="1"/>
      <w:marLeft w:val="0"/>
      <w:marRight w:val="0"/>
      <w:marTop w:val="0"/>
      <w:marBottom w:val="0"/>
      <w:divBdr>
        <w:top w:val="none" w:sz="0" w:space="0" w:color="auto"/>
        <w:left w:val="none" w:sz="0" w:space="0" w:color="auto"/>
        <w:bottom w:val="none" w:sz="0" w:space="0" w:color="auto"/>
        <w:right w:val="none" w:sz="0" w:space="0" w:color="auto"/>
      </w:divBdr>
    </w:div>
    <w:div w:id="603658588">
      <w:bodyDiv w:val="1"/>
      <w:marLeft w:val="0"/>
      <w:marRight w:val="0"/>
      <w:marTop w:val="0"/>
      <w:marBottom w:val="0"/>
      <w:divBdr>
        <w:top w:val="none" w:sz="0" w:space="0" w:color="auto"/>
        <w:left w:val="none" w:sz="0" w:space="0" w:color="auto"/>
        <w:bottom w:val="none" w:sz="0" w:space="0" w:color="auto"/>
        <w:right w:val="none" w:sz="0" w:space="0" w:color="auto"/>
      </w:divBdr>
    </w:div>
    <w:div w:id="613946871">
      <w:bodyDiv w:val="1"/>
      <w:marLeft w:val="0"/>
      <w:marRight w:val="0"/>
      <w:marTop w:val="0"/>
      <w:marBottom w:val="0"/>
      <w:divBdr>
        <w:top w:val="none" w:sz="0" w:space="0" w:color="auto"/>
        <w:left w:val="none" w:sz="0" w:space="0" w:color="auto"/>
        <w:bottom w:val="none" w:sz="0" w:space="0" w:color="auto"/>
        <w:right w:val="none" w:sz="0" w:space="0" w:color="auto"/>
      </w:divBdr>
    </w:div>
    <w:div w:id="703677135">
      <w:bodyDiv w:val="1"/>
      <w:marLeft w:val="0"/>
      <w:marRight w:val="0"/>
      <w:marTop w:val="0"/>
      <w:marBottom w:val="0"/>
      <w:divBdr>
        <w:top w:val="none" w:sz="0" w:space="0" w:color="auto"/>
        <w:left w:val="none" w:sz="0" w:space="0" w:color="auto"/>
        <w:bottom w:val="none" w:sz="0" w:space="0" w:color="auto"/>
        <w:right w:val="none" w:sz="0" w:space="0" w:color="auto"/>
      </w:divBdr>
    </w:div>
    <w:div w:id="712773482">
      <w:bodyDiv w:val="1"/>
      <w:marLeft w:val="0"/>
      <w:marRight w:val="0"/>
      <w:marTop w:val="0"/>
      <w:marBottom w:val="0"/>
      <w:divBdr>
        <w:top w:val="none" w:sz="0" w:space="0" w:color="auto"/>
        <w:left w:val="none" w:sz="0" w:space="0" w:color="auto"/>
        <w:bottom w:val="none" w:sz="0" w:space="0" w:color="auto"/>
        <w:right w:val="none" w:sz="0" w:space="0" w:color="auto"/>
      </w:divBdr>
    </w:div>
    <w:div w:id="734014447">
      <w:bodyDiv w:val="1"/>
      <w:marLeft w:val="0"/>
      <w:marRight w:val="0"/>
      <w:marTop w:val="0"/>
      <w:marBottom w:val="0"/>
      <w:divBdr>
        <w:top w:val="none" w:sz="0" w:space="0" w:color="auto"/>
        <w:left w:val="none" w:sz="0" w:space="0" w:color="auto"/>
        <w:bottom w:val="none" w:sz="0" w:space="0" w:color="auto"/>
        <w:right w:val="none" w:sz="0" w:space="0" w:color="auto"/>
      </w:divBdr>
    </w:div>
    <w:div w:id="946814067">
      <w:bodyDiv w:val="1"/>
      <w:marLeft w:val="0"/>
      <w:marRight w:val="0"/>
      <w:marTop w:val="0"/>
      <w:marBottom w:val="0"/>
      <w:divBdr>
        <w:top w:val="none" w:sz="0" w:space="0" w:color="auto"/>
        <w:left w:val="none" w:sz="0" w:space="0" w:color="auto"/>
        <w:bottom w:val="none" w:sz="0" w:space="0" w:color="auto"/>
        <w:right w:val="none" w:sz="0" w:space="0" w:color="auto"/>
      </w:divBdr>
    </w:div>
    <w:div w:id="1029334829">
      <w:bodyDiv w:val="1"/>
      <w:marLeft w:val="0"/>
      <w:marRight w:val="0"/>
      <w:marTop w:val="0"/>
      <w:marBottom w:val="0"/>
      <w:divBdr>
        <w:top w:val="none" w:sz="0" w:space="0" w:color="auto"/>
        <w:left w:val="none" w:sz="0" w:space="0" w:color="auto"/>
        <w:bottom w:val="none" w:sz="0" w:space="0" w:color="auto"/>
        <w:right w:val="none" w:sz="0" w:space="0" w:color="auto"/>
      </w:divBdr>
    </w:div>
    <w:div w:id="1267039856">
      <w:bodyDiv w:val="1"/>
      <w:marLeft w:val="0"/>
      <w:marRight w:val="0"/>
      <w:marTop w:val="0"/>
      <w:marBottom w:val="0"/>
      <w:divBdr>
        <w:top w:val="none" w:sz="0" w:space="0" w:color="auto"/>
        <w:left w:val="none" w:sz="0" w:space="0" w:color="auto"/>
        <w:bottom w:val="none" w:sz="0" w:space="0" w:color="auto"/>
        <w:right w:val="none" w:sz="0" w:space="0" w:color="auto"/>
      </w:divBdr>
    </w:div>
    <w:div w:id="1486160360">
      <w:bodyDiv w:val="1"/>
      <w:marLeft w:val="0"/>
      <w:marRight w:val="0"/>
      <w:marTop w:val="0"/>
      <w:marBottom w:val="0"/>
      <w:divBdr>
        <w:top w:val="none" w:sz="0" w:space="0" w:color="auto"/>
        <w:left w:val="none" w:sz="0" w:space="0" w:color="auto"/>
        <w:bottom w:val="none" w:sz="0" w:space="0" w:color="auto"/>
        <w:right w:val="none" w:sz="0" w:space="0" w:color="auto"/>
      </w:divBdr>
    </w:div>
    <w:div w:id="1637494240">
      <w:bodyDiv w:val="1"/>
      <w:marLeft w:val="0"/>
      <w:marRight w:val="0"/>
      <w:marTop w:val="0"/>
      <w:marBottom w:val="0"/>
      <w:divBdr>
        <w:top w:val="none" w:sz="0" w:space="0" w:color="auto"/>
        <w:left w:val="none" w:sz="0" w:space="0" w:color="auto"/>
        <w:bottom w:val="none" w:sz="0" w:space="0" w:color="auto"/>
        <w:right w:val="none" w:sz="0" w:space="0" w:color="auto"/>
      </w:divBdr>
    </w:div>
    <w:div w:id="1645282442">
      <w:bodyDiv w:val="1"/>
      <w:marLeft w:val="0"/>
      <w:marRight w:val="0"/>
      <w:marTop w:val="0"/>
      <w:marBottom w:val="0"/>
      <w:divBdr>
        <w:top w:val="none" w:sz="0" w:space="0" w:color="auto"/>
        <w:left w:val="none" w:sz="0" w:space="0" w:color="auto"/>
        <w:bottom w:val="none" w:sz="0" w:space="0" w:color="auto"/>
        <w:right w:val="none" w:sz="0" w:space="0" w:color="auto"/>
      </w:divBdr>
    </w:div>
    <w:div w:id="1842039365">
      <w:bodyDiv w:val="1"/>
      <w:marLeft w:val="0"/>
      <w:marRight w:val="0"/>
      <w:marTop w:val="0"/>
      <w:marBottom w:val="0"/>
      <w:divBdr>
        <w:top w:val="none" w:sz="0" w:space="0" w:color="auto"/>
        <w:left w:val="none" w:sz="0" w:space="0" w:color="auto"/>
        <w:bottom w:val="none" w:sz="0" w:space="0" w:color="auto"/>
        <w:right w:val="none" w:sz="0" w:space="0" w:color="auto"/>
      </w:divBdr>
    </w:div>
    <w:div w:id="1940023344">
      <w:bodyDiv w:val="1"/>
      <w:marLeft w:val="0"/>
      <w:marRight w:val="0"/>
      <w:marTop w:val="0"/>
      <w:marBottom w:val="0"/>
      <w:divBdr>
        <w:top w:val="none" w:sz="0" w:space="0" w:color="auto"/>
        <w:left w:val="none" w:sz="0" w:space="0" w:color="auto"/>
        <w:bottom w:val="none" w:sz="0" w:space="0" w:color="auto"/>
        <w:right w:val="none" w:sz="0" w:space="0" w:color="auto"/>
      </w:divBdr>
    </w:div>
    <w:div w:id="2059812890">
      <w:bodyDiv w:val="1"/>
      <w:marLeft w:val="0"/>
      <w:marRight w:val="0"/>
      <w:marTop w:val="0"/>
      <w:marBottom w:val="0"/>
      <w:divBdr>
        <w:top w:val="none" w:sz="0" w:space="0" w:color="auto"/>
        <w:left w:val="none" w:sz="0" w:space="0" w:color="auto"/>
        <w:bottom w:val="none" w:sz="0" w:space="0" w:color="auto"/>
        <w:right w:val="none" w:sz="0" w:space="0" w:color="auto"/>
      </w:divBdr>
    </w:div>
    <w:div w:id="212770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ullfact.org/health/coronavirus-care-homes-discharge/" TargetMode="External"/><Relationship Id="rId21" Type="http://schemas.openxmlformats.org/officeDocument/2006/relationships/hyperlink" Target="https://www.bailii.org/ew/cases/EWCA/Civ/2020/37.html" TargetMode="External"/><Relationship Id="rId42" Type="http://schemas.openxmlformats.org/officeDocument/2006/relationships/hyperlink" Target="https://www.lgo.org.uk/decisions/adult-care-services/charging/21-004-025" TargetMode="External"/><Relationship Id="rId47" Type="http://schemas.openxmlformats.org/officeDocument/2006/relationships/hyperlink" Target="https://www.lgo.org.uk/decisions/adult-care-services/direct-payments/20-006-064" TargetMode="External"/><Relationship Id="rId63" Type="http://schemas.openxmlformats.org/officeDocument/2006/relationships/hyperlink" Target="https://www.lgo.org.uk/decisions/adult-care-services/residential-care/21-002-603" TargetMode="External"/><Relationship Id="rId68" Type="http://schemas.openxmlformats.org/officeDocument/2006/relationships/hyperlink" Target="mailto:Kamran.Mallick@disabilityrightsuk.org" TargetMode="External"/><Relationship Id="rId84" Type="http://schemas.openxmlformats.org/officeDocument/2006/relationships/hyperlink" Target="https://www.judiciary.uk/wp-content/uploads/2021/02/Phillipa-Day-2021-0043.pdf" TargetMode="External"/><Relationship Id="rId89" Type="http://schemas.openxmlformats.org/officeDocument/2006/relationships/hyperlink" Target="https://assets.publishing.service.gov.uk/government/uploads/system/uploads/attachment_data/file/1026729/ice-dwp-annual-report-2020-2021.pdf" TargetMode="External"/><Relationship Id="rId112" Type="http://schemas.openxmlformats.org/officeDocument/2006/relationships/hyperlink" Target="https://www.disabilitynewsservice.com/coronavirus-new-nhs-guidance-leaves-door-open-to-dangerous-discrimination/" TargetMode="External"/><Relationship Id="rId16" Type="http://schemas.openxmlformats.org/officeDocument/2006/relationships/hyperlink" Target="https://www.bailii.org/ew/cases/EWCA/Civ/2017/1308.html" TargetMode="External"/><Relationship Id="rId107" Type="http://schemas.openxmlformats.org/officeDocument/2006/relationships/hyperlink" Target="https://www.disabilitynewsservice.com/coronavirus-disabled-people-say-shocking-new-laws-will-strip-away-rights/" TargetMode="External"/><Relationship Id="rId11" Type="http://schemas.openxmlformats.org/officeDocument/2006/relationships/hyperlink" Target="https://www.youtube.com/watch?app=desktop&amp;v=upqDI8EzJWU&amp;noredirect=1" TargetMode="External"/><Relationship Id="rId32" Type="http://schemas.openxmlformats.org/officeDocument/2006/relationships/hyperlink" Target="https://www.bailii.org/ew/cases/EWHC/Admin/2020/3416.html" TargetMode="External"/><Relationship Id="rId37" Type="http://schemas.openxmlformats.org/officeDocument/2006/relationships/hyperlink" Target="https://www.leighday.co.uk/latest-updates/news/2021-news/severely-disabled-man-challenges-halt-to-personal-independence-benefit-payments-after-28-days-in-hospital/" TargetMode="External"/><Relationship Id="rId53" Type="http://schemas.openxmlformats.org/officeDocument/2006/relationships/hyperlink" Target="https://www.lgo.org.uk/decisions/adult-care-services/covid-19/21-004-454" TargetMode="External"/><Relationship Id="rId58" Type="http://schemas.openxmlformats.org/officeDocument/2006/relationships/hyperlink" Target="https://www.lgo.org.uk/decisions/adult-care-services/residential-care/21-002-014" TargetMode="External"/><Relationship Id="rId74" Type="http://schemas.openxmlformats.org/officeDocument/2006/relationships/hyperlink" Target="https://www.derbytelegraph.co.uk/news/local-news/universal-credit-suicide-2753780" TargetMode="External"/><Relationship Id="rId79" Type="http://schemas.openxmlformats.org/officeDocument/2006/relationships/hyperlink" Target="https://www.theguardian.com/society/2019/feb/12/man-wins-fit-for-work-appeal-seven-months-after-his-death" TargetMode="External"/><Relationship Id="rId102" Type="http://schemas.openxmlformats.org/officeDocument/2006/relationships/hyperlink" Target="https://www.disabilitynewsservice.com/disabled-people-treated-as-afterthought-again-as-england-heads-into-second-lockdown/" TargetMode="External"/><Relationship Id="rId123" Type="http://schemas.openxmlformats.org/officeDocument/2006/relationships/hyperlink" Target="https://www.inclusionlondon.org.uk/uncrdp/shadow-report/annex-a/"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image" Target="media/image2.png"/><Relationship Id="rId95" Type="http://schemas.openxmlformats.org/officeDocument/2006/relationships/hyperlink" Target="https://www.theguardian.com/society/2022/jan/27/report-on-effectiveness-of-benefit-sanctions-blocked-by-dwp" TargetMode="External"/><Relationship Id="rId22" Type="http://schemas.openxmlformats.org/officeDocument/2006/relationships/hyperlink" Target="https://www.hja.net/expert-comments/blog/personal-injury/nice-amends-covid-19-critical-care-guideline-after-judicial-review-challenge/" TargetMode="External"/><Relationship Id="rId27" Type="http://schemas.openxmlformats.org/officeDocument/2006/relationships/hyperlink" Target="https://www.lawcentreni.org/case-digest/department-for-communities-and-department-for-work-and-pensions-v-lorraine-cox-2021-nica" TargetMode="External"/><Relationship Id="rId43" Type="http://schemas.openxmlformats.org/officeDocument/2006/relationships/hyperlink" Target="https://www.lgo.org.uk/decisions/adult-care-services/charging/21-000-172" TargetMode="External"/><Relationship Id="rId48" Type="http://schemas.openxmlformats.org/officeDocument/2006/relationships/hyperlink" Target="https://www.lgo.org.uk/decisions/adult-care-services/direct-payments/20-004-016" TargetMode="External"/><Relationship Id="rId64" Type="http://schemas.openxmlformats.org/officeDocument/2006/relationships/hyperlink" Target="https://www.lgo.org.uk/decisions/adult-care-services/safeguarding/20-012-901" TargetMode="External"/><Relationship Id="rId69" Type="http://schemas.openxmlformats.org/officeDocument/2006/relationships/image" Target="media/image1.png"/><Relationship Id="rId113" Type="http://schemas.openxmlformats.org/officeDocument/2006/relationships/hyperlink" Target="https://www.disabilitynewsservice.com/coronavirus-nhs-england-faces-legal-action-over-test-and-trace-access-flaws/" TargetMode="External"/><Relationship Id="rId118" Type="http://schemas.openxmlformats.org/officeDocument/2006/relationships/hyperlink" Target="https://www.disabilitynewsservice.com/coronavirus-scandalous-silence-of-governments-disability-unit-as-thousands-die/" TargetMode="External"/><Relationship Id="rId80" Type="http://schemas.openxmlformats.org/officeDocument/2006/relationships/hyperlink" Target="https://www.grimsbytelegraph.co.uk/news/universal-credit-killed-dad-grieving-1850447" TargetMode="External"/><Relationship Id="rId85" Type="http://schemas.openxmlformats.org/officeDocument/2006/relationships/hyperlink" Target="https://www.disabilitynewsservice.com/coroner-dwp-must-act-after-it-told-severely-ill-patient-to-leave-hospital-to-make-claim/" TargetMode="External"/><Relationship Id="rId12" Type="http://schemas.openxmlformats.org/officeDocument/2006/relationships/hyperlink" Target="http://www.un.org/development/desa/disabilities/convention-on-the-rights-of-persons-with-disabilities/article-10-right-to-life.html" TargetMode="External"/><Relationship Id="rId17" Type="http://schemas.openxmlformats.org/officeDocument/2006/relationships/hyperlink" Target="https://www.bailii.org/ew/cases/EWHC/Admin/2017/3375.html" TargetMode="External"/><Relationship Id="rId33" Type="http://schemas.openxmlformats.org/officeDocument/2006/relationships/hyperlink" Target="https://www.leighday.co.uk/latest-updates/news/2021-news/visually-impaired-woman-secures-promises-from-government-to-change-pandemic-communications/" TargetMode="External"/><Relationship Id="rId38" Type="http://schemas.openxmlformats.org/officeDocument/2006/relationships/hyperlink" Target="https://www.leighday.co.uk/latest-updates/news/2021-news/disabled-swimmer-wins-permission-for-judicial-review-of-discriminatory-charges-at-hampstead-ponds/" TargetMode="External"/><Relationship Id="rId59" Type="http://schemas.openxmlformats.org/officeDocument/2006/relationships/hyperlink" Target="https://www.lgo.org.uk/decisions/adult-care-services/residential-care/21-001-669" TargetMode="External"/><Relationship Id="rId103" Type="http://schemas.openxmlformats.org/officeDocument/2006/relationships/hyperlink" Target="https://www.disabilitynewsservice.com/sickening-vaccine-priority-list-shows-disabled-people-are-disposable/" TargetMode="External"/><Relationship Id="rId108" Type="http://schemas.openxmlformats.org/officeDocument/2006/relationships/hyperlink" Target="https://www.disabilitynewsservice.com/coronavirus-call-for-inquiry-and-urgent-action-after-shocking-disability-death-stats/" TargetMode="External"/><Relationship Id="rId124" Type="http://schemas.openxmlformats.org/officeDocument/2006/relationships/hyperlink" Target="https://www.inclusionlondon.org.uk/uncrdp/shadow-report/annex-b/" TargetMode="External"/><Relationship Id="rId129" Type="http://schemas.openxmlformats.org/officeDocument/2006/relationships/theme" Target="theme/theme1.xml"/><Relationship Id="rId54" Type="http://schemas.openxmlformats.org/officeDocument/2006/relationships/hyperlink" Target="https://www.lgo.org.uk/decisions/adult-care-services/covid-19/21-000-120" TargetMode="External"/><Relationship Id="rId70" Type="http://schemas.openxmlformats.org/officeDocument/2006/relationships/hyperlink" Target="mailto:mb-sofs@dhsc.gov.uk" TargetMode="External"/><Relationship Id="rId75" Type="http://schemas.openxmlformats.org/officeDocument/2006/relationships/hyperlink" Target="https://www.theyworkforyou.com/whall/?id=2019-04-24c.325.1" TargetMode="External"/><Relationship Id="rId91" Type="http://schemas.openxmlformats.org/officeDocument/2006/relationships/image" Target="media/image3.png"/><Relationship Id="rId96" Type="http://schemas.openxmlformats.org/officeDocument/2006/relationships/hyperlink" Target="https://www.gov.uk/government/publications/department-for-work-and-pensions-outcome-delivery-plan/department-for-work-and-pensions-outcome-delivery-plan-2021-to-202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disabilitynewsservice.com/coronavirus-success-for-disabled-duo-after-nhs-england-backs-down-on-visitor-policy/" TargetMode="External"/><Relationship Id="rId28" Type="http://schemas.openxmlformats.org/officeDocument/2006/relationships/hyperlink" Target="https://www.judiciary.uk/wp-content/uploads/2021/07/R-on-the-application-of-Katherine-Rowley-v-Minister-for-the-Cabinet-Office.pdf" TargetMode="External"/><Relationship Id="rId49" Type="http://schemas.openxmlformats.org/officeDocument/2006/relationships/hyperlink" Target="https://www.lgo.org.uk/decisions/adult-care-services/direct-payments/20-013-237" TargetMode="External"/><Relationship Id="rId114" Type="http://schemas.openxmlformats.org/officeDocument/2006/relationships/hyperlink" Target="https://www.disabilitynewsservice.com/coronavirus-employers-of-pas-given-just-two-days-to-digest-vital-new-furlough-guidance/" TargetMode="External"/><Relationship Id="rId119" Type="http://schemas.openxmlformats.org/officeDocument/2006/relationships/hyperlink" Target="https://www.disabilitynewsservice.com/coronavirus-return-of-benefit-sanctions-in-middle-of-pandemic-is-barbaric/" TargetMode="External"/><Relationship Id="rId44" Type="http://schemas.openxmlformats.org/officeDocument/2006/relationships/hyperlink" Target="https://www.lgo.org.uk/decisions/adult-care-services/assessment-and-care-plan/20-013-640" TargetMode="External"/><Relationship Id="rId60" Type="http://schemas.openxmlformats.org/officeDocument/2006/relationships/hyperlink" Target="https://www.lgo.org.uk/decisions/adult-care-services/residential-care/20-014-467" TargetMode="External"/><Relationship Id="rId65" Type="http://schemas.openxmlformats.org/officeDocument/2006/relationships/hyperlink" Target="https://www.lgo.org.uk/decisions/adult-care-services/safeguarding/21-004-477" TargetMode="External"/><Relationship Id="rId81" Type="http://schemas.openxmlformats.org/officeDocument/2006/relationships/hyperlink" Target="https://www.leeds-live.co.uk/news/leeds-news/chronically-ill-leeds-dad-took-16386061" TargetMode="External"/><Relationship Id="rId86" Type="http://schemas.openxmlformats.org/officeDocument/2006/relationships/hyperlink" Target="https://www.theyworkforyou.com/whall/?id=2019-04-24c.325.1" TargetMode="External"/><Relationship Id="rId130" Type="http://schemas.openxmlformats.org/officeDocument/2006/relationships/customXml" Target="../customXml/item2.xml"/><Relationship Id="rId13" Type="http://schemas.openxmlformats.org/officeDocument/2006/relationships/hyperlink" Target="http://www.un.org/development/desa/disabilities/convention-on-the-rights-of-persons-with-disabilities/article-25-health.html" TargetMode="External"/><Relationship Id="rId18" Type="http://schemas.openxmlformats.org/officeDocument/2006/relationships/hyperlink" Target="https://www.leighday.co.uk/latest-updates/news/2019-news/successful-legal-challenge-to-governments-voting-provisions/" TargetMode="External"/><Relationship Id="rId39" Type="http://schemas.openxmlformats.org/officeDocument/2006/relationships/hyperlink" Target="https://www.bindmans.com/uploads/files/documents/Binder_v_SoS_for_Work_and_Pensions_2022_EWHC_105_(Admin).pdf" TargetMode="External"/><Relationship Id="rId109" Type="http://schemas.openxmlformats.org/officeDocument/2006/relationships/hyperlink" Target="https://www.disabilitynewsservice.com/coronavirus-kendall-promises-to-challenge-minister-over-lack-of-pa-guidance/" TargetMode="External"/><Relationship Id="rId34" Type="http://schemas.openxmlformats.org/officeDocument/2006/relationships/hyperlink" Target="https://www.disabilityrightsuk.org/news/2021/march/errol-graham-family-man-who-starved-death-after-benefits-cut-lose-high-court" TargetMode="External"/><Relationship Id="rId50" Type="http://schemas.openxmlformats.org/officeDocument/2006/relationships/hyperlink" Target="https://www.lgo.org.uk/decisions/adult-care-services/covid-19/20-014-404" TargetMode="External"/><Relationship Id="rId55" Type="http://schemas.openxmlformats.org/officeDocument/2006/relationships/hyperlink" Target="https://www.lgo.org.uk/decisions/adult-care-services/covid-19/20-012-796" TargetMode="External"/><Relationship Id="rId76" Type="http://schemas.openxmlformats.org/officeDocument/2006/relationships/hyperlink" Target="https://www.liverpoolecho.co.uk/news/liverpool-news/never-know-how-mother-found-14596792" TargetMode="External"/><Relationship Id="rId97" Type="http://schemas.openxmlformats.org/officeDocument/2006/relationships/hyperlink" Target="https://www.gov.uk/government/publications/dwp-claimant-service-and-experience-survey-2018-to-2019--2/claimant-service-and-experience-survey-2018-to-2019" TargetMode="External"/><Relationship Id="rId104" Type="http://schemas.openxmlformats.org/officeDocument/2006/relationships/hyperlink" Target="https://www.disabilitynewsservice.com/government-questioned-over-unforgivable-failures-on-vaccine-priority/" TargetMode="External"/><Relationship Id="rId120" Type="http://schemas.openxmlformats.org/officeDocument/2006/relationships/hyperlink" Target="https://www.disabilitynewsservice.com/coronavirus-government-travel-exemptions-ignore-needs-of-disabled-people-again/" TargetMode="External"/><Relationship Id="rId125" Type="http://schemas.openxmlformats.org/officeDocument/2006/relationships/hyperlink" Target="https://www.inclusionlondon.org.uk/uncrdp/shadow-report/annex-c/" TargetMode="External"/><Relationship Id="rId7" Type="http://schemas.openxmlformats.org/officeDocument/2006/relationships/endnotes" Target="endnotes.xml"/><Relationship Id="rId71" Type="http://schemas.openxmlformats.org/officeDocument/2006/relationships/hyperlink" Target="https://committees.parliament.uk/oralevidence/1630/pdf/" TargetMode="External"/><Relationship Id="rId92" Type="http://schemas.openxmlformats.org/officeDocument/2006/relationships/hyperlink" Target="https://www.gov.uk/government/statistics/esa-outcomes-of-work-capability-assessments-including-mandatory-reconsiderations-and-appeals-december-2021/esa-work-capability-assessments-mandatory-reconsiderations-and-appeals-december-2021" TargetMode="External"/><Relationship Id="rId2" Type="http://schemas.openxmlformats.org/officeDocument/2006/relationships/numbering" Target="numbering.xml"/><Relationship Id="rId29" Type="http://schemas.openxmlformats.org/officeDocument/2006/relationships/hyperlink" Target="https://files.gcnchambers.co.uk/wp-content/uploads/2020/11/10110115/CO009872020-0009.pdf" TargetMode="External"/><Relationship Id="rId24" Type="http://schemas.openxmlformats.org/officeDocument/2006/relationships/hyperlink" Target="https://www.bailii.org/cgi-bin/format.cgi?doc=/ew/cases/EWCA/Civ/2020/618.html" TargetMode="External"/><Relationship Id="rId40" Type="http://schemas.openxmlformats.org/officeDocument/2006/relationships/hyperlink" Target="https://www.bailii.org/ew/cases/EWHC/Admin/2022/351.html" TargetMode="External"/><Relationship Id="rId45" Type="http://schemas.openxmlformats.org/officeDocument/2006/relationships/hyperlink" Target="https://www.lgo.org.uk/decisions/adult-care-services/assessment-and-care-plan/21-001-200" TargetMode="External"/><Relationship Id="rId66" Type="http://schemas.openxmlformats.org/officeDocument/2006/relationships/hyperlink" Target="mailto:kamran.mallick@disabilityrightsuk.org" TargetMode="External"/><Relationship Id="rId87" Type="http://schemas.openxmlformats.org/officeDocument/2006/relationships/hyperlink" Target="https://www.judiciary.uk/wp-content/uploads/2021/01/Roy-Curtis-2020-0272_Redacted.pdf" TargetMode="External"/><Relationship Id="rId110" Type="http://schemas.openxmlformats.org/officeDocument/2006/relationships/hyperlink" Target="https://www.disabilitynewsservice.com/coronavirus-pa-guidance-is-finally-published-five-weeks-late/" TargetMode="External"/><Relationship Id="rId115" Type="http://schemas.openxmlformats.org/officeDocument/2006/relationships/hyperlink" Target="https://twitter.com/EHRC/status/1269956381874032641" TargetMode="External"/><Relationship Id="rId131" Type="http://schemas.openxmlformats.org/officeDocument/2006/relationships/customXml" Target="../customXml/item3.xml"/><Relationship Id="rId61" Type="http://schemas.openxmlformats.org/officeDocument/2006/relationships/hyperlink" Target="https://www.lgo.org.uk/decisions/adult-care-services/residential-care/21-003-448" TargetMode="External"/><Relationship Id="rId82" Type="http://schemas.openxmlformats.org/officeDocument/2006/relationships/hyperlink" Target="https://www.judiciary.uk/publications/alexander-boamah/" TargetMode="External"/><Relationship Id="rId19" Type="http://schemas.openxmlformats.org/officeDocument/2006/relationships/hyperlink" Target="https://www.bailii.org/ew/cases/EWCA/Civ/2020/778.html" TargetMode="External"/><Relationship Id="rId14" Type="http://schemas.openxmlformats.org/officeDocument/2006/relationships/hyperlink" Target="http://www.inclusionlondon.org.uk/uncrdp" TargetMode="External"/><Relationship Id="rId30" Type="http://schemas.openxmlformats.org/officeDocument/2006/relationships/hyperlink" Target="https://www.disabilityrightsuk.org/news/2020/november/high-court-finds-dwp-unlawfully-refused-universal-credit-disabled-students-seven" TargetMode="External"/><Relationship Id="rId35" Type="http://schemas.openxmlformats.org/officeDocument/2006/relationships/hyperlink" Target="https://publiclawproject.org.uk/latest/dwp-to-stop-cold-calling-disabled-people-to-make-low-benefit-offers/" TargetMode="External"/><Relationship Id="rId56" Type="http://schemas.openxmlformats.org/officeDocument/2006/relationships/hyperlink" Target="https://www.lgo.org.uk/decisions/adult-care-services/disabled-facilities-grants/20-012-044" TargetMode="External"/><Relationship Id="rId77" Type="http://schemas.openxmlformats.org/officeDocument/2006/relationships/hyperlink" Target="https://www.theyworkforyou.com/whall/?id=2019-04-24c.325.1" TargetMode="External"/><Relationship Id="rId100" Type="http://schemas.openxmlformats.org/officeDocument/2006/relationships/hyperlink" Target="https://www.disabilitynewsservice.com/tomlinson-held-just-a-handful-of-external-meetings-every-month-early-in-pandemic/" TargetMode="External"/><Relationship Id="rId105" Type="http://schemas.openxmlformats.org/officeDocument/2006/relationships/hyperlink" Target="https://www.disabilitynewsservice.com/coronavirus-bsl-users-launch-mass-legal-action-over-government-discrimination/" TargetMode="External"/><Relationship Id="rId126" Type="http://schemas.openxmlformats.org/officeDocument/2006/relationships/hyperlink" Target="https://www.inclusionlondon.org.uk/uncrdp/shadow-report/annex-d/" TargetMode="External"/><Relationship Id="rId8" Type="http://schemas.openxmlformats.org/officeDocument/2006/relationships/hyperlink" Target="https://www.inclusionlondon.org.uk/uncrdp/" TargetMode="External"/><Relationship Id="rId51" Type="http://schemas.openxmlformats.org/officeDocument/2006/relationships/hyperlink" Target="https://www.lgo.org.uk/decisions/adult-care-services/covid-19/21-003-416" TargetMode="External"/><Relationship Id="rId72" Type="http://schemas.openxmlformats.org/officeDocument/2006/relationships/hyperlink" Target="https://hansard.parliament.uk/Commons/2019-03-13/debates/5F2B8816-2B09-4EDB-9AC6-0A5C6CFE3876/Engagements" TargetMode="External"/><Relationship Id="rId93" Type="http://schemas.openxmlformats.org/officeDocument/2006/relationships/hyperlink" Target="https://www.gov.uk/government/statistics/universal-credit-statistics-29-april-2013-to-9-december-2021" TargetMode="External"/><Relationship Id="rId98" Type="http://schemas.openxmlformats.org/officeDocument/2006/relationships/hyperlink" Target="https://www.disabilitynewsservice.com/legal-action-launched-over-blatant-discrimination-of-dwps-20-a-week-uplift/" TargetMode="External"/><Relationship Id="rId121" Type="http://schemas.openxmlformats.org/officeDocument/2006/relationships/hyperlink" Target="https://www.disabilitynewsservice.com/coronavirus-hancock-refuses-to-publish-treatment-guidance/" TargetMode="External"/><Relationship Id="rId3" Type="http://schemas.openxmlformats.org/officeDocument/2006/relationships/styles" Target="styles.xml"/><Relationship Id="rId25" Type="http://schemas.openxmlformats.org/officeDocument/2006/relationships/hyperlink" Target="https://www.bailii.org/ew/cases/EWHC/Admin/2020/1999.html" TargetMode="External"/><Relationship Id="rId46" Type="http://schemas.openxmlformats.org/officeDocument/2006/relationships/hyperlink" Target="https://www.lgo.org.uk/decisions/adult-care-services/assessment-and-care-plan/21-001-220" TargetMode="External"/><Relationship Id="rId67" Type="http://schemas.openxmlformats.org/officeDocument/2006/relationships/hyperlink" Target="mailto:mb-sofs@dhsc.gov.uk" TargetMode="External"/><Relationship Id="rId116" Type="http://schemas.openxmlformats.org/officeDocument/2006/relationships/hyperlink" Target="https://www.mirror.co.uk/news/politics/coronavirus-tests-been-given-only-21865558" TargetMode="External"/><Relationship Id="rId20" Type="http://schemas.openxmlformats.org/officeDocument/2006/relationships/hyperlink" Target="https://cpag.org.uk/sites/default/files/files/The%20Universal%20Credit%20%28Earned%20Income%29%20Amendment%20Regs%202020.pdf" TargetMode="External"/><Relationship Id="rId41" Type="http://schemas.openxmlformats.org/officeDocument/2006/relationships/hyperlink" Target="https://www.lgo.org.uk/decisions/adult-care-services/charging/21-003-598" TargetMode="External"/><Relationship Id="rId62" Type="http://schemas.openxmlformats.org/officeDocument/2006/relationships/hyperlink" Target="https://www.lgo.org.uk/decisions/adult-care-services/residential-care/21-002-808" TargetMode="External"/><Relationship Id="rId83" Type="http://schemas.openxmlformats.org/officeDocument/2006/relationships/hyperlink" Target="https://metro.co.uk/2019/04/22/starving-man-deemed-fit-work-just-6st-dies-9283149/" TargetMode="External"/><Relationship Id="rId88" Type="http://schemas.openxmlformats.org/officeDocument/2006/relationships/hyperlink" Target="https://www.disabilitynewsservice.com/partner-of-distraught-esa-claimant-says-dwp-drove-him-to-his-death/" TargetMode="External"/><Relationship Id="rId111" Type="http://schemas.openxmlformats.org/officeDocument/2006/relationships/hyperlink" Target="https://www.disabilitynewsservice.com/coronavirus-nhs-faces-legal-action-over-unsafe-and-discriminatory-visitor-policy/" TargetMode="External"/><Relationship Id="rId132" Type="http://schemas.openxmlformats.org/officeDocument/2006/relationships/customXml" Target="../customXml/item4.xml"/><Relationship Id="rId15" Type="http://schemas.openxmlformats.org/officeDocument/2006/relationships/hyperlink" Target="https://www.inclusionlondon.org.uk/uncrdp/call-for-evidence/call-for-evidence-now-open/" TargetMode="External"/><Relationship Id="rId36" Type="http://schemas.openxmlformats.org/officeDocument/2006/relationships/hyperlink" Target="https://www.gcnchambers.co.uk/dwp-concede-new-transitional-protection-judicial-review-deadman-and-ryan-v-secretary-of-state-for-work-and-pensions-co-1146-2021-22-july-2021/" TargetMode="External"/><Relationship Id="rId57" Type="http://schemas.openxmlformats.org/officeDocument/2006/relationships/hyperlink" Target="https://www.lgo.org.uk/decisions/adult-care-services/residential-care/21-002-901" TargetMode="External"/><Relationship Id="rId106" Type="http://schemas.openxmlformats.org/officeDocument/2006/relationships/hyperlink" Target="https://www.disabilitynewsservice.com/disabled-workers-have-had-to-choose-between-lives-and-livelihoods-during-pandemic/" TargetMode="External"/><Relationship Id="rId127" Type="http://schemas.openxmlformats.org/officeDocument/2006/relationships/footer" Target="footer1.xml"/><Relationship Id="rId10" Type="http://schemas.openxmlformats.org/officeDocument/2006/relationships/hyperlink" Target="https://assets.publishing.service.gov.uk/government/uploads/system/uploads/attachment_data/file/345108/easy-read-un-convention.pdf" TargetMode="External"/><Relationship Id="rId31" Type="http://schemas.openxmlformats.org/officeDocument/2006/relationships/hyperlink" Target="https://www.bailii.org/ew/cases/EWHC/Admin/2020/3436.html" TargetMode="External"/><Relationship Id="rId52" Type="http://schemas.openxmlformats.org/officeDocument/2006/relationships/hyperlink" Target="https://www.lgo.org.uk/decisions/adult-care-services/covid-19/21-000-026" TargetMode="External"/><Relationship Id="rId73" Type="http://schemas.openxmlformats.org/officeDocument/2006/relationships/hyperlink" Target="https://www.theyworkforyou.com/whall/?id=2019-04-24c.325.1" TargetMode="External"/><Relationship Id="rId78" Type="http://schemas.openxmlformats.org/officeDocument/2006/relationships/hyperlink" Target="https://www.bbc.co.uk/news/uk-england-nottinghamshire-51283186" TargetMode="External"/><Relationship Id="rId94" Type="http://schemas.openxmlformats.org/officeDocument/2006/relationships/hyperlink" Target="https://committees.parliament.uk/publications/8745/documents/88599/default/" TargetMode="External"/><Relationship Id="rId99" Type="http://schemas.openxmlformats.org/officeDocument/2006/relationships/hyperlink" Target="https://www.disabilitynewsservice.com/minister-defends-taking-five-months-to-produce-supported-living-covid-guidance/" TargetMode="External"/><Relationship Id="rId101" Type="http://schemas.openxmlformats.org/officeDocument/2006/relationships/hyperlink" Target="https://www.disabilitynewsservice.com/regulator-fails-to-record-key-details-from-scheme-sending-covid-patients-into-care-homes/" TargetMode="External"/><Relationship Id="rId122" Type="http://schemas.openxmlformats.org/officeDocument/2006/relationships/hyperlink" Target="https://www.frylaw.co.uk/wp-content/uploads/2020/07/DLA-Briefings-vol-70-935-947-disabled-impact-CF.pdf" TargetMode="External"/><Relationship Id="rId4" Type="http://schemas.openxmlformats.org/officeDocument/2006/relationships/settings" Target="settings.xml"/><Relationship Id="rId9" Type="http://schemas.openxmlformats.org/officeDocument/2006/relationships/hyperlink" Target="https://www.ohchr.org/en/hrbodies/crpd/pages/conventionrightspersonswithdisabilities.aspx" TargetMode="External"/><Relationship Id="rId26" Type="http://schemas.openxmlformats.org/officeDocument/2006/relationships/hyperlink" Target="https://www.judiciaryni.uk/sites/judiciary/files/decisions/Cox%27s%20%28Lorraine%29%20Application_1.pdf"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onlinelibrary.wiley.com/doi/10.1111/bjir.12645" TargetMode="External"/><Relationship Id="rId21" Type="http://schemas.openxmlformats.org/officeDocument/2006/relationships/hyperlink" Target="https://www.ohchr.org/Documents/Issues/Poverty/EOM_GB_16Nov2018.pdf" TargetMode="External"/><Relationship Id="rId63" Type="http://schemas.openxmlformats.org/officeDocument/2006/relationships/hyperlink" Target="https://www.disabilitynewsservice.com/government-ignored-dpos-in-drawing-up-social-care-white-paper/" TargetMode="External"/><Relationship Id="rId159" Type="http://schemas.openxmlformats.org/officeDocument/2006/relationships/hyperlink" Target="https://doi.org/10.1177/0261018316649120" TargetMode="External"/><Relationship Id="rId170" Type="http://schemas.openxmlformats.org/officeDocument/2006/relationships/hyperlink" Target="https://bills.parliament.uk/bills/2839" TargetMode="External"/><Relationship Id="rId226" Type="http://schemas.openxmlformats.org/officeDocument/2006/relationships/hyperlink" Target="https://bills.parliament.uk/bills/3021" TargetMode="External"/><Relationship Id="rId268" Type="http://schemas.openxmlformats.org/officeDocument/2006/relationships/hyperlink" Target="https://www.gov.uk/government/publications/priority-groups-for-coronavirus-covid-19-vaccination-advice-from-the-jcvi-30-december-2020/joint-committee-on-vaccination-and-immunisation-advice-on-priority-groups-for-covid-19-vaccination-30-december-2020" TargetMode="External"/><Relationship Id="rId32" Type="http://schemas.openxmlformats.org/officeDocument/2006/relationships/hyperlink" Target="https://www.hackneygazette.co.uk/news/crime/disability-hate-crime-rates-in-hackney-soar-6547226" TargetMode="External"/><Relationship Id="rId74" Type="http://schemas.openxmlformats.org/officeDocument/2006/relationships/hyperlink" Target="https://www.theguardian.com/commentisfree/2017/aug/10/outsourcing-killing-local-democracy-britain-stop-it" TargetMode="External"/><Relationship Id="rId128" Type="http://schemas.openxmlformats.org/officeDocument/2006/relationships/hyperlink" Target="https://socialmetricscommission.org.uk/wp-content/uploads/2019/07/SMC_measuring-poverty-201908_full-report.pdf" TargetMode="External"/><Relationship Id="rId5" Type="http://schemas.openxmlformats.org/officeDocument/2006/relationships/hyperlink" Target="https://docstore.ohchr.org/SelfServices/FilesHandler.ashx?enc=6QkG1d%2FPPRiCAqhKb7yhspCUnZhK1jU66fLQJyHIkqMIT3RDaLiqzhH8tVNxhro6S657eVNwuqlzu0xvsQUehREyYEQD%2BldQaLP31QDpRcmG35KYFtgGyAN%2BaB7cyky7" TargetMode="External"/><Relationship Id="rId181" Type="http://schemas.openxmlformats.org/officeDocument/2006/relationships/hyperlink" Target="https://ico.org.uk/media/action-weve-taken/decision-notices/2021/2619540/ic-48363-c8q5.pdf" TargetMode="External"/><Relationship Id="rId237" Type="http://schemas.openxmlformats.org/officeDocument/2006/relationships/hyperlink" Target="https://www.crowdjustice.com/case/every-death-counts/" TargetMode="External"/><Relationship Id="rId279" Type="http://schemas.openxmlformats.org/officeDocument/2006/relationships/hyperlink" Target="https://www.theguardian.com/society/2022/jan/25/nhs-england-dental-treatment-appointments-backlog" TargetMode="External"/><Relationship Id="rId43" Type="http://schemas.openxmlformats.org/officeDocument/2006/relationships/hyperlink" Target="https://www.kingsfund.org.uk/publications/social-care-360" TargetMode="External"/><Relationship Id="rId139" Type="http://schemas.openxmlformats.org/officeDocument/2006/relationships/hyperlink" Target="https://publications.parliament.uk/pa/cm201719/cmselect/cmworpen/355/35502.htm" TargetMode="External"/><Relationship Id="rId85" Type="http://schemas.openxmlformats.org/officeDocument/2006/relationships/hyperlink" Target="https://www.disabilityrightsuk.org/news/2020/january/over-100000-dla-claimants-lose-motability-vehicles-after-pip-reassessment" TargetMode="External"/><Relationship Id="rId150" Type="http://schemas.openxmlformats.org/officeDocument/2006/relationships/hyperlink" Target="https://committees.parliament.uk/committee/164/work-and-pensions-committee/news/159956/disabled-peoples-experiences-of-the-benefits-system-work-and-pensions-secretary-given-final-chance-to-publish-report/" TargetMode="External"/><Relationship Id="rId192" Type="http://schemas.openxmlformats.org/officeDocument/2006/relationships/hyperlink" Target="https://edm.parliament.uk/early-day-motion/49634/budget-for-equality-and-human-rights-commission" TargetMode="External"/><Relationship Id="rId206" Type="http://schemas.openxmlformats.org/officeDocument/2006/relationships/hyperlink" Target="http://www.mencap.org.uk/press-release/letter-independent" TargetMode="External"/><Relationship Id="rId248" Type="http://schemas.openxmlformats.org/officeDocument/2006/relationships/hyperlink" Target="https://committees.parliament.uk/work/218/the-governments-response-to-covid19-human-rights-implications/news/119291/the-government-must-urgently-consider-the-human-rights-implications-of-covid19-measures-says-joint-committee-on-human-rights" TargetMode="External"/><Relationship Id="rId269" Type="http://schemas.openxmlformats.org/officeDocument/2006/relationships/hyperlink" Target="https://dpac.uk.net/2021/03/joint-press-statement-on-safety-at-work-after-the-ending-of-shieding/" TargetMode="External"/><Relationship Id="rId12" Type="http://schemas.openxmlformats.org/officeDocument/2006/relationships/hyperlink" Target="https://www.bbc.co.uk/news/uk-46371441" TargetMode="External"/><Relationship Id="rId33" Type="http://schemas.openxmlformats.org/officeDocument/2006/relationships/hyperlink" Target="https://www.independent.co.uk/travel/news-and-advice/uk-disabled-travel-accessibility-public-transport-report-trains-buses-a8577211.html" TargetMode="External"/><Relationship Id="rId108" Type="http://schemas.openxmlformats.org/officeDocument/2006/relationships/hyperlink" Target="https://www.theguardian.com/society/2017/jul/19/wheelchair-pay-yourself-disabled-people-crowdfunding" TargetMode="External"/><Relationship Id="rId129" Type="http://schemas.openxmlformats.org/officeDocument/2006/relationships/hyperlink" Target="https://www.jrf.org.uk/report/end-benefit-freeze-stop-people-being-swept-poverty" TargetMode="External"/><Relationship Id="rId280" Type="http://schemas.openxmlformats.org/officeDocument/2006/relationships/hyperlink" Target="https://limpingchicken.com/2022/02/21/scrapping-of-covid-rules-in-england-will-increase-fear-and-anxiety-for-disabled-people-charity-warns/" TargetMode="External"/><Relationship Id="rId54" Type="http://schemas.openxmlformats.org/officeDocument/2006/relationships/hyperlink" Target="https://www.disabilitynewsservice.com/tens-of-thousands-driven-into-debt-by-care-charges-new-figures-show/" TargetMode="External"/><Relationship Id="rId75" Type="http://schemas.openxmlformats.org/officeDocument/2006/relationships/hyperlink" Target="https://www.bournemouth.gov.uk/Apply/Counciljobs/BBML/BournemouthBuildingMaintenanceLtdVacancies.aspx" TargetMode="External"/><Relationship Id="rId96" Type="http://schemas.openxmlformats.org/officeDocument/2006/relationships/hyperlink" Target="https://chopsybaby.com/magazine/bristol-send-crisis-shows-little-signs-of-improvement-for-families/" TargetMode="External"/><Relationship Id="rId140" Type="http://schemas.openxmlformats.org/officeDocument/2006/relationships/hyperlink" Target="https://committees.parliament.uk/committee/164/work-and-pensions-committee/news/159277/experts-questioned-on-flaws-in-assessments-for-disability-and-healthrelated-benefits/" TargetMode="External"/><Relationship Id="rId161" Type="http://schemas.openxmlformats.org/officeDocument/2006/relationships/hyperlink" Target="https://publications.parliament.uk/pa/cm201919/cmselect/cmworpen/83/83.pdf" TargetMode="External"/><Relationship Id="rId182" Type="http://schemas.openxmlformats.org/officeDocument/2006/relationships/hyperlink" Target="https://www.nao.org.uk/wp-content/uploads/2020/02/Information-held-by-the-DWP-on-deaths-by-suicide-of-benefit-claimants.pdf" TargetMode="External"/><Relationship Id="rId217" Type="http://schemas.openxmlformats.org/officeDocument/2006/relationships/hyperlink" Target="https://www.legislation.gov.uk/ukpga/2018/27/enacted" TargetMode="External"/><Relationship Id="rId6" Type="http://schemas.openxmlformats.org/officeDocument/2006/relationships/hyperlink" Target="https://publications.parliament.uk/pa/cm201719/cmselect/cmworpen/1166/1166.pdf" TargetMode="External"/><Relationship Id="rId238" Type="http://schemas.openxmlformats.org/officeDocument/2006/relationships/hyperlink" Target="https://www.gov.uk/government/news/people-with-learning-disabilities-had-higher-death-rate-from-covid-19" TargetMode="External"/><Relationship Id="rId259" Type="http://schemas.openxmlformats.org/officeDocument/2006/relationships/hyperlink" Target="http://www.mencap.org.uk/myhealthmylife" TargetMode="External"/><Relationship Id="rId23" Type="http://schemas.openxmlformats.org/officeDocument/2006/relationships/hyperlink" Target="https://committees.parliament.uk/committee/187/liaison-committee-lords/news/157367/key-provisions-in-equality-act-2010-not-implemented/" TargetMode="External"/><Relationship Id="rId119" Type="http://schemas.openxmlformats.org/officeDocument/2006/relationships/hyperlink" Target="https://www.disabilitynewsservice.com/dwp-staff-describe-their-discriminatory-department-as-callous-and-uncaring/" TargetMode="External"/><Relationship Id="rId270" Type="http://schemas.openxmlformats.org/officeDocument/2006/relationships/hyperlink" Target="https://www.personneltoday.com/hr/a-fifth-of-disabled-workers-had-covid-work-from-home-requests-turned-down/" TargetMode="External"/><Relationship Id="rId44" Type="http://schemas.openxmlformats.org/officeDocument/2006/relationships/hyperlink" Target="https://www.bmj.com/content/367/bmj.l6870" TargetMode="External"/><Relationship Id="rId65" Type="http://schemas.openxmlformats.org/officeDocument/2006/relationships/hyperlink" Target="https://www.iser.essex.ac.uk/2021/09/20/-health-and-social-care-levy" TargetMode="External"/><Relationship Id="rId86" Type="http://schemas.openxmlformats.org/officeDocument/2006/relationships/hyperlink" Target="https://www.transportforall.org.uk/wp-content/uploads/2021/01/Pave-The-Way-full-report.pdf" TargetMode="External"/><Relationship Id="rId130" Type="http://schemas.openxmlformats.org/officeDocument/2006/relationships/hyperlink" Target="https://www.trusselltrust.org/2021/06/28/the-state-of-hunger-its-not-right-that-disabled-people-are-being-forced-to-turn-to-food-banks/" TargetMode="External"/><Relationship Id="rId151" Type="http://schemas.openxmlformats.org/officeDocument/2006/relationships/hyperlink" Target="https://inews.co.uk/news/long-reads/the-truth-about-disability-benefits-people-killing-themselves-system-1353558" TargetMode="External"/><Relationship Id="rId172" Type="http://schemas.openxmlformats.org/officeDocument/2006/relationships/hyperlink" Target="https://www.rnib.org.uk/sites/default/files/RNIB%20Turned%20Out%202019.pdf" TargetMode="External"/><Relationship Id="rId193" Type="http://schemas.openxmlformats.org/officeDocument/2006/relationships/hyperlink" Target="https://www.disabilitynewsservice.com/ehrc-failed-to-consult-its-own-disabled-advisers-before-snubbing-dwp-deaths-probe/" TargetMode="External"/><Relationship Id="rId207" Type="http://schemas.openxmlformats.org/officeDocument/2006/relationships/hyperlink" Target="https://www.cqc.org.uk/sites/default/files/20210127_mhareport_printer.pdf" TargetMode="External"/><Relationship Id="rId228" Type="http://schemas.openxmlformats.org/officeDocument/2006/relationships/hyperlink" Target="https://claddag.org/2022/02/10/claddag-issues-proceedings-against-home-office-over-means-of-escape-contract/" TargetMode="External"/><Relationship Id="rId249" Type="http://schemas.openxmlformats.org/officeDocument/2006/relationships/hyperlink" Target="https://www.nice.org.uk/news/article/nice-updates-rapid-covid-19-guideline-on-critical-care" TargetMode="External"/><Relationship Id="rId13" Type="http://schemas.openxmlformats.org/officeDocument/2006/relationships/hyperlink" Target="https://www.pause.org.uk/" TargetMode="External"/><Relationship Id="rId109" Type="http://schemas.openxmlformats.org/officeDocument/2006/relationships/hyperlink" Target="https://www.tuc.org.uk/sites/default/files/2021-06/Formatted%20version%20of%20Long%20Covid%20report%20-%20v1.3.pdf" TargetMode="External"/><Relationship Id="rId260" Type="http://schemas.openxmlformats.org/officeDocument/2006/relationships/hyperlink" Target="https://www.disabilitynewsservice.com/coronavirus-new-nhs-guidance-leaves-door-open-to-dangerous-discrimination/" TargetMode="External"/><Relationship Id="rId281" Type="http://schemas.openxmlformats.org/officeDocument/2006/relationships/hyperlink" Target="https://hansard.parliament.uk/commons/2022-02-21/debates/982A4806-6695-4ECE-9D1C-4BD0E8798306/LivingWithCovid-19" TargetMode="External"/><Relationship Id="rId34" Type="http://schemas.openxmlformats.org/officeDocument/2006/relationships/hyperlink" Target="https://publications.parliament.uk/pa/cm201719/cmselect/cmpetitions/759/759.pdf" TargetMode="External"/><Relationship Id="rId55" Type="http://schemas.openxmlformats.org/officeDocument/2006/relationships/hyperlink" Target="https://www.gmb.org.uk/news/least-166000-trapped-social-care-debt" TargetMode="External"/><Relationship Id="rId76" Type="http://schemas.openxmlformats.org/officeDocument/2006/relationships/hyperlink" Target="https://www.nhs.uk/mental-health/talking-therapies-medicine-treatments/talking-therapies-and-counselling/cognitive-behavioural-therapy-cbt/overview/" TargetMode="External"/><Relationship Id="rId97" Type="http://schemas.openxmlformats.org/officeDocument/2006/relationships/hyperlink" Target="https://www.specialneedsjungle.com/95-decisions-favour-parents-nobody-wins-send-tribunal/" TargetMode="External"/><Relationship Id="rId120" Type="http://schemas.openxmlformats.org/officeDocument/2006/relationships/hyperlink" Target="https://www.disabilitynewsservice.com/dwp-admits-losing-six-more-disability-related-employment-tribunals/" TargetMode="External"/><Relationship Id="rId141" Type="http://schemas.openxmlformats.org/officeDocument/2006/relationships/hyperlink" Target="https://committees.parliament.uk/oralevidence/3122/pdf/" TargetMode="External"/><Relationship Id="rId7" Type="http://schemas.openxmlformats.org/officeDocument/2006/relationships/hyperlink" Target="https://assets.publishing.service.gov.uk/government/uploads/system/uploads/attachment_data/file/1001417/end-to-end-rape-review-report-with-correction-slip.pdf" TargetMode="External"/><Relationship Id="rId162" Type="http://schemas.openxmlformats.org/officeDocument/2006/relationships/hyperlink" Target="https://assets.publishing.service.gov.uk/government/uploads/system/uploads/attachment_data/file/777038/post-implementation-review-of-part-1-of-laspo.pdf" TargetMode="External"/><Relationship Id="rId183" Type="http://schemas.openxmlformats.org/officeDocument/2006/relationships/hyperlink" Target="https://www.disabilitynewsservice.com/caxton-house-cover-up-dwp-hid-benefit-deaths-papers-from-wca-review-team/" TargetMode="External"/><Relationship Id="rId218" Type="http://schemas.openxmlformats.org/officeDocument/2006/relationships/hyperlink" Target="https://www.msn.com/en-gb/news/uknews/teenagers-found-guilty-of-disturbing-murder-of-vulnerable-man-after-cuckooing-his-flat/ar-AAT0InW" TargetMode="External"/><Relationship Id="rId239" Type="http://schemas.openxmlformats.org/officeDocument/2006/relationships/hyperlink" Target="https://www.cqc.org.uk/sites/default/files/COVID-19%20Insight%209.pdf" TargetMode="External"/><Relationship Id="rId250" Type="http://schemas.openxmlformats.org/officeDocument/2006/relationships/hyperlink" Target="https://gmcdp.com/sites/default/files/GMCDP%20COVID%2019_%20Emergency%20hospital%20passport" TargetMode="External"/><Relationship Id="rId271" Type="http://schemas.openxmlformats.org/officeDocument/2006/relationships/hyperlink" Target="https://www.bbc.co.uk/news/uk-england-leeds-57998047" TargetMode="External"/><Relationship Id="rId24" Type="http://schemas.openxmlformats.org/officeDocument/2006/relationships/hyperlink" Target="https://www.disabilitynewsservice.com/regulator-probes-train-ramp-safety-failings-at-rail-operators-across-britain/" TargetMode="External"/><Relationship Id="rId45" Type="http://schemas.openxmlformats.org/officeDocument/2006/relationships/hyperlink" Target="https://www.adass.org.uk/snap-survey-nov21-rapidly-deteriorating-social-services" TargetMode="External"/><Relationship Id="rId66" Type="http://schemas.openxmlformats.org/officeDocument/2006/relationships/hyperlink" Target="https://www.gov.uk/government/publications/the-charter-for-social-housing-residents-social-housing-white-paper/the-charter-for-social-housing-residents-social-housing-white-paper" TargetMode="External"/><Relationship Id="rId87" Type="http://schemas.openxmlformats.org/officeDocument/2006/relationships/hyperlink" Target="https://www.communitycare.co.uk/2021/12/21/ombudsman-croydon-council-failure-support-autistic-man-mother-stress-family-breakdown/" TargetMode="External"/><Relationship Id="rId110" Type="http://schemas.openxmlformats.org/officeDocument/2006/relationships/hyperlink" Target="https://www.nuffieldtrust.org.uk/news-item/what-happened-to-those-brexit-medicines-shortages" TargetMode="External"/><Relationship Id="rId131" Type="http://schemas.openxmlformats.org/officeDocument/2006/relationships/hyperlink" Target="https://assets.publishing.service.gov.uk/government/uploads/system/uploads/attachment_data/file/1028995/DetailedLA_202106.ods" TargetMode="External"/><Relationship Id="rId152" Type="http://schemas.openxmlformats.org/officeDocument/2006/relationships/hyperlink" Target="https://www.judiciary.uk/wp-content/uploads/2021/02/Phillipa-Day-2021-0043.pdf" TargetMode="External"/><Relationship Id="rId173" Type="http://schemas.openxmlformats.org/officeDocument/2006/relationships/hyperlink" Target="https://www.gov.uk/government/publications/barriers-to-elected-office-for-disabled-people/barriers-to-elected-office-for-disabled-people" TargetMode="External"/><Relationship Id="rId194" Type="http://schemas.openxmlformats.org/officeDocument/2006/relationships/hyperlink" Target="https://www.disabilitynewsservice.com/new-concerns-over-equality-watchdog-as-it-scraps-disability-committee/" TargetMode="External"/><Relationship Id="rId208" Type="http://schemas.openxmlformats.org/officeDocument/2006/relationships/hyperlink" Target="https://tbinternet.ohchr.org/_layouts/15/treatybodyexternal/Download.aspx?symbolno=CRPD/C/GC/5&amp;Lang=en" TargetMode="External"/><Relationship Id="rId229" Type="http://schemas.openxmlformats.org/officeDocument/2006/relationships/hyperlink" Target="https://www.transportforall.org.uk/wp-content/uploads/2021/01/Pave-The-Way-full-report.pdf" TargetMode="External"/><Relationship Id="rId240" Type="http://schemas.openxmlformats.org/officeDocument/2006/relationships/hyperlink" Target="https://www.health.org.uk/news-and-comment/blogs/the-forgotten-crisis-exploring-the-disproportionate-impact-of-the-pandemic" TargetMode="External"/><Relationship Id="rId261" Type="http://schemas.openxmlformats.org/officeDocument/2006/relationships/hyperlink" Target="https://www.ons.gov.uk/peoplepopulationandcommunity/healthandsocialcare/disability/articles/coronavirusandthesocialimpactsondisabledpeopleingreatbritain/july2020" TargetMode="External"/><Relationship Id="rId14" Type="http://schemas.openxmlformats.org/officeDocument/2006/relationships/hyperlink" Target="https://www.pause.org.uk/what-we-do/where-we-work/" TargetMode="External"/><Relationship Id="rId35" Type="http://schemas.openxmlformats.org/officeDocument/2006/relationships/hyperlink" Target="https://www.leonardcheshire.org/about-us/our-news/press-releases/reports-violent-disability-hate-crime-continue-rise-number-police" TargetMode="External"/><Relationship Id="rId56" Type="http://schemas.openxmlformats.org/officeDocument/2006/relationships/hyperlink" Target="https://bmjopen.bmj.com/content/11/10/e046417" TargetMode="External"/><Relationship Id="rId77" Type="http://schemas.openxmlformats.org/officeDocument/2006/relationships/hyperlink" Target="https://www.kingsfund.org.uk/publications/social-prescribing" TargetMode="External"/><Relationship Id="rId100" Type="http://schemas.openxmlformats.org/officeDocument/2006/relationships/hyperlink" Target="https://www.gov.uk/government/statistics/permanent-exclusions-and-suspensions-in-england-2019-to-2020" TargetMode="External"/><Relationship Id="rId282" Type="http://schemas.openxmlformats.org/officeDocument/2006/relationships/hyperlink" Target="https://www.bbc.co.uk/news/uk-england-coventry-warwickshire-58662846" TargetMode="External"/><Relationship Id="rId8" Type="http://schemas.openxmlformats.org/officeDocument/2006/relationships/hyperlink" Target="https://www.ons.gov.uk/peoplepopulationandcommunity/crimeandjustice/articles/sexualoffencesvictimcharacteristicsenglandandwales/march2020" TargetMode="External"/><Relationship Id="rId98" Type="http://schemas.openxmlformats.org/officeDocument/2006/relationships/hyperlink" Target="https://assets.publishing.service.gov.uk/government/uploads/system/uploads/attachment_data/file/807862/Timpson_review.pdf" TargetMode="External"/><Relationship Id="rId121" Type="http://schemas.openxmlformats.org/officeDocument/2006/relationships/hyperlink" Target="https://www.equalityhumanrights.com/en/our-work/news/dwp-signs-legally-binding-agreement-improve-equality-and-diversity-workplace" TargetMode="External"/><Relationship Id="rId142" Type="http://schemas.openxmlformats.org/officeDocument/2006/relationships/hyperlink" Target="https://www.statista.com/statistics/535320/distribution-of-ailments-of-carers-in-england/" TargetMode="External"/><Relationship Id="rId163" Type="http://schemas.openxmlformats.org/officeDocument/2006/relationships/hyperlink" Target="https://assets.publishing.service.gov.uk/government/uploads/system/uploads/attachment_data/file/777036/legal-support-the-way-ahead.pdf" TargetMode="External"/><Relationship Id="rId184" Type="http://schemas.openxmlformats.org/officeDocument/2006/relationships/hyperlink" Target="https://www.disabilitynewsservice.com/dwp-admits-destroying-secret-reports-into-benefit-related-deaths/" TargetMode="External"/><Relationship Id="rId219" Type="http://schemas.openxmlformats.org/officeDocument/2006/relationships/hyperlink" Target="https://passage.org.uk/2020/12/17/the-passages-modern-slavery-coordinator-contributes-to-bbc-article-on-connection-between-disability-and-modern-slavery/" TargetMode="External"/><Relationship Id="rId230" Type="http://schemas.openxmlformats.org/officeDocument/2006/relationships/hyperlink" Target="https://www.theguardian.com/uk-news/2021/nov/19/york-anti-terror-measures-disabled-people-blue-badge-parking" TargetMode="External"/><Relationship Id="rId251" Type="http://schemas.openxmlformats.org/officeDocument/2006/relationships/hyperlink" Target="https://www.bma.org.uk/advice-and-support/covid-19/ethics/covid-19-ethical-issues-when-demand-for-life-saving-treatment-is-at-capacity" TargetMode="External"/><Relationship Id="rId25" Type="http://schemas.openxmlformats.org/officeDocument/2006/relationships/hyperlink" Target="https://assets.publishing.service.gov.uk/government/uploads/system/uploads/attachment_data/file/1042358/inclusive-transport-strategy-evaluation-baseline-report.odt" TargetMode="External"/><Relationship Id="rId46" Type="http://schemas.openxmlformats.org/officeDocument/2006/relationships/hyperlink" Target="https://www.unfairtocare.co.uk/wp-content/uploads/2021/07/Unfair-To-Care-Summary-Report-Single-Pages.pdf" TargetMode="External"/><Relationship Id="rId67" Type="http://schemas.openxmlformats.org/officeDocument/2006/relationships/hyperlink" Target="https://www.disabilitynewsservice.com/government-faces-legal-action-threat-over-accessible-housing-failure/" TargetMode="External"/><Relationship Id="rId272" Type="http://schemas.openxmlformats.org/officeDocument/2006/relationships/hyperlink" Target="https://www.judiciary.uk/wp-content/uploads/2021/07/R-on-the-application-of-Katherine-Rowley-v-Minister-for-the-Cabinet-Office.pdf" TargetMode="External"/><Relationship Id="rId88" Type="http://schemas.openxmlformats.org/officeDocument/2006/relationships/hyperlink" Target="file:///C:/Users/User/Downloads/REPORT%2020%20003%20686%20LB%20Croydon.pdf" TargetMode="External"/><Relationship Id="rId111" Type="http://schemas.openxmlformats.org/officeDocument/2006/relationships/hyperlink" Target="https://healthwatchbirmingham.co.uk/report/what-challenges-do-people-with-sight-loss-face-accessing-vision-rehabilitation-services-in-birmingham/" TargetMode="External"/><Relationship Id="rId132" Type="http://schemas.openxmlformats.org/officeDocument/2006/relationships/hyperlink" Target="https://disabilitybenefitsconsortium.com/2021/08/26/test-post/" TargetMode="External"/><Relationship Id="rId153" Type="http://schemas.openxmlformats.org/officeDocument/2006/relationships/hyperlink" Target="https://www.leighday.co.uk/latest-updates/news/2021-news/conclusion-of-inquest-into-death-of-philippa-day/" TargetMode="External"/><Relationship Id="rId174" Type="http://schemas.openxmlformats.org/officeDocument/2006/relationships/hyperlink" Target="https://www.disabilitynewsservice.com/house-of-commons-failed-to-act-after-disabled-staff-and-mps-spoke-out-on-covid-safety/" TargetMode="External"/><Relationship Id="rId195" Type="http://schemas.openxmlformats.org/officeDocument/2006/relationships/hyperlink" Target="https://www.equalityhumanrights.com/en/our-work/news/statement-our-disability-advisory-committee" TargetMode="External"/><Relationship Id="rId209" Type="http://schemas.openxmlformats.org/officeDocument/2006/relationships/hyperlink" Target="https://www.childrenscommissioner.gov.uk/2019/03/27/excluded-teens-are-often-the-most-vulnerable-and-theyre-falling-through-the-gap/" TargetMode="External"/><Relationship Id="rId220" Type="http://schemas.openxmlformats.org/officeDocument/2006/relationships/hyperlink" Target="https://www.msn.com/en-gb/news/uknews/teenagers-found-guilty-of-disturbing-murder-of-vulnerable-man-after-cuckooing-his-flat/ar-AAT0InW" TargetMode="External"/><Relationship Id="rId241" Type="http://schemas.openxmlformats.org/officeDocument/2006/relationships/hyperlink" Target="https://doi.org/10.1016/S2468-2667(21)00206-1" TargetMode="External"/><Relationship Id="rId15" Type="http://schemas.openxmlformats.org/officeDocument/2006/relationships/hyperlink" Target="https://www.pause.org.uk/what-we-do/the-pause-model/" TargetMode="External"/><Relationship Id="rId36" Type="http://schemas.openxmlformats.org/officeDocument/2006/relationships/hyperlink" Target="https://www.inclusionlondon.org.uk/news/poor-police-response-report-disabled-victims-of-hate-crime/" TargetMode="External"/><Relationship Id="rId57" Type="http://schemas.openxmlformats.org/officeDocument/2006/relationships/hyperlink" Target="https://www.lgo.org.uk/information-centre/news/2021/sep/failing-social-care-system-reflected-in-relentless-rise-in-ombudsman-s-upheld-complaints" TargetMode="External"/><Relationship Id="rId262" Type="http://schemas.openxmlformats.org/officeDocument/2006/relationships/hyperlink" Target="https://www.gypsy-traveller.org/news/locked-out-74-of-gps-refused-registration-to-nomadic-patients-during-covid-19-pandemic/" TargetMode="External"/><Relationship Id="rId283" Type="http://schemas.openxmlformats.org/officeDocument/2006/relationships/hyperlink" Target="https://www.disabilitynewsservice.com/peer-makes-new-bid-for-assisted-suicide-legalisation-through-health-and-care-bill/" TargetMode="External"/><Relationship Id="rId78" Type="http://schemas.openxmlformats.org/officeDocument/2006/relationships/hyperlink" Target="https://www.theguardian.com/society/2021/sep/05/coroners-warned-of-mental-health-care-failings-in-dozens-of-inquests" TargetMode="External"/><Relationship Id="rId99" Type="http://schemas.openxmlformats.org/officeDocument/2006/relationships/hyperlink" Target="https://socialmetricscommission.org.uk/wp-content/uploads/2020/06/Measuring-Poverty-2020-Web.pdf" TargetMode="External"/><Relationship Id="rId101" Type="http://schemas.openxmlformats.org/officeDocument/2006/relationships/hyperlink" Target="https://www.theguardian.com/education/2021/mar/24/exclusion-rates-black-caribbean-pupils-england" TargetMode="External"/><Relationship Id="rId122" Type="http://schemas.openxmlformats.org/officeDocument/2006/relationships/hyperlink" Target="https://www.inclusionlondon.org.uk/wp-content/uploads/2017/10/Barriers-to-Work_InclusionLondon_Oct-2017-1.pdf" TargetMode="External"/><Relationship Id="rId143" Type="http://schemas.openxmlformats.org/officeDocument/2006/relationships/hyperlink" Target="https://assets.publishing.service.gov.uk/government/uploads/system/uploads/attachment_data/file/1004042/shaping-future-support-the-health-and-disability-green-paper.pdf" TargetMode="External"/><Relationship Id="rId164" Type="http://schemas.openxmlformats.org/officeDocument/2006/relationships/hyperlink" Target="https://www.equalityhumanrights.com/sites/default/files/the-impact-of-laspo-on-routes-to-justice-september-2018.pdf" TargetMode="External"/><Relationship Id="rId185" Type="http://schemas.openxmlformats.org/officeDocument/2006/relationships/hyperlink" Target="https://committees.parliament.uk/committee/164/work-and-pensions-committee/news/160750/disabled-peoples-experiences-of-the-benefits-system-committee-publishes-governmentcommissioned-research/" TargetMode="External"/><Relationship Id="rId9" Type="http://schemas.openxmlformats.org/officeDocument/2006/relationships/hyperlink" Target="https://news.sky.com/story/sexual-violence-allegations-brought-by-disabled-women-not-going-to-court-charity-says-12368315" TargetMode="External"/><Relationship Id="rId210" Type="http://schemas.openxmlformats.org/officeDocument/2006/relationships/hyperlink" Target="https://committees.parliament.uk/oralevidence/3082/html/" TargetMode="External"/><Relationship Id="rId26" Type="http://schemas.openxmlformats.org/officeDocument/2006/relationships/hyperlink" Target="https://www.supremecourt.uk/cases/docs/uksc-2015-0025-judgment.pdf" TargetMode="External"/><Relationship Id="rId231" Type="http://schemas.openxmlformats.org/officeDocument/2006/relationships/hyperlink" Target="https://www.touretteshero.com/2020/07/03/understanding-the-risks/" TargetMode="External"/><Relationship Id="rId252" Type="http://schemas.openxmlformats.org/officeDocument/2006/relationships/hyperlink" Target="https://www.telegraph.co.uk/news/2021/06/13/medical-treatment-withheld-people-learning/" TargetMode="External"/><Relationship Id="rId273" Type="http://schemas.openxmlformats.org/officeDocument/2006/relationships/hyperlink" Target="https://www.disabilitynewsservice.com/concerns-growing-over-rees-moggs-shocking-comments-on-shielding-mps/" TargetMode="External"/><Relationship Id="rId47" Type="http://schemas.openxmlformats.org/officeDocument/2006/relationships/hyperlink" Target="https://democracy.bristol.gov.uk/documents/b30042/Public%20Forum%20republish%20-%20Statements%20received%20at%2015th%20Feb%20first%20budget%20meeting%2002nd-Mar-2022%2014.00%20.pdf?T=9" TargetMode="External"/><Relationship Id="rId68" Type="http://schemas.openxmlformats.org/officeDocument/2006/relationships/hyperlink" Target="https://www.ons.gov.uk/peoplepopulationandcommunity/healthandsocialcare/disability/bulletins/disabilityandhousinguk/2019" TargetMode="External"/><Relationship Id="rId89" Type="http://schemas.openxmlformats.org/officeDocument/2006/relationships/hyperlink" Target="https://explore-education-statistics.service.gov.uk/find-statistics/special-educational-needs-in-england" TargetMode="External"/><Relationship Id="rId112" Type="http://schemas.openxmlformats.org/officeDocument/2006/relationships/hyperlink" Target="https://www.disabilityatwork.co.uk/wp-content/uploads/2020/08/Briefing-Note-disability-measurement-.pdf" TargetMode="External"/><Relationship Id="rId133" Type="http://schemas.openxmlformats.org/officeDocument/2006/relationships/hyperlink" Target="https://dpac.uk.net/2021/03/20more4all-testimonies-stats-facts/" TargetMode="External"/><Relationship Id="rId154" Type="http://schemas.openxmlformats.org/officeDocument/2006/relationships/hyperlink" Target="https://www.judiciary.uk/wp-content/uploads/2021/12/Terence-Talbot-Prevention-of-future-deaths-report-2021-0419_Published.pdf" TargetMode="External"/><Relationship Id="rId175" Type="http://schemas.openxmlformats.org/officeDocument/2006/relationships/hyperlink" Target="https://assets.publishing.service.gov.uk/government/uploads/system/uploads/attachment_data/file/1006098/National-Disability-Strategy_web-accesible-pdf.pdf" TargetMode="External"/><Relationship Id="rId196" Type="http://schemas.openxmlformats.org/officeDocument/2006/relationships/hyperlink" Target="https://www.disabilitynewsservice.com/equality-watchdog-to-scrap-vital-disability-committee/" TargetMode="External"/><Relationship Id="rId200" Type="http://schemas.openxmlformats.org/officeDocument/2006/relationships/hyperlink" Target="https://assets.publishing.service.gov.uk/government/uploads/system/uploads/attachment_data/file/951398/mental-health-act-white-paper-web-accessible.pdf" TargetMode="External"/><Relationship Id="rId16" Type="http://schemas.openxmlformats.org/officeDocument/2006/relationships/hyperlink" Target="https://www.thenational.scot/news/17724137.warning-pause-project-supports-women-using-contraception/" TargetMode="External"/><Relationship Id="rId221" Type="http://schemas.openxmlformats.org/officeDocument/2006/relationships/hyperlink" Target="https://www.bbc.co.uk/news/disability-55259019" TargetMode="External"/><Relationship Id="rId242" Type="http://schemas.openxmlformats.org/officeDocument/2006/relationships/hyperlink" Target="https://www.independent.co.uk/news/uk/politics/uk-lockdown-coronavirus-death-toll-neil-ferguson-a9559051.html" TargetMode="External"/><Relationship Id="rId263" Type="http://schemas.openxmlformats.org/officeDocument/2006/relationships/hyperlink" Target="https://committees.parliament.uk/publications/4068/documents/40461/default/" TargetMode="External"/><Relationship Id="rId284" Type="http://schemas.openxmlformats.org/officeDocument/2006/relationships/hyperlink" Target="https://www.bbc.co.uk/news/uk-england-lancashire-60507814" TargetMode="External"/><Relationship Id="rId37" Type="http://schemas.openxmlformats.org/officeDocument/2006/relationships/hyperlink" Target="https://www.bbc.co.uk/news/uk-england-merseyside-60138262" TargetMode="External"/><Relationship Id="rId58" Type="http://schemas.openxmlformats.org/officeDocument/2006/relationships/hyperlink" Target="https://www.thebureauinvestigates.com/stories/2021-05-10/revealed-thousands-of-pandemic-deaths-in-home-care" TargetMode="External"/><Relationship Id="rId79" Type="http://schemas.openxmlformats.org/officeDocument/2006/relationships/hyperlink" Target="https://www.edp24.co.uk/news/gaunt-inquest-norfolk-nsft-prevention-future-deaths-report-1388008" TargetMode="External"/><Relationship Id="rId102" Type="http://schemas.openxmlformats.org/officeDocument/2006/relationships/hyperlink" Target="https://www.ippr.org/files/2017-10/making-the-difference-report-october-2017.pdf" TargetMode="External"/><Relationship Id="rId123" Type="http://schemas.openxmlformats.org/officeDocument/2006/relationships/hyperlink" Target="https://questions-statements.parliament.uk/written-statements/detail/2018-03-20/HCWS563" TargetMode="External"/><Relationship Id="rId144" Type="http://schemas.openxmlformats.org/officeDocument/2006/relationships/hyperlink" Target="https://www.disabilitynewsservice.com/dwp-figures-on-unacceptable-wca-reports-cast-doubt-on-decisions-made-on-tens-of-thousands-of-esa-claims/" TargetMode="External"/><Relationship Id="rId90" Type="http://schemas.openxmlformats.org/officeDocument/2006/relationships/hyperlink" Target="https://www.bbc.co.uk/news/uk-58885635" TargetMode="External"/><Relationship Id="rId165" Type="http://schemas.openxmlformats.org/officeDocument/2006/relationships/hyperlink" Target="https://www.equalityhumanrights.com/sites/default/files/access-to-legal-aid-for-discrimination-cases-our-legal-aid-inquiry.pdf" TargetMode="External"/><Relationship Id="rId186" Type="http://schemas.openxmlformats.org/officeDocument/2006/relationships/hyperlink" Target="https://www.theguardian.com/society/2022/jan/27/report-on-effectiveness-of-benefit-sanctions-blocked-by-dwp" TargetMode="External"/><Relationship Id="rId211" Type="http://schemas.openxmlformats.org/officeDocument/2006/relationships/hyperlink" Target="https://www.equalcjs.org.uk/sites/default/files/Lammy%20update%20EQUAL%20reponse%20FINAL%2025%2003%2020.pdf" TargetMode="External"/><Relationship Id="rId232" Type="http://schemas.openxmlformats.org/officeDocument/2006/relationships/hyperlink" Target="https://doi.org/10.1016/j.lanepe.2021.100228" TargetMode="External"/><Relationship Id="rId253" Type="http://schemas.openxmlformats.org/officeDocument/2006/relationships/hyperlink" Target="https://www.amnesty.org.uk/files/2020-10/Care%20Homes%20Report.pdf" TargetMode="External"/><Relationship Id="rId274" Type="http://schemas.openxmlformats.org/officeDocument/2006/relationships/hyperlink" Target="https://www.disabilitynewsservice.com/governments-shocking-pandemic-rights-list-of-shame/" TargetMode="External"/><Relationship Id="rId27" Type="http://schemas.openxmlformats.org/officeDocument/2006/relationships/hyperlink" Target="https://www.scas.org.uk/pets-and-mental-health/emotional-support-animals-esas-in-the-uk/" TargetMode="External"/><Relationship Id="rId48" Type="http://schemas.openxmlformats.org/officeDocument/2006/relationships/hyperlink" Target="https://www.nao.org.uk/wp-content/uploads/2020/08/Local-government-finance-in-the-pandemic.pdf" TargetMode="External"/><Relationship Id="rId69" Type="http://schemas.openxmlformats.org/officeDocument/2006/relationships/hyperlink" Target="https://www.theguardian.com/society/2021/may/26/black-asian-disabled-tenants-more-likely-face-housing-discrimination" TargetMode="External"/><Relationship Id="rId113" Type="http://schemas.openxmlformats.org/officeDocument/2006/relationships/hyperlink" Target="https://www.disabilitynewsservice.com/ministers-should-admit-figures-show-zero-progress-on-disability-employment/" TargetMode="External"/><Relationship Id="rId134" Type="http://schemas.openxmlformats.org/officeDocument/2006/relationships/hyperlink" Target="https://www.moneysavingexpert.com/news/2021/03/martin-lewis-interviews-chancellor-rishi-sunak---the-key-questio/" TargetMode="External"/><Relationship Id="rId80" Type="http://schemas.openxmlformats.org/officeDocument/2006/relationships/hyperlink" Target="https://cep.lse.ac.uk/pubs/download/EA035.pdf" TargetMode="External"/><Relationship Id="rId155" Type="http://schemas.openxmlformats.org/officeDocument/2006/relationships/hyperlink" Target="https://www.expressandstar.com/news/uk-news/2021/07/20/bereaved-families-call-for-public-inquiry-into-deaths-of-benefits-claimants/" TargetMode="External"/><Relationship Id="rId176" Type="http://schemas.openxmlformats.org/officeDocument/2006/relationships/hyperlink" Target="https://www.disabilityrightsuk.org/news/2022/january/national-disability-strategy-declared-unlawful-disability-rights-uk-comment" TargetMode="External"/><Relationship Id="rId197" Type="http://schemas.openxmlformats.org/officeDocument/2006/relationships/hyperlink" Target="https://www.disabilitynewsservice.com/new-concerns-over-equality-watchdog-as-it-scraps-disability-committee/" TargetMode="External"/><Relationship Id="rId201" Type="http://schemas.openxmlformats.org/officeDocument/2006/relationships/hyperlink" Target="https://democracy.bristol.gov.uk/documents/s62446/02%20-%202021-07-19%20Building%20Rights%20review%20Sir%20Stephen%20Bubb.pdf" TargetMode="External"/><Relationship Id="rId222" Type="http://schemas.openxmlformats.org/officeDocument/2006/relationships/hyperlink" Target="https://www.nao.org.uk/wp-content/uploads/2021/11/The-governments-preparedness-for-the-COVID-19-pandemic-lessons-for-government-on-risk-management.pdf" TargetMode="External"/><Relationship Id="rId243" Type="http://schemas.openxmlformats.org/officeDocument/2006/relationships/hyperlink" Target="https://www.independent.co.uk/news/uk/politics/boris-johnson-dominic-cummings-lockdown-b1837326.html" TargetMode="External"/><Relationship Id="rId264" Type="http://schemas.openxmlformats.org/officeDocument/2006/relationships/hyperlink" Target="https://www.disabilityrightsuk.org/news/2020/june/disabled-man-dies-due-lack-food-during-lockdown" TargetMode="External"/><Relationship Id="rId285" Type="http://schemas.openxmlformats.org/officeDocument/2006/relationships/hyperlink" Target="https://news.sky.com/story/man-kept-as-a-slave-for-40-years-now-enjoys-watching-football-and-old-world-cups-says-charity-12532461" TargetMode="External"/><Relationship Id="rId17" Type="http://schemas.openxmlformats.org/officeDocument/2006/relationships/hyperlink" Target="https://disabledchildrenspartnership.org.uk/wp-content/uploads/2021/10/Then-There-Was-Silence-Full-Policy-Report-10-September-2021.pdf" TargetMode="External"/><Relationship Id="rId38" Type="http://schemas.openxmlformats.org/officeDocument/2006/relationships/hyperlink" Target="https://www.kingsfund.org.uk/press/press-releases/social-care-system-crisis-point" TargetMode="External"/><Relationship Id="rId59" Type="http://schemas.openxmlformats.org/officeDocument/2006/relationships/hyperlink" Target="https://www.mirror.co.uk/news/politics/thirst-killed-345-non-covid-23158070" TargetMode="External"/><Relationship Id="rId103" Type="http://schemas.openxmlformats.org/officeDocument/2006/relationships/hyperlink" Target="https://www.ed.ac.uk/news/2013/exclusionprison-280213" TargetMode="External"/><Relationship Id="rId124" Type="http://schemas.openxmlformats.org/officeDocument/2006/relationships/hyperlink" Target="https://www.ons.gov.uk/employmentandlabourmarket/peopleinwork/employmentandemployeetypes/articles/labourmarketeconomicanalysisquarterly/december2020" TargetMode="External"/><Relationship Id="rId70" Type="http://schemas.openxmlformats.org/officeDocument/2006/relationships/hyperlink" Target="https://www.disabilitynewsservice.com/government-faces-legal-action-threat-over-accessible-housing-failure/" TargetMode="External"/><Relationship Id="rId91" Type="http://schemas.openxmlformats.org/officeDocument/2006/relationships/hyperlink" Target="https://www.theguardian.com/society/2019/jul/06/he-was-covered-in-bruises-the-vulnerable-children-being-harmed-in-special-schools" TargetMode="External"/><Relationship Id="rId145" Type="http://schemas.openxmlformats.org/officeDocument/2006/relationships/hyperlink" Target="https://assets.publishing.service.gov.uk/government/uploads/system/uploads/attachment_data/file/830965/Tribunal_and_GRC_statistics_Q1_201920.pdf" TargetMode="External"/><Relationship Id="rId166" Type="http://schemas.openxmlformats.org/officeDocument/2006/relationships/hyperlink" Target="https://bills.parliament.uk/bills/3035" TargetMode="External"/><Relationship Id="rId187" Type="http://schemas.openxmlformats.org/officeDocument/2006/relationships/hyperlink" Target="https://committees.parliament.uk/publications/7005/documents/72950/default/" TargetMode="External"/><Relationship Id="rId1" Type="http://schemas.openxmlformats.org/officeDocument/2006/relationships/hyperlink" Target="https://www.gov.uk/government/statistics/family-resources-survey-financial-year-2019-to-2020/family-resources-survey-financial-year-2019-to-2020" TargetMode="External"/><Relationship Id="rId212" Type="http://schemas.openxmlformats.org/officeDocument/2006/relationships/hyperlink" Target="https://www.bbc.co.uk/news/health-48367071" TargetMode="External"/><Relationship Id="rId233" Type="http://schemas.openxmlformats.org/officeDocument/2006/relationships/hyperlink" Target="https://www.bbc.co.uk/news/uk-england-hampshire-54439184" TargetMode="External"/><Relationship Id="rId254" Type="http://schemas.openxmlformats.org/officeDocument/2006/relationships/hyperlink" Target="https://www.disabilitynewsservice.com/coronavirus-hancock-refuses-to-publish-treatment-guidance/" TargetMode="External"/><Relationship Id="rId28" Type="http://schemas.openxmlformats.org/officeDocument/2006/relationships/hyperlink" Target="https://www.transportforall.org.uk/news/success-as-mayor-of-london-agrees-to-pause-installation-of-new-colourful-crossings/" TargetMode="External"/><Relationship Id="rId49" Type="http://schemas.openxmlformats.org/officeDocument/2006/relationships/hyperlink" Target="https://www.theguardian.com/society/2021/mar/10/swingeing-cuts-on-cards-as-councils-in-england-face-funding-crisis-watchdog-warns" TargetMode="External"/><Relationship Id="rId114" Type="http://schemas.openxmlformats.org/officeDocument/2006/relationships/hyperlink" Target="https://www.tuc.org.uk/news/disabled-workers-earning-fifth-less-non-disabled-peers-tuc-analysis-reveals" TargetMode="External"/><Relationship Id="rId275" Type="http://schemas.openxmlformats.org/officeDocument/2006/relationships/hyperlink" Target="https://www.gov.uk/government/publications/the-lived-experience-of-disabled-people-during-the-covid-19-pandemic" TargetMode="External"/><Relationship Id="rId60" Type="http://schemas.openxmlformats.org/officeDocument/2006/relationships/hyperlink" Target="https://www.communitycare.co.uk/2021/03/25/government-scraps-coronavirus-provisions-allowing-councils-suspend-key-care-act-duties/" TargetMode="External"/><Relationship Id="rId81" Type="http://schemas.openxmlformats.org/officeDocument/2006/relationships/hyperlink" Target="https://www.disabilitynewsservice.com/governments-strategy-fails-to-support-dpos-as-more-close-due-to-hostile-environment/" TargetMode="External"/><Relationship Id="rId135" Type="http://schemas.openxmlformats.org/officeDocument/2006/relationships/hyperlink" Target="https://www.jrf.org.uk/press/planned-cuts-universal-credit-will-hit-incomes-millions-households-unable-afford-minimum" TargetMode="External"/><Relationship Id="rId156" Type="http://schemas.openxmlformats.org/officeDocument/2006/relationships/hyperlink" Target="https://www.mariecurie.org.uk/globalassets/media/documents/policy/appg/all-party-parliamentary-group-for-terminal-illness-report-2019.pdf" TargetMode="External"/><Relationship Id="rId177" Type="http://schemas.openxmlformats.org/officeDocument/2006/relationships/hyperlink" Target="https://assets.publishing.service.gov.uk/government/uploads/system/uploads/attachment_data/file/1033032/UN_Committee_on_the_Rights_of_Persons_with_Disabilities-20pt_Large_Print.pdf" TargetMode="External"/><Relationship Id="rId198" Type="http://schemas.openxmlformats.org/officeDocument/2006/relationships/hyperlink" Target="https://www.theguardian.com/society/2022/feb/11/lgbt-groups-call-for-anti-trans-ehrc-to-lose-international-status" TargetMode="External"/><Relationship Id="rId202" Type="http://schemas.openxmlformats.org/officeDocument/2006/relationships/hyperlink" Target="https://www.bbc.co.uk/news/uk-england-57722356" TargetMode="External"/><Relationship Id="rId223" Type="http://schemas.openxmlformats.org/officeDocument/2006/relationships/hyperlink" Target="https://www.disabilitynewsservice.com/coronavirus-employers-of-pas-given-just-two-days-to-digest-vital-new-furlough-guidance/" TargetMode="External"/><Relationship Id="rId244" Type="http://schemas.openxmlformats.org/officeDocument/2006/relationships/hyperlink" Target="https://www.bmj.com/content/373/bmj.n1415" TargetMode="External"/><Relationship Id="rId18" Type="http://schemas.openxmlformats.org/officeDocument/2006/relationships/hyperlink" Target="https://4a76708f-a1a4-410f-b467-4623329c3481.filesusr.com/ugd/a73b2d_6a663a8699d24e0898e890798c1275a2.pdf" TargetMode="External"/><Relationship Id="rId39" Type="http://schemas.openxmlformats.org/officeDocument/2006/relationships/hyperlink" Target="https://www.independent.co.uk/news/uk/home-news/disabled-people-interned-care-homes-nhs-cost-cutting-a8019906.html" TargetMode="External"/><Relationship Id="rId265" Type="http://schemas.openxmlformats.org/officeDocument/2006/relationships/hyperlink" Target="https://www.itv.com/news/calendar/2022-01-12/mother-imprisoned-autistic-son-in-attic-until-he-almost-starved-to-death" TargetMode="External"/><Relationship Id="rId286" Type="http://schemas.openxmlformats.org/officeDocument/2006/relationships/hyperlink" Target="https://gmcdp.com/gmcdp-foxglove-legal-challenge-department-work-and-pensions-dwp-fraud-algorithm" TargetMode="External"/><Relationship Id="rId50" Type="http://schemas.openxmlformats.org/officeDocument/2006/relationships/hyperlink" Target="https://www.theguardian.com/society/2021/jul/02/slough-goes-bankrupt-after-discovery-of-100m-black-hole-in-budget" TargetMode="External"/><Relationship Id="rId104" Type="http://schemas.openxmlformats.org/officeDocument/2006/relationships/hyperlink" Target="https://www.theguardian.com/education/2017/oct/10/school-exclusion-figures-date-england-only-tip-iceberg" TargetMode="External"/><Relationship Id="rId125" Type="http://schemas.openxmlformats.org/officeDocument/2006/relationships/hyperlink" Target="https://www.disabilitynewsservice.com/dismal-job-figures-show-failure-of-disability-confident-says-de-cordova/" TargetMode="External"/><Relationship Id="rId146" Type="http://schemas.openxmlformats.org/officeDocument/2006/relationships/hyperlink" Target="https://www.bailii.org/ew/cases/EWHC/Admin/2020/1999.html" TargetMode="External"/><Relationship Id="rId167" Type="http://schemas.openxmlformats.org/officeDocument/2006/relationships/hyperlink" Target="https://www.disabilitynewsservice.com/police-force-admits-agreement-to-share-information-about-protesters-with-dwp/" TargetMode="External"/><Relationship Id="rId188" Type="http://schemas.openxmlformats.org/officeDocument/2006/relationships/hyperlink" Target="https://www.lbhf.gov.uk/councillors-and-democracy/resident-led-commissions/disabled-people-s-commission/nothing-about-disabled-people-without-disabled-people" TargetMode="External"/><Relationship Id="rId71" Type="http://schemas.openxmlformats.org/officeDocument/2006/relationships/hyperlink" Target="https://www.ucl.ac.uk/bartlett/planning/news/2020/jul/government-publishes-ucl-led-research-permitted-development-housing-quality" TargetMode="External"/><Relationship Id="rId92" Type="http://schemas.openxmlformats.org/officeDocument/2006/relationships/hyperlink" Target="https://www.iicsa.org.uk/key-documents/28486/view/iicsa-residential-schools-investigation-report-march-2022.pdf" TargetMode="External"/><Relationship Id="rId213" Type="http://schemas.openxmlformats.org/officeDocument/2006/relationships/hyperlink" Target="https://www.bbc.co.uk/news/uk-58885635" TargetMode="External"/><Relationship Id="rId234" Type="http://schemas.openxmlformats.org/officeDocument/2006/relationships/hyperlink" Target="https://news.sky.com/story/seventy-five-people-have-died-in-autism-and-learning-disability-units-in-england-since-2015-sky-news-reveals-12491903" TargetMode="External"/><Relationship Id="rId2" Type="http://schemas.openxmlformats.org/officeDocument/2006/relationships/hyperlink" Target="https://www.gov.uk/government/consultations/consultation-on-the-introduction-of-tenant-satisfaction-measures" TargetMode="External"/><Relationship Id="rId29" Type="http://schemas.openxmlformats.org/officeDocument/2006/relationships/hyperlink" Target="https://accessassociation.co.uk/wp-content/uploads/2021/10/DFT-20211004.pdf" TargetMode="External"/><Relationship Id="rId255" Type="http://schemas.openxmlformats.org/officeDocument/2006/relationships/hyperlink" Target="https://www.theguardian.com/world/2020/apr/01/uk-healthcare-regulator-brands-resuscitation-strategy-unacceptable" TargetMode="External"/><Relationship Id="rId276" Type="http://schemas.openxmlformats.org/officeDocument/2006/relationships/hyperlink" Target="https://www.gov.uk/government/news/prime-minister-announces-covid-19-inquiry-chair" TargetMode="External"/><Relationship Id="rId40" Type="http://schemas.openxmlformats.org/officeDocument/2006/relationships/hyperlink" Target="https://www.equalityhumanrights.com/en/our-work/news/nhs-u-turns-discriminatory-policies" TargetMode="External"/><Relationship Id="rId115" Type="http://schemas.openxmlformats.org/officeDocument/2006/relationships/hyperlink" Target="https://www.livingwage.org.uk/sites/default/files/The%20Insecurity%20Complex%20-%25" TargetMode="External"/><Relationship Id="rId136" Type="http://schemas.openxmlformats.org/officeDocument/2006/relationships/hyperlink" Target="https://metro.co.uk/2021/07/04/six-ex-tory-ministers-call-for-universal-credit-increase-to-become-permanent-14871676/" TargetMode="External"/><Relationship Id="rId157" Type="http://schemas.openxmlformats.org/officeDocument/2006/relationships/hyperlink" Target="https://assets.publishing.service.gov.uk/government/uploads/system/uploads/attachment_data/file/1029980/Policy_Costings_Document_FINAL.pdf" TargetMode="External"/><Relationship Id="rId178" Type="http://schemas.openxmlformats.org/officeDocument/2006/relationships/hyperlink" Target="https://tbinternet.ohchr.org/_layouts/treatybodyexternal/Download.aspx?symbolno=CRPD/C/GC/7&amp;Lang=en" TargetMode="External"/><Relationship Id="rId61" Type="http://schemas.openxmlformats.org/officeDocument/2006/relationships/hyperlink" Target="https://www.disabilitynewsservice.com/minister-invited-44-leaders-to-care-summit-but-not-one-disabled-peoples-organisation/" TargetMode="External"/><Relationship Id="rId82" Type="http://schemas.openxmlformats.org/officeDocument/2006/relationships/hyperlink" Target="https://view.officeapps.live.com/op/view.aspx?src=https%3A%2F%2Fwww.inclusionlondon.org.uk%2Fwp-content%2Fuploads%2F2017%2F03%2FUN-inquiry-response-DPACIL-Final-1.doc&amp;wdOrigin=BROWSELINK" TargetMode="External"/><Relationship Id="rId199" Type="http://schemas.openxmlformats.org/officeDocument/2006/relationships/hyperlink" Target="https://www.theguardian.com/society/2021/jan/18/ehrc-undermined-pressure-support-no-10-agenda-david-isaac" TargetMode="External"/><Relationship Id="rId203" Type="http://schemas.openxmlformats.org/officeDocument/2006/relationships/hyperlink" Target="https://www.bbc.co.uk/news/uk-59388886" TargetMode="External"/><Relationship Id="rId19" Type="http://schemas.openxmlformats.org/officeDocument/2006/relationships/hyperlink" Target="https://hub.salford.ac.uk/welfare-at-a-social-distance/wp-content/uploads/sites/120/2020/09/WaSD-Rapid-Report-2-New-COVID-19-claimants.pdf" TargetMode="External"/><Relationship Id="rId224" Type="http://schemas.openxmlformats.org/officeDocument/2006/relationships/hyperlink" Target="https://assets.publishing.service.gov.uk/government/uploads/system/uploads/attachment_data/file/537220/Immigration_Act_-_Part_2_-_Bank_Accounts.pdf" TargetMode="External"/><Relationship Id="rId245" Type="http://schemas.openxmlformats.org/officeDocument/2006/relationships/hyperlink" Target="https://app.powerbi.com/view?r=eyJrIjoiOGE1YTZlODItYzA2Ni00MmUxLTkyZjQtYjk3OTg0ZmYwMTIyIiwidCI6ImE1NWRjYWI4LWNlNjYtNDVlYS1hYjNmLTY1YmMyYjA3YjVkMyJ9" TargetMode="External"/><Relationship Id="rId266" Type="http://schemas.openxmlformats.org/officeDocument/2006/relationships/hyperlink" Target="https://www.ons.gov.uk/peoplepopulationandcommunity/healthandsocialcare/disability/articles/coronavirusandthesocialimpactsondisabledpeopleingreatbritain/july2020" TargetMode="External"/><Relationship Id="rId287" Type="http://schemas.openxmlformats.org/officeDocument/2006/relationships/hyperlink" Target="https://www.psychologytoday.com/gb/blog/neurodiverse-age/202108/why-autistic-people-are-worried-spectrum-10k" TargetMode="External"/><Relationship Id="rId30" Type="http://schemas.openxmlformats.org/officeDocument/2006/relationships/hyperlink" Target="http://www.gov.uk/government/publications/hate-crime-england-and-wales-2019-to-2020/hate-crime-england-and-wales-2019-to-2020" TargetMode="External"/><Relationship Id="rId105" Type="http://schemas.openxmlformats.org/officeDocument/2006/relationships/hyperlink" Target="https://www.disabilitynewsservice.com/disabled-students-face-appalling-barriers-at-latest-university-to-face-discrimination-claims/" TargetMode="External"/><Relationship Id="rId126" Type="http://schemas.openxmlformats.org/officeDocument/2006/relationships/hyperlink" Target="https://demosuk.wpengine.com/wp-content/uploads/2018/02/2018_A_Better_WCA_is_possible_FULL-4.pdf" TargetMode="External"/><Relationship Id="rId147" Type="http://schemas.openxmlformats.org/officeDocument/2006/relationships/hyperlink" Target="https://www.disabilityrightsuk.org/news/2020/august/high-court-rules-mandatory-reconsideration-requirement-esa-claimants-unlawful" TargetMode="External"/><Relationship Id="rId168" Type="http://schemas.openxmlformats.org/officeDocument/2006/relationships/hyperlink" Target="https://www.disabilitynewsservice.com/police-force-admits-passing-footage-of-disabled-protesters-to-dwp/" TargetMode="External"/><Relationship Id="rId51" Type="http://schemas.openxmlformats.org/officeDocument/2006/relationships/hyperlink" Target="https://committees.parliament.uk/publications/3120/documents/29193/default/" TargetMode="External"/><Relationship Id="rId72" Type="http://schemas.openxmlformats.org/officeDocument/2006/relationships/hyperlink" Target="https://assets.publishing.service.gov.uk/government/uploads/system/uploads/attachment_data/file/902220/Research_report_quality_PDR_homes.pdf" TargetMode="External"/><Relationship Id="rId93" Type="http://schemas.openxmlformats.org/officeDocument/2006/relationships/hyperlink" Target="https://www.specialneedsjungle.com/new-budget-funds-for-send-capital-spending-but-how-did-las-spend-previous-cash-we-checked/" TargetMode="External"/><Relationship Id="rId189" Type="http://schemas.openxmlformats.org/officeDocument/2006/relationships/hyperlink" Target="https://gmdisabledpeoplespanel.com/" TargetMode="External"/><Relationship Id="rId3" Type="http://schemas.openxmlformats.org/officeDocument/2006/relationships/hyperlink" Target="https://consult.justice.gov.uk/human-rights/human-rights-act-reform/" TargetMode="External"/><Relationship Id="rId214" Type="http://schemas.openxmlformats.org/officeDocument/2006/relationships/hyperlink" Target="https://www.theguardian.com/society/2018/oct/02/physical-restraint-used-on-50-more-nhs-patients-with-learning-disabilities" TargetMode="External"/><Relationship Id="rId235" Type="http://schemas.openxmlformats.org/officeDocument/2006/relationships/hyperlink" Target="https://www.bbc.co.uk/news/uk-england-essex-57496578" TargetMode="External"/><Relationship Id="rId256" Type="http://schemas.openxmlformats.org/officeDocument/2006/relationships/hyperlink" Target="https://www.telegraph.co.uk/news/2021/06/09/patients-mental-illness-learning-disabilities-given-do-not-resuscitate/" TargetMode="External"/><Relationship Id="rId277" Type="http://schemas.openxmlformats.org/officeDocument/2006/relationships/hyperlink" Target="https://www.bbc.co.uk/news/uk-england-bristol-55157372" TargetMode="External"/><Relationship Id="rId116" Type="http://schemas.openxmlformats.org/officeDocument/2006/relationships/hyperlink" Target="https://www.disabilitynewsservice.com/employers-reluctant-to-provide-adjustments-in-zero-hours-culture/" TargetMode="External"/><Relationship Id="rId137" Type="http://schemas.openxmlformats.org/officeDocument/2006/relationships/hyperlink" Target="https://www.leighday.co.uk/latest-updates/news/2022-news/severely-disabled-benefits-claimants-win-legal-challenge-over-loss-of-income-caused-by-move-on-to-universal-credit/" TargetMode="External"/><Relationship Id="rId158" Type="http://schemas.openxmlformats.org/officeDocument/2006/relationships/hyperlink" Target="https://hansard.parliament.uk/lords/2012-01-17/debates/12011740000437/WelfareReformBill" TargetMode="External"/><Relationship Id="rId20" Type="http://schemas.openxmlformats.org/officeDocument/2006/relationships/hyperlink" Target="https://questions-statements.parliament.uk/written-questions/detail/2018-09-03/169883/" TargetMode="External"/><Relationship Id="rId41" Type="http://schemas.openxmlformats.org/officeDocument/2006/relationships/hyperlink" Target="https://www.adass.org.uk/snap-survey-nov21-rapidly-deteriorating-social-services" TargetMode="External"/><Relationship Id="rId62" Type="http://schemas.openxmlformats.org/officeDocument/2006/relationships/hyperlink" Target="https://www.disabilitynewsservice.com/care-minister-admits-ignoring-views-of-disabled-people-on-governments-reforms/" TargetMode="External"/><Relationship Id="rId83" Type="http://schemas.openxmlformats.org/officeDocument/2006/relationships/hyperlink" Target="https://www.inclusionlondon.org.uk/wp-content/uploads/2021/10/Final-DDPO-UNCRPD-alternative-12-month-follow-up-report-2018-.doc" TargetMode="External"/><Relationship Id="rId179" Type="http://schemas.openxmlformats.org/officeDocument/2006/relationships/hyperlink" Target="https://www.gov.uk/government/news/disability-charities-benefit-from-24-million-fund" TargetMode="External"/><Relationship Id="rId190" Type="http://schemas.openxmlformats.org/officeDocument/2006/relationships/hyperlink" Target="https://www.disabilitynewsservice.com/council-accused-of-settling-scores-after-cutting-funding-from-dpo-that-criticised-it/" TargetMode="External"/><Relationship Id="rId204" Type="http://schemas.openxmlformats.org/officeDocument/2006/relationships/hyperlink" Target="https://www.theguardian.com/society/2019/jan/16/rehab-centre-learning-disabilities-secure-units-community" TargetMode="External"/><Relationship Id="rId225" Type="http://schemas.openxmlformats.org/officeDocument/2006/relationships/hyperlink" Target="https://www.disabilityrightsuk.org/news/2021/april/grenfell-tower-fire-%E2%80%98-landmark-act-discrimination-against-disabled-and-vulnerable" TargetMode="External"/><Relationship Id="rId246" Type="http://schemas.openxmlformats.org/officeDocument/2006/relationships/hyperlink" Target="https://www.independent.co.uk/news/uk/home-news/covid-care-home-deaths-higher-b1894592.html?r=28937" TargetMode="External"/><Relationship Id="rId267" Type="http://schemas.openxmlformats.org/officeDocument/2006/relationships/hyperlink" Target="https://www.gov.uk/government/publications/priority-groups-for-coronavirus-covid-19-vaccination-advice-from-the-jcvi-25-september-2020/jcvi-updated-interim-advice-on-priority-groups-for-covid-19-vaccination" TargetMode="External"/><Relationship Id="rId288" Type="http://schemas.openxmlformats.org/officeDocument/2006/relationships/hyperlink" Target="https://www.nrpfnetwork.org.uk/information-and-resources/rights-and-entitlements/immigration-status-and-entitlements/who-has-no-recourse-to-public-funds-nrpf" TargetMode="External"/><Relationship Id="rId106" Type="http://schemas.openxmlformats.org/officeDocument/2006/relationships/hyperlink" Target="https://www.policyconnect.org.uk/research/arriving-thriving-learning-disabled-students-ensure-access-all" TargetMode="External"/><Relationship Id="rId127" Type="http://schemas.openxmlformats.org/officeDocument/2006/relationships/hyperlink" Target="https://www.disabilitynewsservice.com/dwp-is-forcing-distressed-claimants-to-attend-weekly-meetings-says-whistleblower/" TargetMode="External"/><Relationship Id="rId10" Type="http://schemas.openxmlformats.org/officeDocument/2006/relationships/hyperlink" Target="https://www.ons.gov.uk/peoplepopulationandcommunity/crimeandjustice/articles/domesticabusefindingsfromthecrimesurveyforenglandandwales/yearendingmarch2018" TargetMode="External"/><Relationship Id="rId31" Type="http://schemas.openxmlformats.org/officeDocument/2006/relationships/hyperlink" Target="http://assets.publishing.service.gov.uk/government/uploads/system/uploads/attachment_data/file/839172/hate-crime-1819-hosb2419.pdf" TargetMode="External"/><Relationship Id="rId52" Type="http://schemas.openxmlformats.org/officeDocument/2006/relationships/hyperlink" Target="https://www.thirdsector.co.uk/care-sector-facing-most-acute-recruitment-retention-crisis-its-history-not-for-profit-organisations-warn/management/article/1728476" TargetMode="External"/><Relationship Id="rId73" Type="http://schemas.openxmlformats.org/officeDocument/2006/relationships/hyperlink" Target="https://www.itv.com/news/2021-09-12/britains-housing-shame-shocking-conditions-and-despair-at-a-lack-of-action" TargetMode="External"/><Relationship Id="rId94" Type="http://schemas.openxmlformats.org/officeDocument/2006/relationships/hyperlink" Target="https://www.gov.uk/government/statistics/permanent-exclusions-and-suspensions-in-england-2019-to-2020" TargetMode="External"/><Relationship Id="rId148" Type="http://schemas.openxmlformats.org/officeDocument/2006/relationships/hyperlink" Target="https://old.parliament.uk/documents/commons-committees/work-and-pensions/FF-SN-ESA-GP-letters-17-19.pdf" TargetMode="External"/><Relationship Id="rId169" Type="http://schemas.openxmlformats.org/officeDocument/2006/relationships/hyperlink" Target="https://www.disabilitynewsservice.com/kicked-punched-knocked-unconscious-tipped-out-of-wheelchairs-campaigners-describe-repeated-police-targeting-of-disabled-anti-fracking-protesters/" TargetMode="External"/><Relationship Id="rId4" Type="http://schemas.openxmlformats.org/officeDocument/2006/relationships/hyperlink" Target="https://theclewerinitiative.org/blog/does-it-matter-that-gangmasters-are-targeting-people-with-disabilities" TargetMode="External"/><Relationship Id="rId180" Type="http://schemas.openxmlformats.org/officeDocument/2006/relationships/hyperlink" Target="https://committees.parliament.uk/publications/4068/documents/40461/default/" TargetMode="External"/><Relationship Id="rId215" Type="http://schemas.openxmlformats.org/officeDocument/2006/relationships/hyperlink" Target="https://www.cqc.org.uk/news/releases/cqc-calls-action-fix-closed-system-leads-people-learning-disability-or-autism-being" TargetMode="External"/><Relationship Id="rId236" Type="http://schemas.openxmlformats.org/officeDocument/2006/relationships/hyperlink" Target="https://www.ons.gov.uk/peoplepopulationandcommunity/birthsdeathsandmarriages/deaths/articles/coronaviruscovid19relateddeathsbydisabilitystatusenglandandwales/2marchto14july2020" TargetMode="External"/><Relationship Id="rId257" Type="http://schemas.openxmlformats.org/officeDocument/2006/relationships/hyperlink" Target="https://www.cqc.org.uk/news/releases/improved-oversight-reform-needed-pressures-pandemic-shine-light-inconsistent" TargetMode="External"/><Relationship Id="rId278" Type="http://schemas.openxmlformats.org/officeDocument/2006/relationships/hyperlink" Target="https://www.theguardian.com/society/2021/dec/09/almost-6-million-people-on-waiting-lists-for-nhs-surgery-in-england" TargetMode="External"/><Relationship Id="rId42" Type="http://schemas.openxmlformats.org/officeDocument/2006/relationships/hyperlink" Target="https://committees.parliament.uk/writtenevidence/25880/html/" TargetMode="External"/><Relationship Id="rId84" Type="http://schemas.openxmlformats.org/officeDocument/2006/relationships/hyperlink" Target="file:///C:\Users\User\Documents\Ellen\Work\UNCRPD%20LOI%202022\England%20report%20drafts\disabilityrightsuk.org" TargetMode="External"/><Relationship Id="rId138" Type="http://schemas.openxmlformats.org/officeDocument/2006/relationships/hyperlink" Target="https://publications.parliament.uk/pa/cm201719/cmselect/cmworpen/829/82902.htm" TargetMode="External"/><Relationship Id="rId191" Type="http://schemas.openxmlformats.org/officeDocument/2006/relationships/hyperlink" Target="https://www.disabilitynewsservice.com/user-led-sector-faces-threat-of-extinction/" TargetMode="External"/><Relationship Id="rId205" Type="http://schemas.openxmlformats.org/officeDocument/2006/relationships/hyperlink" Target="https://www.equalityhumanrights.com/en/our-work/news/health-secretary-faces-legal-challenge-failing-patients-learning-disabilities-and" TargetMode="External"/><Relationship Id="rId247" Type="http://schemas.openxmlformats.org/officeDocument/2006/relationships/hyperlink" Target="https://committees.parliament.uk/publications/7496/documents/78687/default/" TargetMode="External"/><Relationship Id="rId107" Type="http://schemas.openxmlformats.org/officeDocument/2006/relationships/hyperlink" Target="https://www.disabilitynewsservice.com/disabled-students-call-for-strict-new-rules-for-universities-that-fail-on-access/" TargetMode="External"/><Relationship Id="rId289" Type="http://schemas.openxmlformats.org/officeDocument/2006/relationships/hyperlink" Target="https://www.disabilitynewsservice.com/governments-shocking-pandemic-rights-list-of-shame/" TargetMode="External"/><Relationship Id="rId11" Type="http://schemas.openxmlformats.org/officeDocument/2006/relationships/hyperlink" Target="https://www.theguardian.com/lifeandstyle/2019/sep/19/disabled-victim-of-domestic-violence-on-her-struggle-to-survive" TargetMode="External"/><Relationship Id="rId53" Type="http://schemas.openxmlformats.org/officeDocument/2006/relationships/hyperlink" Target="https://www.bailii.org/ew/cases/EWHC/Admin/2020/3436.html" TargetMode="External"/><Relationship Id="rId149" Type="http://schemas.openxmlformats.org/officeDocument/2006/relationships/hyperlink" Target="https://committees.parliament.uk/oralevidence/963/default/" TargetMode="External"/><Relationship Id="rId95" Type="http://schemas.openxmlformats.org/officeDocument/2006/relationships/hyperlink" Target="http://www.specialneedsjungle.com/legal-victory-bristol-parents-against-send-cuts-what-mean-other-areas/" TargetMode="External"/><Relationship Id="rId160" Type="http://schemas.openxmlformats.org/officeDocument/2006/relationships/hyperlink" Target="https://www.nao.org.uk/wp-content/uploads/2018/06/Rolling-out-Universal-Credit.pdf" TargetMode="External"/><Relationship Id="rId216" Type="http://schemas.openxmlformats.org/officeDocument/2006/relationships/hyperlink" Target="https://rightsinfo.org/parents-share-harrowing-accounts-of-autistic-young-people-being-locked-up-in-secure-hospitals/" TargetMode="External"/><Relationship Id="rId258" Type="http://schemas.openxmlformats.org/officeDocument/2006/relationships/hyperlink" Target="https://www.disabilitynewsservice.com/nhs-trust-tells-people-with-muscular-dystrophy-were-keeping-your-ventilator-filters-for-patients-with-coronavirus/" TargetMode="External"/><Relationship Id="rId22" Type="http://schemas.openxmlformats.org/officeDocument/2006/relationships/hyperlink" Target="https://www.britishdeafnews.co.uk/why-is-there-a-shortage-of-sign-interpreters/" TargetMode="External"/><Relationship Id="rId64" Type="http://schemas.openxmlformats.org/officeDocument/2006/relationships/hyperlink" Target="https://commonslibrary.parliament.uk/research-briefings/cbp-9315/" TargetMode="External"/><Relationship Id="rId118" Type="http://schemas.openxmlformats.org/officeDocument/2006/relationships/hyperlink" Target="https://doi.org/10.1186/s12889-015-2313-1" TargetMode="External"/><Relationship Id="rId171" Type="http://schemas.openxmlformats.org/officeDocument/2006/relationships/hyperlink" Target="https://www.localgovernmentlawyer.co.uk/governance/396-governance-news/47386-high-court-hears-judicial-review-over-voting-provisions-for-blind-and-partially-sighted-people" TargetMode="External"/><Relationship Id="rId227" Type="http://schemas.openxmlformats.org/officeDocument/2006/relationships/hyperlink" Target="https://www.disabilitynewsservice.com/disabled-people-will-be-forgotten-again-unless-ministers-change-fire-safety-bill-say-p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C5025F-2B65-4031-9F49-7613BC489721}">
  <ds:schemaRefs>
    <ds:schemaRef ds:uri="http://schemas.openxmlformats.org/officeDocument/2006/bibliography"/>
  </ds:schemaRefs>
</ds:datastoreItem>
</file>

<file path=customXml/itemProps2.xml><?xml version="1.0" encoding="utf-8"?>
<ds:datastoreItem xmlns:ds="http://schemas.openxmlformats.org/officeDocument/2006/customXml" ds:itemID="{5114AE5C-FA0F-46B0-B111-19A8EC8268C2}"/>
</file>

<file path=customXml/itemProps3.xml><?xml version="1.0" encoding="utf-8"?>
<ds:datastoreItem xmlns:ds="http://schemas.openxmlformats.org/officeDocument/2006/customXml" ds:itemID="{7C97B1C7-780C-4DF1-82D5-FF8EA417A028}"/>
</file>

<file path=customXml/itemProps4.xml><?xml version="1.0" encoding="utf-8"?>
<ds:datastoreItem xmlns:ds="http://schemas.openxmlformats.org/officeDocument/2006/customXml" ds:itemID="{C7D0426B-31A2-45D3-A853-9B7098D2A55E}"/>
</file>

<file path=docProps/app.xml><?xml version="1.0" encoding="utf-8"?>
<Properties xmlns="http://schemas.openxmlformats.org/officeDocument/2006/extended-properties" xmlns:vt="http://schemas.openxmlformats.org/officeDocument/2006/docPropsVTypes">
  <Template>Normal.dotm</Template>
  <TotalTime>3</TotalTime>
  <Pages>182</Pages>
  <Words>28459</Words>
  <Characters>165778</Characters>
  <Application>Microsoft Office Word</Application>
  <DocSecurity>0</DocSecurity>
  <Lines>1381</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Svetlana Kotova</cp:lastModifiedBy>
  <cp:revision>3</cp:revision>
  <cp:lastPrinted>2022-03-22T11:27:00Z</cp:lastPrinted>
  <dcterms:created xsi:type="dcterms:W3CDTF">2022-03-22T12:47:00Z</dcterms:created>
  <dcterms:modified xsi:type="dcterms:W3CDTF">2022-03-22T12:52:00Z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