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147B" w14:textId="5DF16DD2" w:rsidR="004F63DA" w:rsidRDefault="00F95ED2">
      <w:r>
        <w:rPr>
          <w:rFonts w:ascii="Segoe UI" w:hAnsi="Segoe UI" w:cs="Segoe UI"/>
          <w:color w:val="201F1E"/>
          <w:shd w:val="clear" w:color="auto" w:fill="FFFFFF"/>
        </w:rPr>
        <w:t>To begin, I want to stress the importance of intersectionality within the shadow reporting process and to highlight in particular the degree to which disablism and transphobia are interlinked. We all share the same fights for bodily autonomy, against unnecessary medicalisation and for freedom from discrimination.</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The EHRC’s recent and significant change of direction on trans equality is therefore entirely relevant to the implementation of the UNCRDP in Britain. Their recent statements on reform to the Gender Recognition Act in Scotland and the conversion therapy ban in England and Wales not only reverse their long-held positions, but are in stark contrast to international human rights standards.</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 appreciate that it may be too late for these recent developments to be included in the shadow reporting process but would urge that they are if there is still time.</w:t>
      </w:r>
    </w:p>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D2"/>
    <w:rsid w:val="004F63DA"/>
    <w:rsid w:val="005B442F"/>
    <w:rsid w:val="00F9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B4BB"/>
  <w15:chartTrackingRefBased/>
  <w15:docId w15:val="{CB553EB6-CD63-4D43-B898-8EAC6385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2022-03-07T18:31:00Z</dcterms:created>
  <dcterms:modified xsi:type="dcterms:W3CDTF">2022-03-07T18:32:00Z</dcterms:modified>
</cp:coreProperties>
</file>