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5F46" w14:textId="2D82B156" w:rsidR="006268B4" w:rsidRPr="00C83624" w:rsidRDefault="008D4CA6" w:rsidP="00F34CDF">
      <w:pPr>
        <w:spacing w:after="0" w:line="360" w:lineRule="auto"/>
        <w:jc w:val="center"/>
        <w:rPr>
          <w:rFonts w:ascii="Arial" w:hAnsi="Arial" w:cs="Arial"/>
          <w:b/>
          <w:bCs/>
          <w:sz w:val="32"/>
          <w:szCs w:val="32"/>
          <w:lang w:val="en-US"/>
        </w:rPr>
      </w:pPr>
      <w:r>
        <w:rPr>
          <w:rFonts w:ascii="Arial" w:hAnsi="Arial" w:cs="Arial"/>
          <w:b/>
          <w:bCs/>
          <w:sz w:val="32"/>
          <w:szCs w:val="32"/>
          <w:lang w:val="en-US"/>
        </w:rPr>
        <w:t>P</w:t>
      </w:r>
      <w:r w:rsidR="00776200" w:rsidRPr="00C83624">
        <w:rPr>
          <w:rFonts w:ascii="Arial" w:hAnsi="Arial" w:cs="Arial"/>
          <w:b/>
          <w:bCs/>
          <w:sz w:val="32"/>
          <w:szCs w:val="32"/>
          <w:lang w:val="en-US"/>
        </w:rPr>
        <w:t>sychosocially Disabled people</w:t>
      </w:r>
    </w:p>
    <w:p w14:paraId="7D19131A" w14:textId="0F92D798" w:rsidR="00776200" w:rsidRPr="00C83624" w:rsidRDefault="00C83624" w:rsidP="00F34CDF">
      <w:pPr>
        <w:spacing w:before="240" w:line="360" w:lineRule="auto"/>
        <w:rPr>
          <w:rFonts w:ascii="Arial" w:hAnsi="Arial" w:cs="Arial"/>
          <w:b/>
          <w:bCs/>
          <w:sz w:val="28"/>
          <w:szCs w:val="28"/>
          <w:lang w:val="en-US"/>
        </w:rPr>
      </w:pPr>
      <w:r>
        <w:rPr>
          <w:rFonts w:ascii="Arial" w:hAnsi="Arial" w:cs="Arial"/>
          <w:b/>
          <w:bCs/>
          <w:sz w:val="28"/>
          <w:szCs w:val="28"/>
          <w:lang w:val="en-US"/>
        </w:rPr>
        <w:t>Terminology used</w:t>
      </w:r>
    </w:p>
    <w:p w14:paraId="57669C52" w14:textId="01A37063" w:rsidR="00C83624" w:rsidRDefault="00776200" w:rsidP="00776200">
      <w:pPr>
        <w:spacing w:line="360" w:lineRule="auto"/>
        <w:rPr>
          <w:rFonts w:ascii="Arial" w:hAnsi="Arial" w:cs="Arial"/>
          <w:sz w:val="24"/>
          <w:szCs w:val="24"/>
        </w:rPr>
      </w:pPr>
      <w:r>
        <w:rPr>
          <w:rFonts w:ascii="Arial" w:hAnsi="Arial" w:cs="Arial"/>
          <w:sz w:val="24"/>
          <w:szCs w:val="24"/>
          <w:lang w:val="en-US"/>
        </w:rPr>
        <w:t xml:space="preserve">In England, it is now very usual for those of us who support the full implementation of </w:t>
      </w:r>
      <w:r w:rsidRPr="00776200">
        <w:rPr>
          <w:rFonts w:ascii="Arial" w:hAnsi="Arial" w:cs="Arial"/>
          <w:sz w:val="24"/>
          <w:szCs w:val="24"/>
        </w:rPr>
        <w:t>the UNCRD</w:t>
      </w:r>
      <w:r w:rsidR="008D4CA6">
        <w:rPr>
          <w:rFonts w:ascii="Arial" w:hAnsi="Arial" w:cs="Arial"/>
          <w:sz w:val="24"/>
          <w:szCs w:val="24"/>
        </w:rPr>
        <w:t>P</w:t>
      </w:r>
      <w:r w:rsidRPr="00776200">
        <w:rPr>
          <w:rFonts w:ascii="Arial" w:hAnsi="Arial" w:cs="Arial"/>
          <w:sz w:val="24"/>
          <w:szCs w:val="24"/>
        </w:rPr>
        <w:t xml:space="preserve"> </w:t>
      </w:r>
      <w:r w:rsidR="00036576">
        <w:rPr>
          <w:rFonts w:ascii="Arial" w:hAnsi="Arial" w:cs="Arial"/>
          <w:sz w:val="24"/>
          <w:szCs w:val="24"/>
        </w:rPr>
        <w:t>to call ourselves people with experience of mental</w:t>
      </w:r>
      <w:r w:rsidR="008D4CA6">
        <w:rPr>
          <w:rFonts w:ascii="Arial" w:hAnsi="Arial" w:cs="Arial"/>
          <w:sz w:val="24"/>
          <w:szCs w:val="24"/>
        </w:rPr>
        <w:t xml:space="preserve"> </w:t>
      </w:r>
      <w:r w:rsidR="00036576">
        <w:rPr>
          <w:rFonts w:ascii="Arial" w:hAnsi="Arial" w:cs="Arial"/>
          <w:sz w:val="24"/>
          <w:szCs w:val="24"/>
        </w:rPr>
        <w:t>distress</w:t>
      </w:r>
      <w:r w:rsidR="00BA7BAE">
        <w:rPr>
          <w:rFonts w:ascii="Arial" w:hAnsi="Arial" w:cs="Arial"/>
          <w:sz w:val="24"/>
          <w:szCs w:val="24"/>
        </w:rPr>
        <w:t>. It is our equivalent of the term ‘psychosocial disabilities’. It</w:t>
      </w:r>
      <w:r w:rsidR="00036576">
        <w:rPr>
          <w:rFonts w:ascii="Arial" w:hAnsi="Arial" w:cs="Arial"/>
          <w:sz w:val="24"/>
          <w:szCs w:val="24"/>
        </w:rPr>
        <w:t xml:space="preserve"> reflects our concern to move away from language</w:t>
      </w:r>
      <w:r w:rsidR="00BA7BAE">
        <w:rPr>
          <w:rFonts w:ascii="Arial" w:hAnsi="Arial" w:cs="Arial"/>
          <w:sz w:val="24"/>
          <w:szCs w:val="24"/>
        </w:rPr>
        <w:t xml:space="preserve"> traditionally used in the UK </w:t>
      </w:r>
      <w:r w:rsidR="00C83624">
        <w:rPr>
          <w:rFonts w:ascii="Arial" w:hAnsi="Arial" w:cs="Arial"/>
          <w:sz w:val="24"/>
          <w:szCs w:val="24"/>
        </w:rPr>
        <w:t xml:space="preserve">which reflects </w:t>
      </w:r>
      <w:r w:rsidR="00654E6A">
        <w:rPr>
          <w:rFonts w:ascii="Arial" w:hAnsi="Arial" w:cs="Arial"/>
          <w:sz w:val="24"/>
          <w:szCs w:val="24"/>
        </w:rPr>
        <w:t xml:space="preserve">and </w:t>
      </w:r>
      <w:r w:rsidR="000D0D64">
        <w:rPr>
          <w:rFonts w:ascii="Arial" w:hAnsi="Arial" w:cs="Arial"/>
          <w:sz w:val="24"/>
          <w:szCs w:val="24"/>
        </w:rPr>
        <w:t xml:space="preserve">tends to </w:t>
      </w:r>
      <w:r w:rsidR="00654E6A">
        <w:rPr>
          <w:rFonts w:ascii="Arial" w:hAnsi="Arial" w:cs="Arial"/>
          <w:sz w:val="24"/>
          <w:szCs w:val="24"/>
        </w:rPr>
        <w:t xml:space="preserve">reinforce </w:t>
      </w:r>
      <w:r w:rsidR="00C83624">
        <w:rPr>
          <w:rFonts w:ascii="Arial" w:hAnsi="Arial" w:cs="Arial"/>
          <w:sz w:val="24"/>
          <w:szCs w:val="24"/>
        </w:rPr>
        <w:t>the medical model dominant in this country, for example</w:t>
      </w:r>
      <w:r w:rsidR="00BA7BAE">
        <w:rPr>
          <w:rFonts w:ascii="Arial" w:hAnsi="Arial" w:cs="Arial"/>
          <w:sz w:val="24"/>
          <w:szCs w:val="24"/>
        </w:rPr>
        <w:t xml:space="preserve"> ‘people with mental health problems</w:t>
      </w:r>
      <w:r w:rsidR="008D4CA6">
        <w:rPr>
          <w:rFonts w:ascii="Arial" w:hAnsi="Arial" w:cs="Arial"/>
          <w:sz w:val="24"/>
          <w:szCs w:val="24"/>
        </w:rPr>
        <w:t>/mental illnesses</w:t>
      </w:r>
      <w:r w:rsidR="00C83624">
        <w:rPr>
          <w:rFonts w:ascii="Arial" w:hAnsi="Arial" w:cs="Arial"/>
          <w:sz w:val="24"/>
          <w:szCs w:val="24"/>
        </w:rPr>
        <w:t>’.</w:t>
      </w:r>
      <w:r w:rsidR="00371992">
        <w:rPr>
          <w:rFonts w:ascii="Arial" w:hAnsi="Arial" w:cs="Arial"/>
          <w:sz w:val="24"/>
          <w:szCs w:val="24"/>
        </w:rPr>
        <w:t xml:space="preserve"> </w:t>
      </w:r>
    </w:p>
    <w:p w14:paraId="75E983FB" w14:textId="038D3511" w:rsidR="00C83624" w:rsidRDefault="00C83624" w:rsidP="00776200">
      <w:pPr>
        <w:spacing w:line="360" w:lineRule="auto"/>
        <w:rPr>
          <w:rFonts w:ascii="Arial" w:hAnsi="Arial" w:cs="Arial"/>
          <w:b/>
          <w:bCs/>
          <w:sz w:val="28"/>
          <w:szCs w:val="28"/>
        </w:rPr>
      </w:pPr>
      <w:r>
        <w:rPr>
          <w:rFonts w:ascii="Arial" w:hAnsi="Arial" w:cs="Arial"/>
          <w:b/>
          <w:bCs/>
          <w:sz w:val="28"/>
          <w:szCs w:val="28"/>
        </w:rPr>
        <w:t>Key issues for people with experience of mental distress</w:t>
      </w:r>
    </w:p>
    <w:p w14:paraId="213E43D6" w14:textId="34DEDCB5" w:rsidR="00C83624" w:rsidRDefault="00654E6A" w:rsidP="00776200">
      <w:pPr>
        <w:spacing w:line="360" w:lineRule="auto"/>
        <w:rPr>
          <w:rFonts w:ascii="Arial" w:hAnsi="Arial" w:cs="Arial"/>
          <w:b/>
          <w:bCs/>
          <w:sz w:val="24"/>
          <w:szCs w:val="24"/>
        </w:rPr>
      </w:pPr>
      <w:r>
        <w:rPr>
          <w:rFonts w:ascii="Arial" w:hAnsi="Arial" w:cs="Arial"/>
          <w:b/>
          <w:bCs/>
          <w:sz w:val="24"/>
          <w:szCs w:val="24"/>
        </w:rPr>
        <w:t xml:space="preserve">Article 1 </w:t>
      </w:r>
      <w:r w:rsidR="00382BA4">
        <w:rPr>
          <w:rFonts w:ascii="Arial" w:hAnsi="Arial" w:cs="Arial"/>
          <w:b/>
          <w:bCs/>
          <w:sz w:val="24"/>
          <w:szCs w:val="24"/>
        </w:rPr>
        <w:t>of</w:t>
      </w:r>
      <w:r>
        <w:rPr>
          <w:rFonts w:ascii="Arial" w:hAnsi="Arial" w:cs="Arial"/>
          <w:b/>
          <w:bCs/>
          <w:sz w:val="24"/>
          <w:szCs w:val="24"/>
        </w:rPr>
        <w:t xml:space="preserve"> the Convention</w:t>
      </w:r>
    </w:p>
    <w:p w14:paraId="640BF670" w14:textId="2A630B7C" w:rsidR="00654E6A" w:rsidRDefault="006065CA" w:rsidP="00776200">
      <w:pPr>
        <w:spacing w:line="360" w:lineRule="auto"/>
        <w:rPr>
          <w:rFonts w:ascii="Arial" w:hAnsi="Arial" w:cs="Arial"/>
          <w:sz w:val="24"/>
          <w:szCs w:val="24"/>
        </w:rPr>
      </w:pPr>
      <w:r>
        <w:rPr>
          <w:rFonts w:ascii="Arial" w:hAnsi="Arial" w:cs="Arial"/>
          <w:sz w:val="24"/>
          <w:szCs w:val="24"/>
        </w:rPr>
        <w:t>Despite the Disability Committee’s recommendation in its 2017 Review</w:t>
      </w:r>
      <w:r w:rsidR="008D4CA6">
        <w:rPr>
          <w:rFonts w:ascii="Arial" w:hAnsi="Arial" w:cs="Arial"/>
          <w:sz w:val="24"/>
          <w:szCs w:val="24"/>
        </w:rPr>
        <w:t xml:space="preserve"> report</w:t>
      </w:r>
      <w:r>
        <w:rPr>
          <w:rFonts w:ascii="Arial" w:hAnsi="Arial" w:cs="Arial"/>
          <w:sz w:val="24"/>
          <w:szCs w:val="24"/>
        </w:rPr>
        <w:t>, t</w:t>
      </w:r>
      <w:r w:rsidRPr="006065CA">
        <w:rPr>
          <w:rFonts w:ascii="Arial" w:hAnsi="Arial" w:cs="Arial"/>
          <w:sz w:val="24"/>
          <w:szCs w:val="24"/>
        </w:rPr>
        <w:t xml:space="preserve">he </w:t>
      </w:r>
      <w:r>
        <w:rPr>
          <w:rFonts w:ascii="Arial" w:hAnsi="Arial" w:cs="Arial"/>
          <w:sz w:val="24"/>
          <w:szCs w:val="24"/>
        </w:rPr>
        <w:t xml:space="preserve">Government has failed to ensure that law and policy </w:t>
      </w:r>
      <w:r w:rsidR="00382BA4">
        <w:rPr>
          <w:rFonts w:ascii="Arial" w:hAnsi="Arial" w:cs="Arial"/>
          <w:sz w:val="24"/>
          <w:szCs w:val="24"/>
        </w:rPr>
        <w:t>addressing issues for people in mental distress enshrines the</w:t>
      </w:r>
      <w:r>
        <w:rPr>
          <w:rFonts w:ascii="Arial" w:hAnsi="Arial" w:cs="Arial"/>
          <w:sz w:val="24"/>
          <w:szCs w:val="24"/>
        </w:rPr>
        <w:t xml:space="preserve"> human rights model </w:t>
      </w:r>
      <w:r w:rsidR="00382BA4">
        <w:rPr>
          <w:rFonts w:ascii="Arial" w:hAnsi="Arial" w:cs="Arial"/>
          <w:sz w:val="24"/>
          <w:szCs w:val="24"/>
        </w:rPr>
        <w:t xml:space="preserve">of disability. </w:t>
      </w:r>
      <w:r w:rsidR="00FC419F">
        <w:rPr>
          <w:rFonts w:ascii="Arial" w:hAnsi="Arial" w:cs="Arial"/>
          <w:sz w:val="24"/>
          <w:szCs w:val="24"/>
        </w:rPr>
        <w:t xml:space="preserve">Instead, we are very much </w:t>
      </w:r>
      <w:r w:rsidR="00CA19E1">
        <w:rPr>
          <w:rFonts w:ascii="Arial" w:hAnsi="Arial" w:cs="Arial"/>
          <w:sz w:val="24"/>
          <w:szCs w:val="24"/>
        </w:rPr>
        <w:t>regarded</w:t>
      </w:r>
      <w:r w:rsidR="00FC419F">
        <w:rPr>
          <w:rFonts w:ascii="Arial" w:hAnsi="Arial" w:cs="Arial"/>
          <w:sz w:val="24"/>
          <w:szCs w:val="24"/>
        </w:rPr>
        <w:t xml:space="preserve"> still as people </w:t>
      </w:r>
      <w:r w:rsidR="00F53E93">
        <w:rPr>
          <w:rFonts w:ascii="Arial" w:hAnsi="Arial" w:cs="Arial"/>
          <w:sz w:val="24"/>
          <w:szCs w:val="24"/>
        </w:rPr>
        <w:t xml:space="preserve">who need </w:t>
      </w:r>
      <w:r w:rsidR="008D4CA6">
        <w:rPr>
          <w:rFonts w:ascii="Arial" w:hAnsi="Arial" w:cs="Arial"/>
          <w:sz w:val="24"/>
          <w:szCs w:val="24"/>
        </w:rPr>
        <w:t xml:space="preserve">protection against ourselves and </w:t>
      </w:r>
      <w:r w:rsidR="00F53E93">
        <w:rPr>
          <w:rFonts w:ascii="Arial" w:hAnsi="Arial" w:cs="Arial"/>
          <w:sz w:val="24"/>
          <w:szCs w:val="24"/>
        </w:rPr>
        <w:t xml:space="preserve">clinical treatment. </w:t>
      </w:r>
      <w:r w:rsidR="005813FC">
        <w:rPr>
          <w:rFonts w:ascii="Arial" w:hAnsi="Arial" w:cs="Arial"/>
          <w:sz w:val="24"/>
          <w:szCs w:val="24"/>
        </w:rPr>
        <w:t xml:space="preserve">As a result, the </w:t>
      </w:r>
      <w:hyperlink r:id="rId7" w:history="1">
        <w:r w:rsidR="005813FC" w:rsidRPr="00AF3508">
          <w:rPr>
            <w:rStyle w:val="Hyperlink"/>
            <w:rFonts w:ascii="Arial" w:hAnsi="Arial" w:cs="Arial"/>
            <w:sz w:val="24"/>
            <w:szCs w:val="24"/>
          </w:rPr>
          <w:t>Mental Health Act White Paper</w:t>
        </w:r>
      </w:hyperlink>
      <w:r w:rsidR="005813FC">
        <w:rPr>
          <w:rFonts w:ascii="Arial" w:hAnsi="Arial" w:cs="Arial"/>
          <w:sz w:val="24"/>
          <w:szCs w:val="24"/>
        </w:rPr>
        <w:t xml:space="preserve"> </w:t>
      </w:r>
      <w:r w:rsidR="002D54C5">
        <w:rPr>
          <w:rFonts w:ascii="Arial" w:hAnsi="Arial" w:cs="Arial"/>
          <w:sz w:val="24"/>
          <w:szCs w:val="24"/>
        </w:rPr>
        <w:t>(</w:t>
      </w:r>
      <w:r w:rsidR="000246EB">
        <w:rPr>
          <w:rFonts w:ascii="Arial" w:hAnsi="Arial" w:cs="Arial"/>
          <w:sz w:val="24"/>
          <w:szCs w:val="24"/>
        </w:rPr>
        <w:t xml:space="preserve">Department of Health and Social Care, </w:t>
      </w:r>
      <w:r w:rsidR="002D54C5">
        <w:rPr>
          <w:rFonts w:ascii="Arial" w:hAnsi="Arial" w:cs="Arial"/>
          <w:sz w:val="24"/>
          <w:szCs w:val="24"/>
        </w:rPr>
        <w:t xml:space="preserve">2021) </w:t>
      </w:r>
      <w:r w:rsidR="005813FC">
        <w:rPr>
          <w:rFonts w:ascii="Arial" w:hAnsi="Arial" w:cs="Arial"/>
          <w:sz w:val="24"/>
          <w:szCs w:val="24"/>
        </w:rPr>
        <w:t xml:space="preserve">which sets out proposals for reform of the </w:t>
      </w:r>
      <w:hyperlink r:id="rId8" w:history="1">
        <w:r w:rsidR="00C42708" w:rsidRPr="002D0A91">
          <w:rPr>
            <w:rStyle w:val="Hyperlink"/>
            <w:rFonts w:ascii="Arial" w:hAnsi="Arial" w:cs="Arial"/>
            <w:i/>
            <w:iCs/>
            <w:sz w:val="24"/>
            <w:szCs w:val="24"/>
          </w:rPr>
          <w:t>Mental Health Act 1983</w:t>
        </w:r>
      </w:hyperlink>
      <w:r w:rsidR="00C42708">
        <w:rPr>
          <w:rFonts w:ascii="Arial" w:hAnsi="Arial" w:cs="Arial"/>
          <w:sz w:val="24"/>
          <w:szCs w:val="24"/>
        </w:rPr>
        <w:t xml:space="preserve">, </w:t>
      </w:r>
      <w:r w:rsidR="005813FC">
        <w:rPr>
          <w:rFonts w:ascii="Arial" w:hAnsi="Arial" w:cs="Arial"/>
          <w:sz w:val="24"/>
          <w:szCs w:val="24"/>
        </w:rPr>
        <w:t xml:space="preserve">continues </w:t>
      </w:r>
      <w:r w:rsidR="001C1A21">
        <w:rPr>
          <w:rFonts w:ascii="Arial" w:hAnsi="Arial" w:cs="Arial"/>
          <w:sz w:val="24"/>
          <w:szCs w:val="24"/>
        </w:rPr>
        <w:t xml:space="preserve">to use a medically orientated, diagnostic model </w:t>
      </w:r>
      <w:r w:rsidR="00CA19E1">
        <w:rPr>
          <w:rFonts w:ascii="Arial" w:hAnsi="Arial" w:cs="Arial"/>
          <w:sz w:val="24"/>
          <w:szCs w:val="24"/>
        </w:rPr>
        <w:t>and to set significant limits to our human rights.</w:t>
      </w:r>
      <w:r w:rsidR="00244D91">
        <w:rPr>
          <w:rFonts w:ascii="Arial" w:hAnsi="Arial" w:cs="Arial"/>
          <w:sz w:val="24"/>
          <w:szCs w:val="24"/>
        </w:rPr>
        <w:t xml:space="preserve"> </w:t>
      </w:r>
      <w:r w:rsidR="00AD6F0A">
        <w:rPr>
          <w:rFonts w:ascii="Arial" w:hAnsi="Arial" w:cs="Arial"/>
          <w:sz w:val="24"/>
          <w:szCs w:val="24"/>
        </w:rPr>
        <w:t xml:space="preserve">(See also below) </w:t>
      </w:r>
      <w:r w:rsidR="00244D91">
        <w:rPr>
          <w:rFonts w:ascii="Arial" w:hAnsi="Arial" w:cs="Arial"/>
          <w:sz w:val="24"/>
          <w:szCs w:val="24"/>
        </w:rPr>
        <w:t xml:space="preserve">Whilst some developments such as the </w:t>
      </w:r>
      <w:hyperlink r:id="rId9" w:history="1">
        <w:r w:rsidR="00244D91" w:rsidRPr="00452974">
          <w:rPr>
            <w:rStyle w:val="Hyperlink"/>
            <w:rFonts w:ascii="Arial" w:hAnsi="Arial" w:cs="Arial"/>
            <w:i/>
            <w:iCs/>
            <w:sz w:val="24"/>
            <w:szCs w:val="24"/>
          </w:rPr>
          <w:t>Five Year Forward View</w:t>
        </w:r>
        <w:r w:rsidR="00244D91" w:rsidRPr="00452974">
          <w:rPr>
            <w:rStyle w:val="Hyperlink"/>
            <w:rFonts w:ascii="Arial" w:hAnsi="Arial" w:cs="Arial"/>
            <w:sz w:val="24"/>
            <w:szCs w:val="24"/>
          </w:rPr>
          <w:t xml:space="preserve"> </w:t>
        </w:r>
        <w:r w:rsidR="002D54C5" w:rsidRPr="00452974">
          <w:rPr>
            <w:rStyle w:val="Hyperlink"/>
            <w:rFonts w:ascii="Arial" w:hAnsi="Arial" w:cs="Arial"/>
            <w:i/>
            <w:iCs/>
            <w:sz w:val="24"/>
            <w:szCs w:val="24"/>
          </w:rPr>
          <w:t>for Mental Health</w:t>
        </w:r>
      </w:hyperlink>
      <w:r w:rsidR="002D54C5">
        <w:rPr>
          <w:rFonts w:ascii="Arial" w:hAnsi="Arial" w:cs="Arial"/>
          <w:sz w:val="24"/>
          <w:szCs w:val="24"/>
        </w:rPr>
        <w:t xml:space="preserve"> (</w:t>
      </w:r>
      <w:r w:rsidR="000246EB">
        <w:rPr>
          <w:rFonts w:ascii="Arial" w:hAnsi="Arial" w:cs="Arial"/>
          <w:sz w:val="24"/>
          <w:szCs w:val="24"/>
        </w:rPr>
        <w:t>Independent Mental Health Task Force</w:t>
      </w:r>
      <w:r w:rsidR="000D0D64">
        <w:rPr>
          <w:rFonts w:ascii="Arial" w:hAnsi="Arial" w:cs="Arial"/>
          <w:sz w:val="24"/>
          <w:szCs w:val="24"/>
        </w:rPr>
        <w:t>,</w:t>
      </w:r>
      <w:r w:rsidR="000246EB">
        <w:rPr>
          <w:rFonts w:ascii="Arial" w:hAnsi="Arial" w:cs="Arial"/>
          <w:sz w:val="24"/>
          <w:szCs w:val="24"/>
        </w:rPr>
        <w:t xml:space="preserve"> </w:t>
      </w:r>
      <w:r w:rsidR="002D54C5">
        <w:rPr>
          <w:rFonts w:ascii="Arial" w:hAnsi="Arial" w:cs="Arial"/>
          <w:sz w:val="24"/>
          <w:szCs w:val="24"/>
        </w:rPr>
        <w:t>2016)</w:t>
      </w:r>
      <w:r w:rsidR="00AD6F0A">
        <w:rPr>
          <w:rFonts w:ascii="Arial" w:hAnsi="Arial" w:cs="Arial"/>
          <w:sz w:val="24"/>
          <w:szCs w:val="24"/>
        </w:rPr>
        <w:t>,</w:t>
      </w:r>
      <w:r w:rsidR="002D0A91">
        <w:rPr>
          <w:rFonts w:ascii="Arial" w:hAnsi="Arial" w:cs="Arial"/>
          <w:sz w:val="24"/>
          <w:szCs w:val="24"/>
        </w:rPr>
        <w:t xml:space="preserve"> which </w:t>
      </w:r>
      <w:r w:rsidR="000D0D64">
        <w:rPr>
          <w:rFonts w:ascii="Arial" w:hAnsi="Arial" w:cs="Arial"/>
          <w:sz w:val="24"/>
          <w:szCs w:val="24"/>
        </w:rPr>
        <w:t>contains</w:t>
      </w:r>
      <w:r w:rsidR="002D0A91">
        <w:rPr>
          <w:rFonts w:ascii="Arial" w:hAnsi="Arial" w:cs="Arial"/>
          <w:sz w:val="24"/>
          <w:szCs w:val="24"/>
        </w:rPr>
        <w:t xml:space="preserve"> a five year improvement plan, </w:t>
      </w:r>
      <w:r w:rsidR="00244D91">
        <w:rPr>
          <w:rFonts w:ascii="Arial" w:hAnsi="Arial" w:cs="Arial"/>
          <w:sz w:val="24"/>
          <w:szCs w:val="24"/>
        </w:rPr>
        <w:t xml:space="preserve">and the </w:t>
      </w:r>
      <w:hyperlink r:id="rId10" w:history="1">
        <w:r w:rsidR="002D54C5" w:rsidRPr="00462D06">
          <w:rPr>
            <w:rStyle w:val="Hyperlink"/>
            <w:rFonts w:ascii="Arial" w:hAnsi="Arial" w:cs="Arial"/>
            <w:i/>
            <w:iCs/>
            <w:sz w:val="24"/>
            <w:szCs w:val="24"/>
          </w:rPr>
          <w:t>COVID-19 Mental Health and Wellbeing Recovery Action Plan</w:t>
        </w:r>
      </w:hyperlink>
      <w:r w:rsidR="002D54C5">
        <w:rPr>
          <w:rFonts w:ascii="Arial" w:hAnsi="Arial" w:cs="Arial"/>
          <w:i/>
          <w:iCs/>
          <w:sz w:val="24"/>
          <w:szCs w:val="24"/>
        </w:rPr>
        <w:t xml:space="preserve"> </w:t>
      </w:r>
      <w:r w:rsidR="002D54C5">
        <w:rPr>
          <w:rFonts w:ascii="Arial" w:hAnsi="Arial" w:cs="Arial"/>
          <w:sz w:val="24"/>
          <w:szCs w:val="24"/>
        </w:rPr>
        <w:t>(</w:t>
      </w:r>
      <w:r w:rsidR="000246EB">
        <w:rPr>
          <w:rFonts w:ascii="Arial" w:hAnsi="Arial" w:cs="Arial"/>
          <w:sz w:val="24"/>
          <w:szCs w:val="24"/>
        </w:rPr>
        <w:t xml:space="preserve">HM Government, </w:t>
      </w:r>
      <w:r w:rsidR="002D54C5">
        <w:rPr>
          <w:rFonts w:ascii="Arial" w:hAnsi="Arial" w:cs="Arial"/>
          <w:sz w:val="24"/>
          <w:szCs w:val="24"/>
        </w:rPr>
        <w:t>2021)</w:t>
      </w:r>
      <w:r w:rsidR="00AF3508">
        <w:rPr>
          <w:rFonts w:ascii="Arial" w:hAnsi="Arial" w:cs="Arial"/>
          <w:sz w:val="24"/>
          <w:szCs w:val="24"/>
        </w:rPr>
        <w:t xml:space="preserve"> </w:t>
      </w:r>
      <w:r w:rsidR="00452974">
        <w:rPr>
          <w:rFonts w:ascii="Arial" w:hAnsi="Arial" w:cs="Arial"/>
          <w:sz w:val="24"/>
          <w:szCs w:val="24"/>
        </w:rPr>
        <w:t>put</w:t>
      </w:r>
      <w:r w:rsidR="00AF3508">
        <w:rPr>
          <w:rFonts w:ascii="Arial" w:hAnsi="Arial" w:cs="Arial"/>
          <w:sz w:val="24"/>
          <w:szCs w:val="24"/>
        </w:rPr>
        <w:t xml:space="preserve"> </w:t>
      </w:r>
      <w:r w:rsidR="00452974">
        <w:rPr>
          <w:rFonts w:ascii="Arial" w:hAnsi="Arial" w:cs="Arial"/>
          <w:sz w:val="24"/>
          <w:szCs w:val="24"/>
        </w:rPr>
        <w:t>quite a</w:t>
      </w:r>
      <w:r w:rsidR="00AF3508">
        <w:rPr>
          <w:rFonts w:ascii="Arial" w:hAnsi="Arial" w:cs="Arial"/>
          <w:sz w:val="24"/>
          <w:szCs w:val="24"/>
        </w:rPr>
        <w:t xml:space="preserve"> focus on social factors also, they still rest on a clinical understanding of mental distress</w:t>
      </w:r>
      <w:r w:rsidR="00452974">
        <w:rPr>
          <w:rFonts w:ascii="Arial" w:hAnsi="Arial" w:cs="Arial"/>
          <w:sz w:val="24"/>
          <w:szCs w:val="24"/>
        </w:rPr>
        <w:t xml:space="preserve">. </w:t>
      </w:r>
    </w:p>
    <w:p w14:paraId="14A18571" w14:textId="59F24173" w:rsidR="0030158B" w:rsidRDefault="0030158B" w:rsidP="00776200">
      <w:pPr>
        <w:spacing w:line="360" w:lineRule="auto"/>
        <w:rPr>
          <w:rFonts w:ascii="Arial" w:hAnsi="Arial" w:cs="Arial"/>
          <w:b/>
          <w:bCs/>
          <w:sz w:val="24"/>
          <w:szCs w:val="24"/>
        </w:rPr>
      </w:pPr>
      <w:r>
        <w:rPr>
          <w:rFonts w:ascii="Arial" w:hAnsi="Arial" w:cs="Arial"/>
          <w:b/>
          <w:bCs/>
          <w:sz w:val="24"/>
          <w:szCs w:val="24"/>
        </w:rPr>
        <w:t>Article 4.3</w:t>
      </w:r>
    </w:p>
    <w:p w14:paraId="3DC5B158" w14:textId="386BBC63" w:rsidR="00091F1B" w:rsidRPr="00B6377B" w:rsidRDefault="004A28B2" w:rsidP="00776200">
      <w:pPr>
        <w:spacing w:line="360" w:lineRule="auto"/>
        <w:rPr>
          <w:rFonts w:ascii="Arial" w:hAnsi="Arial" w:cs="Arial"/>
          <w:sz w:val="24"/>
          <w:szCs w:val="24"/>
        </w:rPr>
      </w:pPr>
      <w:r>
        <w:rPr>
          <w:rFonts w:ascii="Arial" w:hAnsi="Arial" w:cs="Arial"/>
          <w:sz w:val="24"/>
          <w:szCs w:val="24"/>
        </w:rPr>
        <w:t>In its approach to mental health law</w:t>
      </w:r>
      <w:r w:rsidR="00B6377B">
        <w:rPr>
          <w:rFonts w:ascii="Arial" w:hAnsi="Arial" w:cs="Arial"/>
          <w:sz w:val="24"/>
          <w:szCs w:val="24"/>
        </w:rPr>
        <w:t xml:space="preserve"> and policies stemming from it</w:t>
      </w:r>
      <w:r>
        <w:rPr>
          <w:rFonts w:ascii="Arial" w:hAnsi="Arial" w:cs="Arial"/>
          <w:sz w:val="24"/>
          <w:szCs w:val="24"/>
        </w:rPr>
        <w:t>, t</w:t>
      </w:r>
      <w:r w:rsidR="00091F1B" w:rsidRPr="00091F1B">
        <w:rPr>
          <w:rFonts w:ascii="Arial" w:hAnsi="Arial" w:cs="Arial"/>
          <w:sz w:val="24"/>
          <w:szCs w:val="24"/>
        </w:rPr>
        <w:t xml:space="preserve">he government </w:t>
      </w:r>
      <w:r w:rsidR="00091F1B">
        <w:rPr>
          <w:rFonts w:ascii="Arial" w:hAnsi="Arial" w:cs="Arial"/>
          <w:sz w:val="24"/>
          <w:szCs w:val="24"/>
        </w:rPr>
        <w:t>continues to fall short of</w:t>
      </w:r>
      <w:r>
        <w:rPr>
          <w:rFonts w:ascii="Arial" w:hAnsi="Arial" w:cs="Arial"/>
          <w:sz w:val="24"/>
          <w:szCs w:val="24"/>
        </w:rPr>
        <w:t xml:space="preserve"> adequately consulting and involving people in mental distress</w:t>
      </w:r>
      <w:r w:rsidR="00F34CDF">
        <w:rPr>
          <w:rFonts w:ascii="Arial" w:hAnsi="Arial" w:cs="Arial"/>
          <w:sz w:val="24"/>
          <w:szCs w:val="24"/>
        </w:rPr>
        <w:t>, despite improvements recommended in the Disability Committee’s 2017 Review</w:t>
      </w:r>
      <w:r w:rsidR="008D4CA6">
        <w:rPr>
          <w:rFonts w:ascii="Arial" w:hAnsi="Arial" w:cs="Arial"/>
          <w:sz w:val="24"/>
          <w:szCs w:val="24"/>
        </w:rPr>
        <w:t xml:space="preserve"> report</w:t>
      </w:r>
      <w:r w:rsidR="00F34CDF">
        <w:rPr>
          <w:rFonts w:ascii="Arial" w:hAnsi="Arial" w:cs="Arial"/>
          <w:sz w:val="24"/>
          <w:szCs w:val="24"/>
        </w:rPr>
        <w:t xml:space="preserve">. </w:t>
      </w:r>
      <w:r w:rsidR="004D7238">
        <w:rPr>
          <w:rFonts w:ascii="Arial" w:hAnsi="Arial" w:cs="Arial"/>
          <w:sz w:val="24"/>
          <w:szCs w:val="24"/>
        </w:rPr>
        <w:t xml:space="preserve">A major factor is that, although people in mental distress, too, had the opportunity to take part in a consultation about the reform of mental health law, many  were </w:t>
      </w:r>
      <w:r w:rsidR="00335AA2">
        <w:rPr>
          <w:rFonts w:ascii="Arial" w:hAnsi="Arial" w:cs="Arial"/>
          <w:sz w:val="24"/>
          <w:szCs w:val="24"/>
        </w:rPr>
        <w:t xml:space="preserve">in </w:t>
      </w:r>
      <w:r w:rsidR="004D7238">
        <w:rPr>
          <w:rFonts w:ascii="Arial" w:hAnsi="Arial" w:cs="Arial"/>
          <w:sz w:val="24"/>
          <w:szCs w:val="24"/>
        </w:rPr>
        <w:t xml:space="preserve">no more </w:t>
      </w:r>
      <w:r w:rsidR="00335AA2">
        <w:rPr>
          <w:rFonts w:ascii="Arial" w:hAnsi="Arial" w:cs="Arial"/>
          <w:sz w:val="24"/>
          <w:szCs w:val="24"/>
        </w:rPr>
        <w:t>of</w:t>
      </w:r>
      <w:r w:rsidR="004D7238">
        <w:rPr>
          <w:rFonts w:ascii="Arial" w:hAnsi="Arial" w:cs="Arial"/>
          <w:sz w:val="24"/>
          <w:szCs w:val="24"/>
        </w:rPr>
        <w:t xml:space="preserve"> a position to make informed choices than they had been during </w:t>
      </w:r>
      <w:r w:rsidR="004D7238">
        <w:rPr>
          <w:rFonts w:ascii="Arial" w:hAnsi="Arial" w:cs="Arial"/>
          <w:sz w:val="24"/>
          <w:szCs w:val="24"/>
        </w:rPr>
        <w:lastRenderedPageBreak/>
        <w:t xml:space="preserve">the </w:t>
      </w:r>
      <w:hyperlink r:id="rId11" w:history="1">
        <w:r w:rsidR="004D7238" w:rsidRPr="00335AA2">
          <w:rPr>
            <w:rStyle w:val="Hyperlink"/>
            <w:rFonts w:ascii="Arial" w:hAnsi="Arial" w:cs="Arial"/>
            <w:sz w:val="24"/>
            <w:szCs w:val="24"/>
          </w:rPr>
          <w:t>Review</w:t>
        </w:r>
      </w:hyperlink>
      <w:r w:rsidR="004D7238">
        <w:rPr>
          <w:rFonts w:ascii="Arial" w:hAnsi="Arial" w:cs="Arial"/>
          <w:sz w:val="24"/>
          <w:szCs w:val="24"/>
        </w:rPr>
        <w:t xml:space="preserve"> </w:t>
      </w:r>
      <w:r w:rsidR="00335AA2">
        <w:rPr>
          <w:rFonts w:ascii="Arial" w:hAnsi="Arial" w:cs="Arial"/>
          <w:sz w:val="24"/>
          <w:szCs w:val="24"/>
        </w:rPr>
        <w:t>(</w:t>
      </w:r>
      <w:proofErr w:type="spellStart"/>
      <w:r w:rsidR="00335AA2">
        <w:rPr>
          <w:rFonts w:ascii="Arial" w:hAnsi="Arial" w:cs="Arial"/>
          <w:sz w:val="24"/>
          <w:szCs w:val="24"/>
        </w:rPr>
        <w:t>Wessely</w:t>
      </w:r>
      <w:proofErr w:type="spellEnd"/>
      <w:r w:rsidR="00335AA2">
        <w:rPr>
          <w:rFonts w:ascii="Arial" w:hAnsi="Arial" w:cs="Arial"/>
          <w:sz w:val="24"/>
          <w:szCs w:val="24"/>
        </w:rPr>
        <w:t xml:space="preserve">, 2018) </w:t>
      </w:r>
      <w:r w:rsidR="00B6377B" w:rsidRPr="00B6377B">
        <w:rPr>
          <w:rStyle w:val="Hyperlink"/>
          <w:rFonts w:ascii="Arial" w:hAnsi="Arial" w:cs="Arial"/>
          <w:color w:val="auto"/>
          <w:sz w:val="24"/>
          <w:szCs w:val="24"/>
          <w:u w:val="none"/>
        </w:rPr>
        <w:t xml:space="preserve">which </w:t>
      </w:r>
      <w:r w:rsidR="00B6377B">
        <w:rPr>
          <w:rStyle w:val="Hyperlink"/>
          <w:rFonts w:ascii="Arial" w:hAnsi="Arial" w:cs="Arial"/>
          <w:color w:val="auto"/>
          <w:sz w:val="24"/>
          <w:szCs w:val="24"/>
          <w:u w:val="none"/>
        </w:rPr>
        <w:t xml:space="preserve">formed the basis of the </w:t>
      </w:r>
      <w:hyperlink r:id="rId12" w:history="1">
        <w:r w:rsidR="00B6377B" w:rsidRPr="00AF3508">
          <w:rPr>
            <w:rStyle w:val="Hyperlink"/>
            <w:rFonts w:ascii="Arial" w:hAnsi="Arial" w:cs="Arial"/>
            <w:sz w:val="24"/>
            <w:szCs w:val="24"/>
          </w:rPr>
          <w:t>Mental Health Act White Paper</w:t>
        </w:r>
      </w:hyperlink>
      <w:r w:rsidR="00335AA2">
        <w:rPr>
          <w:rStyle w:val="Hyperlink"/>
          <w:rFonts w:ascii="Arial" w:hAnsi="Arial" w:cs="Arial"/>
          <w:color w:val="auto"/>
          <w:sz w:val="24"/>
          <w:szCs w:val="24"/>
          <w:u w:val="none"/>
        </w:rPr>
        <w:t>.</w:t>
      </w:r>
      <w:r w:rsidR="00B6377B">
        <w:rPr>
          <w:rStyle w:val="Hyperlink"/>
          <w:rFonts w:ascii="Arial" w:hAnsi="Arial" w:cs="Arial"/>
          <w:color w:val="auto"/>
          <w:sz w:val="24"/>
          <w:szCs w:val="24"/>
          <w:u w:val="none"/>
        </w:rPr>
        <w:t xml:space="preserve"> </w:t>
      </w:r>
      <w:r w:rsidR="00335AA2">
        <w:rPr>
          <w:rStyle w:val="Hyperlink"/>
          <w:rFonts w:ascii="Arial" w:hAnsi="Arial" w:cs="Arial"/>
          <w:color w:val="auto"/>
          <w:sz w:val="24"/>
          <w:szCs w:val="24"/>
          <w:u w:val="none"/>
        </w:rPr>
        <w:t>T</w:t>
      </w:r>
      <w:r w:rsidR="00B6377B">
        <w:rPr>
          <w:rStyle w:val="Hyperlink"/>
          <w:rFonts w:ascii="Arial" w:hAnsi="Arial" w:cs="Arial"/>
          <w:color w:val="auto"/>
          <w:sz w:val="24"/>
          <w:szCs w:val="24"/>
          <w:u w:val="none"/>
        </w:rPr>
        <w:t xml:space="preserve">hat is because the government has failed </w:t>
      </w:r>
      <w:r w:rsidR="0018789C">
        <w:rPr>
          <w:rStyle w:val="Hyperlink"/>
          <w:rFonts w:ascii="Arial" w:hAnsi="Arial" w:cs="Arial"/>
          <w:color w:val="auto"/>
          <w:sz w:val="24"/>
          <w:szCs w:val="24"/>
          <w:u w:val="none"/>
        </w:rPr>
        <w:t xml:space="preserve">either </w:t>
      </w:r>
      <w:r w:rsidR="00B6377B">
        <w:rPr>
          <w:rStyle w:val="Hyperlink"/>
          <w:rFonts w:ascii="Arial" w:hAnsi="Arial" w:cs="Arial"/>
          <w:color w:val="auto"/>
          <w:sz w:val="24"/>
          <w:szCs w:val="24"/>
          <w:u w:val="none"/>
        </w:rPr>
        <w:t>to</w:t>
      </w:r>
      <w:r w:rsidR="0018789C">
        <w:rPr>
          <w:rStyle w:val="Hyperlink"/>
          <w:rFonts w:ascii="Arial" w:hAnsi="Arial" w:cs="Arial"/>
          <w:color w:val="auto"/>
          <w:sz w:val="24"/>
          <w:szCs w:val="24"/>
          <w:u w:val="none"/>
        </w:rPr>
        <w:t xml:space="preserve"> promote </w:t>
      </w:r>
      <w:r w:rsidR="00432505">
        <w:rPr>
          <w:rStyle w:val="Hyperlink"/>
          <w:rFonts w:ascii="Arial" w:hAnsi="Arial" w:cs="Arial"/>
          <w:color w:val="auto"/>
          <w:sz w:val="24"/>
          <w:szCs w:val="24"/>
          <w:u w:val="none"/>
        </w:rPr>
        <w:t xml:space="preserve">general </w:t>
      </w:r>
      <w:r w:rsidR="0018789C">
        <w:rPr>
          <w:rStyle w:val="Hyperlink"/>
          <w:rFonts w:ascii="Arial" w:hAnsi="Arial" w:cs="Arial"/>
          <w:color w:val="auto"/>
          <w:sz w:val="24"/>
          <w:szCs w:val="24"/>
          <w:u w:val="none"/>
        </w:rPr>
        <w:t>awareness of</w:t>
      </w:r>
      <w:r w:rsidR="00B6377B">
        <w:rPr>
          <w:rStyle w:val="Hyperlink"/>
          <w:rFonts w:ascii="Arial" w:hAnsi="Arial" w:cs="Arial"/>
          <w:color w:val="auto"/>
          <w:sz w:val="24"/>
          <w:szCs w:val="24"/>
          <w:u w:val="none"/>
        </w:rPr>
        <w:t xml:space="preserve"> the </w:t>
      </w:r>
      <w:r w:rsidR="008D4CA6">
        <w:rPr>
          <w:rStyle w:val="Hyperlink"/>
          <w:rFonts w:ascii="Arial" w:hAnsi="Arial" w:cs="Arial"/>
          <w:color w:val="auto"/>
          <w:sz w:val="24"/>
          <w:szCs w:val="24"/>
          <w:u w:val="none"/>
        </w:rPr>
        <w:t>UN</w:t>
      </w:r>
      <w:r w:rsidR="0018789C">
        <w:rPr>
          <w:rStyle w:val="Hyperlink"/>
          <w:rFonts w:ascii="Arial" w:hAnsi="Arial" w:cs="Arial"/>
          <w:color w:val="auto"/>
          <w:sz w:val="24"/>
          <w:szCs w:val="24"/>
          <w:u w:val="none"/>
        </w:rPr>
        <w:t xml:space="preserve">CRDP, or to provide the scale of funding which would enable DDPOs to do so on the comprehensive scale needed. </w:t>
      </w:r>
      <w:r w:rsidR="00466854">
        <w:rPr>
          <w:rStyle w:val="Hyperlink"/>
          <w:rFonts w:ascii="Arial" w:hAnsi="Arial" w:cs="Arial"/>
          <w:color w:val="auto"/>
          <w:sz w:val="24"/>
          <w:szCs w:val="24"/>
          <w:u w:val="none"/>
        </w:rPr>
        <w:t>Compound</w:t>
      </w:r>
      <w:r w:rsidR="00000BEF">
        <w:rPr>
          <w:rStyle w:val="Hyperlink"/>
          <w:rFonts w:ascii="Arial" w:hAnsi="Arial" w:cs="Arial"/>
          <w:color w:val="auto"/>
          <w:sz w:val="24"/>
          <w:szCs w:val="24"/>
          <w:u w:val="none"/>
        </w:rPr>
        <w:t>ing</w:t>
      </w:r>
      <w:r w:rsidR="00466854">
        <w:rPr>
          <w:rStyle w:val="Hyperlink"/>
          <w:rFonts w:ascii="Arial" w:hAnsi="Arial" w:cs="Arial"/>
          <w:color w:val="auto"/>
          <w:sz w:val="24"/>
          <w:szCs w:val="24"/>
          <w:u w:val="none"/>
        </w:rPr>
        <w:t xml:space="preserve"> </w:t>
      </w:r>
      <w:r w:rsidR="00C318B0">
        <w:rPr>
          <w:rStyle w:val="Hyperlink"/>
          <w:rFonts w:ascii="Arial" w:hAnsi="Arial" w:cs="Arial"/>
          <w:color w:val="auto"/>
          <w:sz w:val="24"/>
          <w:szCs w:val="24"/>
          <w:u w:val="none"/>
        </w:rPr>
        <w:t xml:space="preserve">factors have been the inadequate representation of the White Paper </w:t>
      </w:r>
      <w:r w:rsidR="00000BEF">
        <w:rPr>
          <w:rStyle w:val="Hyperlink"/>
          <w:rFonts w:ascii="Arial" w:hAnsi="Arial" w:cs="Arial"/>
          <w:color w:val="auto"/>
          <w:sz w:val="24"/>
          <w:szCs w:val="24"/>
          <w:u w:val="none"/>
        </w:rPr>
        <w:t xml:space="preserve">in the </w:t>
      </w:r>
      <w:hyperlink r:id="rId13" w:history="1">
        <w:r w:rsidR="00000BEF" w:rsidRPr="00BC3321">
          <w:rPr>
            <w:rStyle w:val="Hyperlink"/>
            <w:rFonts w:ascii="Arial" w:hAnsi="Arial" w:cs="Arial"/>
            <w:sz w:val="24"/>
            <w:szCs w:val="24"/>
          </w:rPr>
          <w:t>easy read version</w:t>
        </w:r>
      </w:hyperlink>
      <w:r w:rsidR="00000BEF">
        <w:rPr>
          <w:rStyle w:val="Hyperlink"/>
          <w:rFonts w:ascii="Arial" w:hAnsi="Arial" w:cs="Arial"/>
          <w:color w:val="auto"/>
          <w:sz w:val="24"/>
          <w:szCs w:val="24"/>
          <w:u w:val="none"/>
        </w:rPr>
        <w:t xml:space="preserve"> </w:t>
      </w:r>
      <w:r w:rsidR="00C318B0">
        <w:rPr>
          <w:rStyle w:val="Hyperlink"/>
          <w:rFonts w:ascii="Arial" w:hAnsi="Arial" w:cs="Arial"/>
          <w:color w:val="auto"/>
          <w:sz w:val="24"/>
          <w:szCs w:val="24"/>
          <w:u w:val="none"/>
        </w:rPr>
        <w:t xml:space="preserve">and the online nature of consultation processes; </w:t>
      </w:r>
      <w:r w:rsidR="00000BEF">
        <w:rPr>
          <w:rStyle w:val="Hyperlink"/>
          <w:rFonts w:ascii="Arial" w:hAnsi="Arial" w:cs="Arial"/>
          <w:color w:val="auto"/>
          <w:sz w:val="24"/>
          <w:szCs w:val="24"/>
          <w:u w:val="none"/>
        </w:rPr>
        <w:t xml:space="preserve">there is a growing digital ‘underclass’ </w:t>
      </w:r>
      <w:r w:rsidR="00C318B0">
        <w:rPr>
          <w:rStyle w:val="Hyperlink"/>
          <w:rFonts w:ascii="Arial" w:hAnsi="Arial" w:cs="Arial"/>
          <w:color w:val="auto"/>
          <w:sz w:val="24"/>
          <w:szCs w:val="24"/>
          <w:u w:val="none"/>
        </w:rPr>
        <w:t>a</w:t>
      </w:r>
      <w:r w:rsidR="00000BEF">
        <w:rPr>
          <w:rStyle w:val="Hyperlink"/>
          <w:rFonts w:ascii="Arial" w:hAnsi="Arial" w:cs="Arial"/>
          <w:color w:val="auto"/>
          <w:sz w:val="24"/>
          <w:szCs w:val="24"/>
          <w:u w:val="none"/>
        </w:rPr>
        <w:t>mong the many</w:t>
      </w:r>
      <w:r w:rsidR="00C318B0">
        <w:rPr>
          <w:rStyle w:val="Hyperlink"/>
          <w:rFonts w:ascii="Arial" w:hAnsi="Arial" w:cs="Arial"/>
          <w:color w:val="auto"/>
          <w:sz w:val="24"/>
          <w:szCs w:val="24"/>
          <w:u w:val="none"/>
        </w:rPr>
        <w:t xml:space="preserve"> people </w:t>
      </w:r>
      <w:r w:rsidR="00000BEF">
        <w:rPr>
          <w:rStyle w:val="Hyperlink"/>
          <w:rFonts w:ascii="Arial" w:hAnsi="Arial" w:cs="Arial"/>
          <w:color w:val="auto"/>
          <w:sz w:val="24"/>
          <w:szCs w:val="24"/>
          <w:u w:val="none"/>
        </w:rPr>
        <w:t xml:space="preserve">in mental distress </w:t>
      </w:r>
      <w:r w:rsidR="00C318B0">
        <w:rPr>
          <w:rStyle w:val="Hyperlink"/>
          <w:rFonts w:ascii="Arial" w:hAnsi="Arial" w:cs="Arial"/>
          <w:color w:val="auto"/>
          <w:sz w:val="24"/>
          <w:szCs w:val="24"/>
          <w:u w:val="none"/>
        </w:rPr>
        <w:t xml:space="preserve">who are </w:t>
      </w:r>
      <w:r w:rsidR="00000BEF">
        <w:rPr>
          <w:rStyle w:val="Hyperlink"/>
          <w:rFonts w:ascii="Arial" w:hAnsi="Arial" w:cs="Arial"/>
          <w:color w:val="auto"/>
          <w:sz w:val="24"/>
          <w:szCs w:val="24"/>
          <w:u w:val="none"/>
        </w:rPr>
        <w:t>also socioeconomically disadvantaged.</w:t>
      </w:r>
      <w:r w:rsidR="00466854">
        <w:rPr>
          <w:rStyle w:val="Hyperlink"/>
          <w:rFonts w:ascii="Arial" w:hAnsi="Arial" w:cs="Arial"/>
          <w:color w:val="auto"/>
          <w:sz w:val="24"/>
          <w:szCs w:val="24"/>
          <w:u w:val="none"/>
        </w:rPr>
        <w:t xml:space="preserve"> </w:t>
      </w:r>
      <w:r w:rsidR="0018789C">
        <w:rPr>
          <w:rStyle w:val="Hyperlink"/>
          <w:rFonts w:ascii="Arial" w:hAnsi="Arial" w:cs="Arial"/>
          <w:color w:val="auto"/>
          <w:sz w:val="24"/>
          <w:szCs w:val="24"/>
          <w:u w:val="none"/>
        </w:rPr>
        <w:t xml:space="preserve">In addition, </w:t>
      </w:r>
      <w:r w:rsidR="00335AA2">
        <w:rPr>
          <w:rStyle w:val="Hyperlink"/>
          <w:rFonts w:ascii="Arial" w:hAnsi="Arial" w:cs="Arial"/>
          <w:color w:val="auto"/>
          <w:sz w:val="24"/>
          <w:szCs w:val="24"/>
          <w:u w:val="none"/>
        </w:rPr>
        <w:t>the government’s</w:t>
      </w:r>
      <w:r w:rsidR="0018789C">
        <w:rPr>
          <w:rStyle w:val="Hyperlink"/>
          <w:rFonts w:ascii="Arial" w:hAnsi="Arial" w:cs="Arial"/>
          <w:color w:val="auto"/>
          <w:sz w:val="24"/>
          <w:szCs w:val="24"/>
          <w:u w:val="none"/>
        </w:rPr>
        <w:t xml:space="preserve"> </w:t>
      </w:r>
      <w:hyperlink r:id="rId14" w:history="1">
        <w:r w:rsidR="0018789C" w:rsidRPr="002D214F">
          <w:rPr>
            <w:rStyle w:val="Hyperlink"/>
            <w:rFonts w:ascii="Arial" w:hAnsi="Arial" w:cs="Arial"/>
            <w:sz w:val="24"/>
            <w:szCs w:val="24"/>
          </w:rPr>
          <w:t>report</w:t>
        </w:r>
      </w:hyperlink>
      <w:r w:rsidR="0018789C">
        <w:rPr>
          <w:rStyle w:val="Hyperlink"/>
          <w:rFonts w:ascii="Arial" w:hAnsi="Arial" w:cs="Arial"/>
          <w:color w:val="auto"/>
          <w:sz w:val="24"/>
          <w:szCs w:val="24"/>
          <w:u w:val="none"/>
        </w:rPr>
        <w:t xml:space="preserve"> </w:t>
      </w:r>
      <w:r w:rsidR="00335AA2">
        <w:rPr>
          <w:rStyle w:val="Hyperlink"/>
          <w:rFonts w:ascii="Arial" w:hAnsi="Arial" w:cs="Arial"/>
          <w:color w:val="auto"/>
          <w:sz w:val="24"/>
          <w:szCs w:val="24"/>
          <w:u w:val="none"/>
        </w:rPr>
        <w:t xml:space="preserve">about its consultation </w:t>
      </w:r>
      <w:r w:rsidR="000D0D64">
        <w:rPr>
          <w:rStyle w:val="Hyperlink"/>
          <w:rFonts w:ascii="Arial" w:hAnsi="Arial" w:cs="Arial"/>
          <w:color w:val="auto"/>
          <w:sz w:val="24"/>
          <w:szCs w:val="24"/>
          <w:u w:val="none"/>
        </w:rPr>
        <w:t xml:space="preserve">(Department of Health and Social Care, 2021) </w:t>
      </w:r>
      <w:r w:rsidR="005461DB">
        <w:rPr>
          <w:rStyle w:val="Hyperlink"/>
          <w:rFonts w:ascii="Arial" w:hAnsi="Arial" w:cs="Arial"/>
          <w:color w:val="auto"/>
          <w:sz w:val="24"/>
          <w:szCs w:val="24"/>
          <w:u w:val="none"/>
        </w:rPr>
        <w:t xml:space="preserve">omits calls for full compliance between mental health law and the </w:t>
      </w:r>
      <w:r w:rsidR="008D4CA6">
        <w:rPr>
          <w:rStyle w:val="Hyperlink"/>
          <w:rFonts w:ascii="Arial" w:hAnsi="Arial" w:cs="Arial"/>
          <w:color w:val="auto"/>
          <w:sz w:val="24"/>
          <w:szCs w:val="24"/>
          <w:u w:val="none"/>
        </w:rPr>
        <w:t>UN</w:t>
      </w:r>
      <w:r w:rsidR="005461DB">
        <w:rPr>
          <w:rStyle w:val="Hyperlink"/>
          <w:rFonts w:ascii="Arial" w:hAnsi="Arial" w:cs="Arial"/>
          <w:color w:val="auto"/>
          <w:sz w:val="24"/>
          <w:szCs w:val="24"/>
          <w:u w:val="none"/>
        </w:rPr>
        <w:t xml:space="preserve">CRDP made by </w:t>
      </w:r>
      <w:r w:rsidR="002D214F">
        <w:rPr>
          <w:rStyle w:val="Hyperlink"/>
          <w:rFonts w:ascii="Arial" w:hAnsi="Arial" w:cs="Arial"/>
          <w:color w:val="auto"/>
          <w:sz w:val="24"/>
          <w:szCs w:val="24"/>
          <w:u w:val="none"/>
        </w:rPr>
        <w:t xml:space="preserve">several </w:t>
      </w:r>
      <w:r w:rsidR="005461DB">
        <w:rPr>
          <w:rStyle w:val="Hyperlink"/>
          <w:rFonts w:ascii="Arial" w:hAnsi="Arial" w:cs="Arial"/>
          <w:color w:val="auto"/>
          <w:sz w:val="24"/>
          <w:szCs w:val="24"/>
          <w:u w:val="none"/>
        </w:rPr>
        <w:t>DDPOs.</w:t>
      </w:r>
    </w:p>
    <w:p w14:paraId="470995E2" w14:textId="7A617644" w:rsidR="00164604" w:rsidRDefault="00164604" w:rsidP="00776200">
      <w:pPr>
        <w:spacing w:line="360" w:lineRule="auto"/>
        <w:rPr>
          <w:rFonts w:ascii="Arial" w:hAnsi="Arial" w:cs="Arial"/>
          <w:b/>
          <w:bCs/>
          <w:sz w:val="24"/>
          <w:szCs w:val="24"/>
        </w:rPr>
      </w:pPr>
      <w:r>
        <w:rPr>
          <w:rFonts w:ascii="Arial" w:hAnsi="Arial" w:cs="Arial"/>
          <w:b/>
          <w:bCs/>
          <w:sz w:val="24"/>
          <w:szCs w:val="24"/>
        </w:rPr>
        <w:t>Articles 5 and 6</w:t>
      </w:r>
    </w:p>
    <w:p w14:paraId="1A1354EC" w14:textId="75717D5A" w:rsidR="00DF010A" w:rsidRDefault="00D93265" w:rsidP="00781413">
      <w:pPr>
        <w:spacing w:line="360" w:lineRule="auto"/>
        <w:rPr>
          <w:rFonts w:ascii="Arial" w:hAnsi="Arial" w:cs="Arial"/>
          <w:bCs/>
          <w:sz w:val="24"/>
          <w:szCs w:val="24"/>
        </w:rPr>
      </w:pPr>
      <w:r w:rsidRPr="00781413">
        <w:rPr>
          <w:rFonts w:ascii="Arial" w:hAnsi="Arial" w:cs="Arial"/>
          <w:sz w:val="24"/>
          <w:szCs w:val="24"/>
        </w:rPr>
        <w:t>Whilst the government has put some focus on intersectional issues for people in mental distress,</w:t>
      </w:r>
      <w:r w:rsidR="00C91B75" w:rsidRPr="00781413">
        <w:rPr>
          <w:rFonts w:ascii="Arial" w:hAnsi="Arial" w:cs="Arial"/>
          <w:sz w:val="24"/>
          <w:szCs w:val="24"/>
        </w:rPr>
        <w:t xml:space="preserve"> </w:t>
      </w:r>
      <w:r w:rsidRPr="00781413">
        <w:rPr>
          <w:rFonts w:ascii="Arial" w:hAnsi="Arial" w:cs="Arial"/>
          <w:sz w:val="24"/>
          <w:szCs w:val="24"/>
        </w:rPr>
        <w:t>there continue to be major flaws</w:t>
      </w:r>
      <w:r w:rsidR="00237BFD" w:rsidRPr="00781413">
        <w:rPr>
          <w:rFonts w:ascii="Arial" w:hAnsi="Arial" w:cs="Arial"/>
          <w:sz w:val="24"/>
          <w:szCs w:val="24"/>
        </w:rPr>
        <w:t xml:space="preserve"> and gaps</w:t>
      </w:r>
      <w:r w:rsidRPr="00781413">
        <w:rPr>
          <w:rFonts w:ascii="Arial" w:hAnsi="Arial" w:cs="Arial"/>
          <w:sz w:val="24"/>
          <w:szCs w:val="24"/>
        </w:rPr>
        <w:t xml:space="preserve"> in its approach. </w:t>
      </w:r>
      <w:r w:rsidR="009F64D5">
        <w:rPr>
          <w:rFonts w:ascii="Arial" w:hAnsi="Arial" w:cs="Arial"/>
          <w:sz w:val="24"/>
          <w:szCs w:val="24"/>
        </w:rPr>
        <w:t>T</w:t>
      </w:r>
      <w:r w:rsidR="00237BFD" w:rsidRPr="00781413">
        <w:rPr>
          <w:rFonts w:ascii="Arial" w:hAnsi="Arial" w:cs="Arial"/>
          <w:sz w:val="24"/>
          <w:szCs w:val="24"/>
        </w:rPr>
        <w:t xml:space="preserve">he </w:t>
      </w:r>
      <w:hyperlink r:id="rId15" w:history="1">
        <w:r w:rsidR="00237BFD" w:rsidRPr="00781413">
          <w:rPr>
            <w:rStyle w:val="Hyperlink"/>
            <w:rFonts w:ascii="Arial" w:hAnsi="Arial" w:cs="Arial"/>
            <w:sz w:val="24"/>
            <w:szCs w:val="24"/>
          </w:rPr>
          <w:t>Mental Health Act White Paper</w:t>
        </w:r>
      </w:hyperlink>
      <w:r w:rsidR="009F64D5">
        <w:rPr>
          <w:rStyle w:val="Hyperlink"/>
          <w:rFonts w:ascii="Arial" w:hAnsi="Arial" w:cs="Arial"/>
          <w:color w:val="auto"/>
          <w:sz w:val="24"/>
          <w:szCs w:val="24"/>
          <w:u w:val="none"/>
        </w:rPr>
        <w:t xml:space="preserve"> rightly has</w:t>
      </w:r>
      <w:r w:rsidR="00781413" w:rsidRPr="00781413">
        <w:rPr>
          <w:rFonts w:ascii="Arial" w:hAnsi="Arial" w:cs="Arial"/>
          <w:bCs/>
          <w:sz w:val="24"/>
          <w:szCs w:val="24"/>
        </w:rPr>
        <w:t xml:space="preserve"> a strong focus on people</w:t>
      </w:r>
      <w:r w:rsidR="009F64D5">
        <w:rPr>
          <w:rFonts w:ascii="Arial" w:hAnsi="Arial" w:cs="Arial"/>
          <w:bCs/>
          <w:sz w:val="24"/>
          <w:szCs w:val="24"/>
        </w:rPr>
        <w:t xml:space="preserve"> in mental distress</w:t>
      </w:r>
      <w:r w:rsidR="00DF010A">
        <w:rPr>
          <w:rFonts w:ascii="Arial" w:hAnsi="Arial" w:cs="Arial"/>
          <w:bCs/>
          <w:sz w:val="24"/>
          <w:szCs w:val="24"/>
        </w:rPr>
        <w:t xml:space="preserve"> from racialised </w:t>
      </w:r>
      <w:r w:rsidR="009F64D5">
        <w:rPr>
          <w:rFonts w:ascii="Arial" w:hAnsi="Arial" w:cs="Arial"/>
          <w:bCs/>
          <w:sz w:val="24"/>
          <w:szCs w:val="24"/>
        </w:rPr>
        <w:t xml:space="preserve">communities </w:t>
      </w:r>
      <w:r w:rsidR="00DF010A">
        <w:rPr>
          <w:rFonts w:ascii="Arial" w:hAnsi="Arial" w:cs="Arial"/>
          <w:bCs/>
          <w:sz w:val="24"/>
          <w:szCs w:val="24"/>
        </w:rPr>
        <w:t>(Black, Asian and other minority ethni</w:t>
      </w:r>
      <w:r w:rsidR="009F64D5">
        <w:rPr>
          <w:rFonts w:ascii="Arial" w:hAnsi="Arial" w:cs="Arial"/>
          <w:bCs/>
          <w:sz w:val="24"/>
          <w:szCs w:val="24"/>
        </w:rPr>
        <w:t>c</w:t>
      </w:r>
      <w:r w:rsidR="00DF010A">
        <w:rPr>
          <w:rFonts w:ascii="Arial" w:hAnsi="Arial" w:cs="Arial"/>
          <w:bCs/>
          <w:sz w:val="24"/>
          <w:szCs w:val="24"/>
        </w:rPr>
        <w:t xml:space="preserve"> communities</w:t>
      </w:r>
      <w:r w:rsidR="009F64D5">
        <w:rPr>
          <w:rFonts w:ascii="Arial" w:hAnsi="Arial" w:cs="Arial"/>
          <w:bCs/>
          <w:sz w:val="24"/>
          <w:szCs w:val="24"/>
        </w:rPr>
        <w:t>),</w:t>
      </w:r>
      <w:r w:rsidR="00DF010A">
        <w:rPr>
          <w:rFonts w:ascii="Arial" w:hAnsi="Arial" w:cs="Arial"/>
          <w:bCs/>
          <w:sz w:val="24"/>
          <w:szCs w:val="24"/>
        </w:rPr>
        <w:t xml:space="preserve"> </w:t>
      </w:r>
      <w:r w:rsidR="00781413" w:rsidRPr="00781413">
        <w:rPr>
          <w:rFonts w:ascii="Arial" w:hAnsi="Arial" w:cs="Arial"/>
          <w:bCs/>
          <w:sz w:val="24"/>
          <w:szCs w:val="24"/>
        </w:rPr>
        <w:t>on children and young people</w:t>
      </w:r>
      <w:r w:rsidR="009F64D5">
        <w:rPr>
          <w:rFonts w:ascii="Arial" w:hAnsi="Arial" w:cs="Arial"/>
          <w:bCs/>
          <w:sz w:val="24"/>
          <w:szCs w:val="24"/>
        </w:rPr>
        <w:t>,</w:t>
      </w:r>
      <w:r w:rsidR="00781413" w:rsidRPr="00781413">
        <w:rPr>
          <w:rFonts w:ascii="Arial" w:hAnsi="Arial" w:cs="Arial"/>
          <w:bCs/>
          <w:sz w:val="24"/>
          <w:szCs w:val="24"/>
        </w:rPr>
        <w:t xml:space="preserve"> on people with</w:t>
      </w:r>
      <w:r w:rsidR="00DF010A">
        <w:rPr>
          <w:rFonts w:ascii="Arial" w:hAnsi="Arial" w:cs="Arial"/>
          <w:bCs/>
          <w:sz w:val="24"/>
          <w:szCs w:val="24"/>
        </w:rPr>
        <w:t xml:space="preserve"> learning difficulties</w:t>
      </w:r>
      <w:r w:rsidR="00781413" w:rsidRPr="00781413">
        <w:rPr>
          <w:rFonts w:ascii="Arial" w:hAnsi="Arial" w:cs="Arial"/>
          <w:bCs/>
          <w:sz w:val="24"/>
          <w:szCs w:val="24"/>
        </w:rPr>
        <w:t xml:space="preserve"> and on people diagnosed with autism</w:t>
      </w:r>
      <w:r w:rsidR="009F64D5">
        <w:rPr>
          <w:rFonts w:ascii="Arial" w:hAnsi="Arial" w:cs="Arial"/>
          <w:bCs/>
          <w:sz w:val="24"/>
          <w:szCs w:val="24"/>
        </w:rPr>
        <w:t xml:space="preserve">. </w:t>
      </w:r>
      <w:r w:rsidR="009332ED">
        <w:rPr>
          <w:rFonts w:ascii="Arial" w:hAnsi="Arial" w:cs="Arial"/>
          <w:bCs/>
          <w:sz w:val="24"/>
          <w:szCs w:val="24"/>
        </w:rPr>
        <w:t xml:space="preserve">Nonetheless, there are serious flaws in the approaches taken. For example, the proposed Patient and Carer Race Equality Framework (PCREF) and culturally appropriate advocacy seem unlikely in themselves to resolve issues in a mental health system dominated by a white western, medical model and in a society whose institutions remain structurally racist. </w:t>
      </w:r>
      <w:r w:rsidR="00F1461C">
        <w:rPr>
          <w:rFonts w:ascii="Arial" w:hAnsi="Arial" w:cs="Arial"/>
          <w:bCs/>
          <w:sz w:val="24"/>
          <w:szCs w:val="24"/>
        </w:rPr>
        <w:t xml:space="preserve">A further worry is </w:t>
      </w:r>
      <w:r w:rsidR="00FF04F5">
        <w:rPr>
          <w:rFonts w:ascii="Arial" w:hAnsi="Arial" w:cs="Arial"/>
          <w:bCs/>
          <w:sz w:val="24"/>
          <w:szCs w:val="24"/>
        </w:rPr>
        <w:t xml:space="preserve">the </w:t>
      </w:r>
      <w:hyperlink r:id="rId16" w:history="1">
        <w:r w:rsidR="00FF04F5" w:rsidRPr="00FF04F5">
          <w:rPr>
            <w:rStyle w:val="Hyperlink"/>
            <w:rFonts w:ascii="Arial" w:hAnsi="Arial" w:cs="Arial"/>
            <w:bCs/>
            <w:sz w:val="24"/>
            <w:szCs w:val="24"/>
          </w:rPr>
          <w:t>report</w:t>
        </w:r>
      </w:hyperlink>
      <w:r w:rsidR="00FF04F5">
        <w:rPr>
          <w:rFonts w:ascii="Arial" w:hAnsi="Arial" w:cs="Arial"/>
          <w:bCs/>
          <w:sz w:val="24"/>
          <w:szCs w:val="24"/>
        </w:rPr>
        <w:t xml:space="preserve"> from the Commission on Race and Ethnic Disparities (2021</w:t>
      </w:r>
      <w:r w:rsidR="00D40A47">
        <w:rPr>
          <w:rFonts w:ascii="Arial" w:hAnsi="Arial" w:cs="Arial"/>
          <w:bCs/>
          <w:sz w:val="24"/>
          <w:szCs w:val="24"/>
        </w:rPr>
        <w:t>)</w:t>
      </w:r>
      <w:r w:rsidR="002F19F9">
        <w:rPr>
          <w:rFonts w:ascii="Arial" w:hAnsi="Arial" w:cs="Arial"/>
          <w:bCs/>
          <w:sz w:val="24"/>
          <w:szCs w:val="24"/>
        </w:rPr>
        <w:t xml:space="preserve">, an independent commission which the government invited </w:t>
      </w:r>
      <w:r w:rsidR="0015234E">
        <w:rPr>
          <w:rFonts w:ascii="Arial" w:hAnsi="Arial" w:cs="Arial"/>
          <w:bCs/>
          <w:sz w:val="24"/>
          <w:szCs w:val="24"/>
        </w:rPr>
        <w:t>Dr Tony Sewell to chair.</w:t>
      </w:r>
      <w:r w:rsidR="00D40A47">
        <w:rPr>
          <w:rFonts w:ascii="Arial" w:hAnsi="Arial" w:cs="Arial"/>
          <w:bCs/>
          <w:sz w:val="24"/>
          <w:szCs w:val="24"/>
        </w:rPr>
        <w:t xml:space="preserve"> </w:t>
      </w:r>
      <w:r w:rsidR="002F19F9">
        <w:rPr>
          <w:rFonts w:ascii="Arial" w:hAnsi="Arial" w:cs="Arial"/>
          <w:bCs/>
          <w:sz w:val="24"/>
          <w:szCs w:val="24"/>
        </w:rPr>
        <w:t>A major criticism of</w:t>
      </w:r>
      <w:r w:rsidR="00D40A47">
        <w:rPr>
          <w:rFonts w:ascii="Arial" w:hAnsi="Arial" w:cs="Arial"/>
          <w:bCs/>
          <w:sz w:val="24"/>
          <w:szCs w:val="24"/>
        </w:rPr>
        <w:t xml:space="preserve"> this report </w:t>
      </w:r>
      <w:r w:rsidR="002F19F9">
        <w:rPr>
          <w:rFonts w:ascii="Arial" w:hAnsi="Arial" w:cs="Arial"/>
          <w:bCs/>
          <w:sz w:val="24"/>
          <w:szCs w:val="24"/>
        </w:rPr>
        <w:t xml:space="preserve">is that it </w:t>
      </w:r>
      <w:r w:rsidR="00D40A47">
        <w:rPr>
          <w:rFonts w:ascii="Arial" w:hAnsi="Arial" w:cs="Arial"/>
          <w:bCs/>
          <w:sz w:val="24"/>
          <w:szCs w:val="24"/>
        </w:rPr>
        <w:t>does not give credibility to structural racism</w:t>
      </w:r>
      <w:r w:rsidR="002F19F9">
        <w:rPr>
          <w:rFonts w:ascii="Arial" w:hAnsi="Arial" w:cs="Arial"/>
          <w:bCs/>
          <w:sz w:val="24"/>
          <w:szCs w:val="24"/>
        </w:rPr>
        <w:t xml:space="preserve"> and</w:t>
      </w:r>
      <w:r w:rsidR="00D40A47">
        <w:rPr>
          <w:rFonts w:ascii="Arial" w:hAnsi="Arial" w:cs="Arial"/>
          <w:bCs/>
          <w:sz w:val="24"/>
          <w:szCs w:val="24"/>
        </w:rPr>
        <w:t xml:space="preserve"> </w:t>
      </w:r>
      <w:r w:rsidR="002F19F9">
        <w:rPr>
          <w:rFonts w:ascii="Arial" w:hAnsi="Arial" w:cs="Arial"/>
          <w:bCs/>
          <w:sz w:val="24"/>
          <w:szCs w:val="24"/>
        </w:rPr>
        <w:t xml:space="preserve">there are </w:t>
      </w:r>
      <w:r w:rsidR="00C23202">
        <w:rPr>
          <w:rFonts w:ascii="Arial" w:hAnsi="Arial" w:cs="Arial"/>
          <w:bCs/>
          <w:sz w:val="24"/>
          <w:szCs w:val="24"/>
        </w:rPr>
        <w:t>serious</w:t>
      </w:r>
      <w:r w:rsidR="002F19F9">
        <w:rPr>
          <w:rFonts w:ascii="Arial" w:hAnsi="Arial" w:cs="Arial"/>
          <w:bCs/>
          <w:sz w:val="24"/>
          <w:szCs w:val="24"/>
        </w:rPr>
        <w:t xml:space="preserve"> concerns</w:t>
      </w:r>
      <w:r w:rsidR="00D40A47">
        <w:rPr>
          <w:rFonts w:ascii="Arial" w:hAnsi="Arial" w:cs="Arial"/>
          <w:bCs/>
          <w:sz w:val="24"/>
          <w:szCs w:val="24"/>
        </w:rPr>
        <w:t xml:space="preserve"> that it will weaken further the White Paper’s proposals </w:t>
      </w:r>
      <w:r w:rsidR="002F19F9">
        <w:rPr>
          <w:rFonts w:ascii="Arial" w:hAnsi="Arial" w:cs="Arial"/>
          <w:bCs/>
          <w:sz w:val="24"/>
          <w:szCs w:val="24"/>
        </w:rPr>
        <w:t>about race issues.</w:t>
      </w:r>
    </w:p>
    <w:p w14:paraId="0A23EA17" w14:textId="4ED6C90D" w:rsidR="00781413" w:rsidRPr="007471F5" w:rsidRDefault="009F64D5" w:rsidP="00781413">
      <w:pPr>
        <w:spacing w:line="360" w:lineRule="auto"/>
        <w:rPr>
          <w:rFonts w:ascii="Arial" w:hAnsi="Arial" w:cs="Arial"/>
          <w:bCs/>
          <w:sz w:val="24"/>
          <w:szCs w:val="24"/>
        </w:rPr>
      </w:pPr>
      <w:r>
        <w:rPr>
          <w:rFonts w:ascii="Arial" w:hAnsi="Arial" w:cs="Arial"/>
          <w:bCs/>
          <w:sz w:val="24"/>
          <w:szCs w:val="24"/>
        </w:rPr>
        <w:t xml:space="preserve">A </w:t>
      </w:r>
      <w:r w:rsidR="00C23202">
        <w:rPr>
          <w:rFonts w:ascii="Arial" w:hAnsi="Arial" w:cs="Arial"/>
          <w:bCs/>
          <w:sz w:val="24"/>
          <w:szCs w:val="24"/>
        </w:rPr>
        <w:t>significant</w:t>
      </w:r>
      <w:r w:rsidR="00781413" w:rsidRPr="00781413">
        <w:rPr>
          <w:rFonts w:ascii="Arial" w:hAnsi="Arial" w:cs="Arial"/>
          <w:bCs/>
          <w:sz w:val="24"/>
          <w:szCs w:val="24"/>
        </w:rPr>
        <w:t xml:space="preserve"> point of concern</w:t>
      </w:r>
      <w:r w:rsidR="00C23202">
        <w:rPr>
          <w:rFonts w:ascii="Arial" w:hAnsi="Arial" w:cs="Arial"/>
          <w:bCs/>
          <w:sz w:val="24"/>
          <w:szCs w:val="24"/>
        </w:rPr>
        <w:t>, too,</w:t>
      </w:r>
      <w:r w:rsidR="00781413" w:rsidRPr="00781413">
        <w:rPr>
          <w:rFonts w:ascii="Arial" w:hAnsi="Arial" w:cs="Arial"/>
          <w:bCs/>
          <w:sz w:val="24"/>
          <w:szCs w:val="24"/>
        </w:rPr>
        <w:t xml:space="preserve"> is that the White Paper has </w:t>
      </w:r>
      <w:r w:rsidR="00A77DD7">
        <w:rPr>
          <w:rFonts w:ascii="Arial" w:hAnsi="Arial" w:cs="Arial"/>
          <w:bCs/>
          <w:sz w:val="24"/>
          <w:szCs w:val="24"/>
        </w:rPr>
        <w:t>limited</w:t>
      </w:r>
      <w:r w:rsidR="00781413" w:rsidRPr="00781413">
        <w:rPr>
          <w:rFonts w:ascii="Arial" w:hAnsi="Arial" w:cs="Arial"/>
          <w:bCs/>
          <w:sz w:val="24"/>
          <w:szCs w:val="24"/>
        </w:rPr>
        <w:t xml:space="preserve"> coverage of issues for women</w:t>
      </w:r>
      <w:r w:rsidR="00A77DD7">
        <w:rPr>
          <w:rFonts w:ascii="Arial" w:hAnsi="Arial" w:cs="Arial"/>
          <w:bCs/>
          <w:sz w:val="24"/>
          <w:szCs w:val="24"/>
        </w:rPr>
        <w:t xml:space="preserve"> and</w:t>
      </w:r>
      <w:r w:rsidR="00781413" w:rsidRPr="00781413">
        <w:rPr>
          <w:rFonts w:ascii="Arial" w:hAnsi="Arial" w:cs="Arial"/>
          <w:bCs/>
          <w:sz w:val="24"/>
          <w:szCs w:val="24"/>
        </w:rPr>
        <w:t xml:space="preserve"> no specific coverage of issues for </w:t>
      </w:r>
      <w:r w:rsidR="00A77DD7">
        <w:rPr>
          <w:rFonts w:ascii="Arial" w:hAnsi="Arial" w:cs="Arial"/>
          <w:bCs/>
          <w:sz w:val="24"/>
          <w:szCs w:val="24"/>
        </w:rPr>
        <w:t xml:space="preserve">older people, </w:t>
      </w:r>
      <w:r w:rsidR="00781413" w:rsidRPr="00781413">
        <w:rPr>
          <w:rFonts w:ascii="Arial" w:hAnsi="Arial" w:cs="Arial"/>
          <w:bCs/>
          <w:sz w:val="24"/>
          <w:szCs w:val="24"/>
        </w:rPr>
        <w:t>people who identify as lesbian, gay, bisexual, trans, or intersex (LGBTI)</w:t>
      </w:r>
      <w:r w:rsidR="00A77DD7">
        <w:rPr>
          <w:rFonts w:ascii="Arial" w:hAnsi="Arial" w:cs="Arial"/>
          <w:bCs/>
          <w:sz w:val="24"/>
          <w:szCs w:val="24"/>
        </w:rPr>
        <w:t xml:space="preserve"> and</w:t>
      </w:r>
      <w:r w:rsidR="00781413" w:rsidRPr="00781413">
        <w:rPr>
          <w:rFonts w:ascii="Arial" w:hAnsi="Arial" w:cs="Arial"/>
          <w:bCs/>
          <w:sz w:val="24"/>
          <w:szCs w:val="24"/>
        </w:rPr>
        <w:t xml:space="preserve"> </w:t>
      </w:r>
      <w:r w:rsidR="008D4CA6">
        <w:rPr>
          <w:rFonts w:ascii="Arial" w:hAnsi="Arial" w:cs="Arial"/>
          <w:bCs/>
          <w:sz w:val="24"/>
          <w:szCs w:val="24"/>
        </w:rPr>
        <w:t xml:space="preserve">(except in the case of people with learning difficulties and/or a diagnosis of autism) </w:t>
      </w:r>
      <w:r w:rsidR="00781413" w:rsidRPr="00781413">
        <w:rPr>
          <w:rFonts w:ascii="Arial" w:hAnsi="Arial" w:cs="Arial"/>
          <w:bCs/>
          <w:sz w:val="24"/>
          <w:szCs w:val="24"/>
        </w:rPr>
        <w:t>people who also have physical and/or sensory impairments</w:t>
      </w:r>
      <w:r w:rsidR="00A77DD7">
        <w:rPr>
          <w:rFonts w:ascii="Arial" w:hAnsi="Arial" w:cs="Arial"/>
          <w:bCs/>
          <w:sz w:val="24"/>
          <w:szCs w:val="24"/>
        </w:rPr>
        <w:t>. Ongoing calls to</w:t>
      </w:r>
      <w:r>
        <w:rPr>
          <w:rFonts w:ascii="Arial" w:hAnsi="Arial" w:cs="Arial"/>
          <w:bCs/>
          <w:sz w:val="24"/>
          <w:szCs w:val="24"/>
        </w:rPr>
        <w:t xml:space="preserve"> address the</w:t>
      </w:r>
      <w:r w:rsidR="00C42708">
        <w:rPr>
          <w:rFonts w:ascii="Arial" w:hAnsi="Arial" w:cs="Arial"/>
          <w:bCs/>
          <w:sz w:val="24"/>
          <w:szCs w:val="24"/>
        </w:rPr>
        <w:t>se</w:t>
      </w:r>
      <w:r>
        <w:rPr>
          <w:rFonts w:ascii="Arial" w:hAnsi="Arial" w:cs="Arial"/>
          <w:bCs/>
          <w:sz w:val="24"/>
          <w:szCs w:val="24"/>
        </w:rPr>
        <w:t xml:space="preserve"> shortfalls </w:t>
      </w:r>
      <w:r w:rsidR="00A77DD7">
        <w:rPr>
          <w:rFonts w:ascii="Arial" w:hAnsi="Arial" w:cs="Arial"/>
          <w:bCs/>
          <w:sz w:val="24"/>
          <w:szCs w:val="24"/>
        </w:rPr>
        <w:t xml:space="preserve">from significant numbers of people affected by intersectional issues have been </w:t>
      </w:r>
      <w:r w:rsidR="00A77DD7">
        <w:rPr>
          <w:rFonts w:ascii="Arial" w:hAnsi="Arial" w:cs="Arial"/>
          <w:bCs/>
          <w:sz w:val="24"/>
          <w:szCs w:val="24"/>
        </w:rPr>
        <w:lastRenderedPageBreak/>
        <w:t>bypassed.</w:t>
      </w:r>
      <w:r>
        <w:rPr>
          <w:rFonts w:ascii="Arial" w:hAnsi="Arial" w:cs="Arial"/>
          <w:bCs/>
          <w:sz w:val="24"/>
          <w:szCs w:val="24"/>
        </w:rPr>
        <w:t xml:space="preserve"> Similarly, although</w:t>
      </w:r>
      <w:r w:rsidR="00313494">
        <w:rPr>
          <w:rFonts w:ascii="Arial" w:hAnsi="Arial" w:cs="Arial"/>
          <w:bCs/>
          <w:sz w:val="24"/>
          <w:szCs w:val="24"/>
        </w:rPr>
        <w:t xml:space="preserve"> NHS Digital’s </w:t>
      </w:r>
      <w:hyperlink r:id="rId17" w:history="1">
        <w:r w:rsidR="00313494" w:rsidRPr="00313494">
          <w:rPr>
            <w:rStyle w:val="Hyperlink"/>
            <w:rFonts w:ascii="Arial" w:hAnsi="Arial" w:cs="Arial"/>
            <w:bCs/>
            <w:sz w:val="24"/>
            <w:szCs w:val="24"/>
          </w:rPr>
          <w:t>statistics</w:t>
        </w:r>
      </w:hyperlink>
      <w:r w:rsidR="00313494">
        <w:rPr>
          <w:rFonts w:ascii="Arial" w:hAnsi="Arial" w:cs="Arial"/>
          <w:bCs/>
          <w:sz w:val="24"/>
          <w:szCs w:val="24"/>
        </w:rPr>
        <w:t xml:space="preserve"> for 2019/2020 demonstrate that</w:t>
      </w:r>
      <w:r>
        <w:rPr>
          <w:rFonts w:ascii="Arial" w:hAnsi="Arial" w:cs="Arial"/>
          <w:bCs/>
          <w:sz w:val="24"/>
          <w:szCs w:val="24"/>
        </w:rPr>
        <w:t xml:space="preserve"> people </w:t>
      </w:r>
      <w:r w:rsidR="00313494">
        <w:rPr>
          <w:rFonts w:ascii="Arial" w:hAnsi="Arial" w:cs="Arial"/>
          <w:bCs/>
          <w:sz w:val="24"/>
          <w:szCs w:val="24"/>
        </w:rPr>
        <w:t>living in the most deprived areas of England</w:t>
      </w:r>
      <w:r>
        <w:rPr>
          <w:rFonts w:ascii="Arial" w:hAnsi="Arial" w:cs="Arial"/>
          <w:bCs/>
          <w:sz w:val="24"/>
          <w:szCs w:val="24"/>
        </w:rPr>
        <w:t xml:space="preserve"> are 3.5 times </w:t>
      </w:r>
      <w:r w:rsidR="007471F5">
        <w:rPr>
          <w:rFonts w:ascii="Arial" w:hAnsi="Arial" w:cs="Arial"/>
          <w:bCs/>
          <w:sz w:val="24"/>
          <w:szCs w:val="24"/>
        </w:rPr>
        <w:t xml:space="preserve">more </w:t>
      </w:r>
      <w:r>
        <w:rPr>
          <w:rFonts w:ascii="Arial" w:hAnsi="Arial" w:cs="Arial"/>
          <w:bCs/>
          <w:sz w:val="24"/>
          <w:szCs w:val="24"/>
        </w:rPr>
        <w:t>likely to be detained</w:t>
      </w:r>
      <w:r w:rsidR="00313494">
        <w:rPr>
          <w:rFonts w:ascii="Arial" w:hAnsi="Arial" w:cs="Arial"/>
          <w:bCs/>
          <w:sz w:val="24"/>
          <w:szCs w:val="24"/>
        </w:rPr>
        <w:t xml:space="preserve">, there is no focus on this </w:t>
      </w:r>
      <w:r w:rsidR="00C42708">
        <w:rPr>
          <w:rFonts w:ascii="Arial" w:hAnsi="Arial" w:cs="Arial"/>
          <w:bCs/>
          <w:sz w:val="24"/>
          <w:szCs w:val="24"/>
        </w:rPr>
        <w:t xml:space="preserve">disparity </w:t>
      </w:r>
      <w:r w:rsidR="00313494">
        <w:rPr>
          <w:rFonts w:ascii="Arial" w:hAnsi="Arial" w:cs="Arial"/>
          <w:bCs/>
          <w:sz w:val="24"/>
          <w:szCs w:val="24"/>
        </w:rPr>
        <w:t xml:space="preserve">in the White Paper. </w:t>
      </w:r>
      <w:r w:rsidR="007471F5">
        <w:rPr>
          <w:rFonts w:ascii="Arial" w:hAnsi="Arial" w:cs="Arial"/>
          <w:bCs/>
          <w:sz w:val="24"/>
          <w:szCs w:val="24"/>
        </w:rPr>
        <w:t>In addition, a</w:t>
      </w:r>
      <w:r w:rsidR="0083652C">
        <w:rPr>
          <w:rFonts w:ascii="Arial" w:hAnsi="Arial" w:cs="Arial"/>
          <w:bCs/>
          <w:sz w:val="24"/>
          <w:szCs w:val="24"/>
        </w:rPr>
        <w:t xml:space="preserve"> further two-tier system </w:t>
      </w:r>
      <w:r w:rsidR="007471F5">
        <w:rPr>
          <w:rFonts w:ascii="Arial" w:hAnsi="Arial" w:cs="Arial"/>
          <w:bCs/>
          <w:sz w:val="24"/>
          <w:szCs w:val="24"/>
        </w:rPr>
        <w:t>is due to</w:t>
      </w:r>
      <w:r w:rsidR="0083652C">
        <w:rPr>
          <w:rFonts w:ascii="Arial" w:hAnsi="Arial" w:cs="Arial"/>
          <w:bCs/>
          <w:sz w:val="24"/>
          <w:szCs w:val="24"/>
        </w:rPr>
        <w:t xml:space="preserve"> be created </w:t>
      </w:r>
      <w:r w:rsidR="007471F5">
        <w:rPr>
          <w:rFonts w:ascii="Arial" w:hAnsi="Arial" w:cs="Arial"/>
          <w:bCs/>
          <w:sz w:val="24"/>
          <w:szCs w:val="24"/>
        </w:rPr>
        <w:t>through</w:t>
      </w:r>
      <w:r w:rsidR="0083652C">
        <w:rPr>
          <w:rFonts w:ascii="Arial" w:hAnsi="Arial" w:cs="Arial"/>
          <w:bCs/>
          <w:sz w:val="24"/>
          <w:szCs w:val="24"/>
        </w:rPr>
        <w:t xml:space="preserve"> the White Paper’s proposal to give fewer new rights to people in mental distress who </w:t>
      </w:r>
      <w:r w:rsidR="007471F5">
        <w:rPr>
          <w:rFonts w:ascii="Arial" w:hAnsi="Arial" w:cs="Arial"/>
          <w:bCs/>
          <w:sz w:val="24"/>
          <w:szCs w:val="24"/>
        </w:rPr>
        <w:t>come under the c</w:t>
      </w:r>
      <w:r w:rsidR="007F5871" w:rsidRPr="007471F5">
        <w:rPr>
          <w:rFonts w:ascii="Arial" w:hAnsi="Arial" w:cs="Arial"/>
          <w:bCs/>
          <w:sz w:val="24"/>
          <w:szCs w:val="24"/>
        </w:rPr>
        <w:t>riminal justice system</w:t>
      </w:r>
      <w:r w:rsidR="007471F5">
        <w:rPr>
          <w:rFonts w:ascii="Arial" w:hAnsi="Arial" w:cs="Arial"/>
          <w:bCs/>
          <w:sz w:val="24"/>
          <w:szCs w:val="24"/>
        </w:rPr>
        <w:t>.</w:t>
      </w:r>
    </w:p>
    <w:p w14:paraId="335108BA" w14:textId="3488CC6D" w:rsidR="00C23202" w:rsidRPr="00781413" w:rsidRDefault="00C23202" w:rsidP="00781413">
      <w:pPr>
        <w:spacing w:line="360" w:lineRule="auto"/>
        <w:rPr>
          <w:rFonts w:ascii="Arial" w:hAnsi="Arial" w:cs="Arial"/>
          <w:bCs/>
          <w:sz w:val="24"/>
          <w:szCs w:val="24"/>
        </w:rPr>
      </w:pPr>
      <w:r>
        <w:rPr>
          <w:rFonts w:ascii="Arial" w:hAnsi="Arial" w:cs="Arial"/>
          <w:bCs/>
          <w:sz w:val="24"/>
          <w:szCs w:val="24"/>
        </w:rPr>
        <w:t xml:space="preserve">In these respects, the White Paper falls short not only of the UNCRDP, but of other </w:t>
      </w:r>
      <w:r w:rsidR="00416703">
        <w:rPr>
          <w:rFonts w:ascii="Arial" w:hAnsi="Arial" w:cs="Arial"/>
          <w:bCs/>
          <w:sz w:val="24"/>
          <w:szCs w:val="24"/>
        </w:rPr>
        <w:t>i</w:t>
      </w:r>
      <w:r>
        <w:rPr>
          <w:rFonts w:ascii="Arial" w:hAnsi="Arial" w:cs="Arial"/>
          <w:bCs/>
          <w:sz w:val="24"/>
          <w:szCs w:val="24"/>
        </w:rPr>
        <w:t>nternational</w:t>
      </w:r>
      <w:r w:rsidR="00416703">
        <w:rPr>
          <w:rFonts w:ascii="Arial" w:hAnsi="Arial" w:cs="Arial"/>
          <w:bCs/>
          <w:sz w:val="24"/>
          <w:szCs w:val="24"/>
        </w:rPr>
        <w:t xml:space="preserve"> treaties</w:t>
      </w:r>
      <w:r>
        <w:rPr>
          <w:rFonts w:ascii="Arial" w:hAnsi="Arial" w:cs="Arial"/>
          <w:bCs/>
          <w:sz w:val="24"/>
          <w:szCs w:val="24"/>
        </w:rPr>
        <w:t xml:space="preserve"> such as the Convention on the Elimination of All Forms of Racial Discrimination (ICERD)</w:t>
      </w:r>
      <w:r w:rsidR="003939BC">
        <w:rPr>
          <w:rFonts w:ascii="Arial" w:hAnsi="Arial" w:cs="Arial"/>
          <w:bCs/>
          <w:sz w:val="24"/>
          <w:szCs w:val="24"/>
        </w:rPr>
        <w:t xml:space="preserve">, </w:t>
      </w:r>
      <w:r>
        <w:rPr>
          <w:rFonts w:ascii="Arial" w:hAnsi="Arial" w:cs="Arial"/>
          <w:bCs/>
          <w:sz w:val="24"/>
          <w:szCs w:val="24"/>
        </w:rPr>
        <w:t>the Convention on the Elimination of All Forms of Discrimination Against Women (CEDAR)</w:t>
      </w:r>
      <w:r w:rsidR="003939BC">
        <w:rPr>
          <w:rFonts w:ascii="Arial" w:hAnsi="Arial" w:cs="Arial"/>
          <w:bCs/>
          <w:sz w:val="24"/>
          <w:szCs w:val="24"/>
        </w:rPr>
        <w:t xml:space="preserve"> and the Convention on the Rights of Older Persons. </w:t>
      </w:r>
      <w:r w:rsidR="00416703">
        <w:rPr>
          <w:rFonts w:ascii="Arial" w:hAnsi="Arial" w:cs="Arial"/>
          <w:bCs/>
          <w:sz w:val="24"/>
          <w:szCs w:val="24"/>
        </w:rPr>
        <w:t>It also falls short</w:t>
      </w:r>
      <w:r>
        <w:rPr>
          <w:rFonts w:ascii="Arial" w:hAnsi="Arial" w:cs="Arial"/>
          <w:bCs/>
          <w:sz w:val="24"/>
          <w:szCs w:val="24"/>
        </w:rPr>
        <w:t xml:space="preserve"> of the Sustainable Development Goals. </w:t>
      </w:r>
    </w:p>
    <w:p w14:paraId="41445A50" w14:textId="7A64C934" w:rsidR="004A3F5F" w:rsidRDefault="004A3F5F" w:rsidP="00776200">
      <w:pPr>
        <w:spacing w:line="360" w:lineRule="auto"/>
        <w:rPr>
          <w:rFonts w:ascii="Arial" w:hAnsi="Arial" w:cs="Arial"/>
          <w:b/>
          <w:bCs/>
          <w:sz w:val="24"/>
          <w:szCs w:val="24"/>
        </w:rPr>
      </w:pPr>
      <w:r>
        <w:rPr>
          <w:rFonts w:ascii="Arial" w:hAnsi="Arial" w:cs="Arial"/>
          <w:b/>
          <w:bCs/>
          <w:sz w:val="24"/>
          <w:szCs w:val="24"/>
        </w:rPr>
        <w:t>Article 10</w:t>
      </w:r>
    </w:p>
    <w:p w14:paraId="57F54C27" w14:textId="090FD5C8" w:rsidR="00D0113D" w:rsidRPr="00D0113D" w:rsidRDefault="00432505" w:rsidP="004D52F1">
      <w:pPr>
        <w:spacing w:line="360" w:lineRule="auto"/>
        <w:rPr>
          <w:rFonts w:ascii="Arial" w:hAnsi="Arial" w:cs="Arial"/>
          <w:b/>
          <w:bCs/>
          <w:sz w:val="24"/>
          <w:szCs w:val="24"/>
        </w:rPr>
      </w:pPr>
      <w:r w:rsidRPr="00432505">
        <w:rPr>
          <w:rFonts w:ascii="Arial" w:hAnsi="Arial" w:cs="Arial"/>
          <w:sz w:val="24"/>
          <w:szCs w:val="24"/>
        </w:rPr>
        <w:t>The</w:t>
      </w:r>
      <w:r w:rsidR="009C7576">
        <w:rPr>
          <w:rFonts w:ascii="Arial" w:hAnsi="Arial" w:cs="Arial"/>
          <w:sz w:val="24"/>
          <w:szCs w:val="24"/>
        </w:rPr>
        <w:t>re continue to be major short</w:t>
      </w:r>
      <w:r w:rsidR="003939BC">
        <w:rPr>
          <w:rFonts w:ascii="Arial" w:hAnsi="Arial" w:cs="Arial"/>
          <w:sz w:val="24"/>
          <w:szCs w:val="24"/>
        </w:rPr>
        <w:t>comings</w:t>
      </w:r>
      <w:r w:rsidR="009C7576">
        <w:rPr>
          <w:rFonts w:ascii="Arial" w:hAnsi="Arial" w:cs="Arial"/>
          <w:sz w:val="24"/>
          <w:szCs w:val="24"/>
        </w:rPr>
        <w:t xml:space="preserve"> in the government’s respect for</w:t>
      </w:r>
      <w:r w:rsidR="009D33D2">
        <w:rPr>
          <w:rFonts w:ascii="Arial" w:hAnsi="Arial" w:cs="Arial"/>
          <w:sz w:val="24"/>
          <w:szCs w:val="24"/>
        </w:rPr>
        <w:t xml:space="preserve"> our right to life</w:t>
      </w:r>
      <w:r w:rsidR="00931EC9">
        <w:rPr>
          <w:rFonts w:ascii="Arial" w:hAnsi="Arial" w:cs="Arial"/>
          <w:sz w:val="24"/>
          <w:szCs w:val="24"/>
        </w:rPr>
        <w:t xml:space="preserve">, including </w:t>
      </w:r>
      <w:r w:rsidR="009C7576">
        <w:rPr>
          <w:rFonts w:ascii="Arial" w:hAnsi="Arial" w:cs="Arial"/>
          <w:sz w:val="24"/>
          <w:szCs w:val="24"/>
        </w:rPr>
        <w:t>serious</w:t>
      </w:r>
      <w:r w:rsidR="00931EC9">
        <w:rPr>
          <w:rFonts w:ascii="Arial" w:hAnsi="Arial" w:cs="Arial"/>
          <w:sz w:val="24"/>
          <w:szCs w:val="24"/>
        </w:rPr>
        <w:t xml:space="preserve"> short</w:t>
      </w:r>
      <w:r w:rsidR="003939BC">
        <w:rPr>
          <w:rFonts w:ascii="Arial" w:hAnsi="Arial" w:cs="Arial"/>
          <w:sz w:val="24"/>
          <w:szCs w:val="24"/>
        </w:rPr>
        <w:t>comings</w:t>
      </w:r>
      <w:r w:rsidR="00931EC9">
        <w:rPr>
          <w:rFonts w:ascii="Arial" w:hAnsi="Arial" w:cs="Arial"/>
          <w:sz w:val="24"/>
          <w:szCs w:val="24"/>
        </w:rPr>
        <w:t xml:space="preserve"> in </w:t>
      </w:r>
      <w:r w:rsidR="009C7576">
        <w:rPr>
          <w:rFonts w:ascii="Arial" w:hAnsi="Arial" w:cs="Arial"/>
          <w:sz w:val="24"/>
          <w:szCs w:val="24"/>
        </w:rPr>
        <w:t xml:space="preserve">its </w:t>
      </w:r>
      <w:r w:rsidR="00931EC9">
        <w:rPr>
          <w:rFonts w:ascii="Arial" w:hAnsi="Arial" w:cs="Arial"/>
          <w:sz w:val="24"/>
          <w:szCs w:val="24"/>
        </w:rPr>
        <w:t xml:space="preserve">implementation of Recommendation 27 in the </w:t>
      </w:r>
      <w:r w:rsidR="00416703">
        <w:rPr>
          <w:rFonts w:ascii="Arial" w:hAnsi="Arial" w:cs="Arial"/>
          <w:sz w:val="24"/>
          <w:szCs w:val="24"/>
        </w:rPr>
        <w:t xml:space="preserve">Disability Committee’s </w:t>
      </w:r>
      <w:r w:rsidR="00931EC9">
        <w:rPr>
          <w:rFonts w:ascii="Arial" w:hAnsi="Arial" w:cs="Arial"/>
          <w:sz w:val="24"/>
          <w:szCs w:val="24"/>
        </w:rPr>
        <w:t>2017 Review</w:t>
      </w:r>
      <w:r w:rsidR="003939BC">
        <w:rPr>
          <w:rFonts w:ascii="Arial" w:hAnsi="Arial" w:cs="Arial"/>
          <w:sz w:val="24"/>
          <w:szCs w:val="24"/>
        </w:rPr>
        <w:t xml:space="preserve"> report</w:t>
      </w:r>
      <w:r>
        <w:rPr>
          <w:rFonts w:ascii="Arial" w:hAnsi="Arial" w:cs="Arial"/>
          <w:sz w:val="24"/>
          <w:szCs w:val="24"/>
        </w:rPr>
        <w:t xml:space="preserve">. </w:t>
      </w:r>
      <w:r w:rsidR="00553626">
        <w:rPr>
          <w:rFonts w:ascii="Arial" w:hAnsi="Arial" w:cs="Arial"/>
          <w:sz w:val="24"/>
          <w:szCs w:val="24"/>
        </w:rPr>
        <w:t xml:space="preserve">As </w:t>
      </w:r>
      <w:r w:rsidR="00B36063">
        <w:rPr>
          <w:rFonts w:ascii="Arial" w:hAnsi="Arial" w:cs="Arial"/>
          <w:sz w:val="24"/>
          <w:szCs w:val="24"/>
        </w:rPr>
        <w:t>the</w:t>
      </w:r>
      <w:r w:rsidR="00553626">
        <w:rPr>
          <w:rFonts w:ascii="Arial" w:hAnsi="Arial" w:cs="Arial"/>
          <w:sz w:val="24"/>
          <w:szCs w:val="24"/>
        </w:rPr>
        <w:t xml:space="preserve"> </w:t>
      </w:r>
      <w:hyperlink r:id="rId18" w:history="1">
        <w:r w:rsidR="00553626" w:rsidRPr="00917325">
          <w:rPr>
            <w:rStyle w:val="Hyperlink"/>
            <w:rFonts w:ascii="Arial" w:hAnsi="Arial" w:cs="Arial"/>
            <w:sz w:val="24"/>
            <w:szCs w:val="24"/>
          </w:rPr>
          <w:t>study</w:t>
        </w:r>
      </w:hyperlink>
      <w:r w:rsidR="00553626">
        <w:rPr>
          <w:rFonts w:ascii="Arial" w:hAnsi="Arial" w:cs="Arial"/>
          <w:sz w:val="24"/>
          <w:szCs w:val="24"/>
        </w:rPr>
        <w:t xml:space="preserve"> from Das-Munshi </w:t>
      </w:r>
      <w:r w:rsidR="00553626">
        <w:rPr>
          <w:rFonts w:ascii="Arial" w:hAnsi="Arial" w:cs="Arial"/>
          <w:i/>
          <w:iCs/>
          <w:sz w:val="24"/>
          <w:szCs w:val="24"/>
        </w:rPr>
        <w:t xml:space="preserve">et al </w:t>
      </w:r>
      <w:r w:rsidR="00553626">
        <w:rPr>
          <w:rFonts w:ascii="Arial" w:hAnsi="Arial" w:cs="Arial"/>
          <w:sz w:val="24"/>
          <w:szCs w:val="24"/>
        </w:rPr>
        <w:t>(2021) indicates, n</w:t>
      </w:r>
      <w:r>
        <w:rPr>
          <w:rFonts w:ascii="Arial" w:hAnsi="Arial" w:cs="Arial"/>
          <w:sz w:val="24"/>
          <w:szCs w:val="24"/>
        </w:rPr>
        <w:t xml:space="preserve">ot only </w:t>
      </w:r>
      <w:r w:rsidR="008D0EE9">
        <w:rPr>
          <w:rFonts w:ascii="Arial" w:hAnsi="Arial" w:cs="Arial"/>
          <w:sz w:val="24"/>
          <w:szCs w:val="24"/>
        </w:rPr>
        <w:t>have</w:t>
      </w:r>
      <w:r>
        <w:rPr>
          <w:rFonts w:ascii="Arial" w:hAnsi="Arial" w:cs="Arial"/>
          <w:sz w:val="24"/>
          <w:szCs w:val="24"/>
        </w:rPr>
        <w:t xml:space="preserve"> </w:t>
      </w:r>
      <w:r w:rsidR="008D0EE9">
        <w:rPr>
          <w:rFonts w:ascii="Arial" w:hAnsi="Arial" w:cs="Arial"/>
          <w:sz w:val="24"/>
          <w:szCs w:val="24"/>
        </w:rPr>
        <w:t xml:space="preserve">people experiencing </w:t>
      </w:r>
      <w:r w:rsidR="00371992">
        <w:rPr>
          <w:rFonts w:ascii="Arial" w:hAnsi="Arial" w:cs="Arial"/>
          <w:sz w:val="24"/>
          <w:szCs w:val="24"/>
        </w:rPr>
        <w:t>major</w:t>
      </w:r>
      <w:r w:rsidR="008D0EE9">
        <w:rPr>
          <w:rFonts w:ascii="Arial" w:hAnsi="Arial" w:cs="Arial"/>
          <w:sz w:val="24"/>
          <w:szCs w:val="24"/>
        </w:rPr>
        <w:t xml:space="preserve"> mental distress continued to die considerably earlier than other members of the public, but</w:t>
      </w:r>
      <w:r w:rsidR="00553626">
        <w:rPr>
          <w:rFonts w:ascii="Arial" w:hAnsi="Arial" w:cs="Arial"/>
          <w:sz w:val="24"/>
          <w:szCs w:val="24"/>
        </w:rPr>
        <w:t xml:space="preserve">, </w:t>
      </w:r>
      <w:r w:rsidR="00DA63F8">
        <w:rPr>
          <w:rFonts w:ascii="Arial" w:hAnsi="Arial" w:cs="Arial"/>
          <w:sz w:val="24"/>
          <w:szCs w:val="24"/>
        </w:rPr>
        <w:t>as with</w:t>
      </w:r>
      <w:r w:rsidR="00371992">
        <w:rPr>
          <w:rFonts w:ascii="Arial" w:hAnsi="Arial" w:cs="Arial"/>
          <w:sz w:val="24"/>
          <w:szCs w:val="24"/>
        </w:rPr>
        <w:t xml:space="preserve"> people w</w:t>
      </w:r>
      <w:r w:rsidR="00DA63F8">
        <w:rPr>
          <w:rFonts w:ascii="Arial" w:hAnsi="Arial" w:cs="Arial"/>
          <w:sz w:val="24"/>
          <w:szCs w:val="24"/>
        </w:rPr>
        <w:t>ho have</w:t>
      </w:r>
      <w:r w:rsidR="00371992">
        <w:rPr>
          <w:rFonts w:ascii="Arial" w:hAnsi="Arial" w:cs="Arial"/>
          <w:sz w:val="24"/>
          <w:szCs w:val="24"/>
        </w:rPr>
        <w:t xml:space="preserve"> learning di</w:t>
      </w:r>
      <w:r w:rsidR="000D4323">
        <w:rPr>
          <w:rFonts w:ascii="Arial" w:hAnsi="Arial" w:cs="Arial"/>
          <w:sz w:val="24"/>
          <w:szCs w:val="24"/>
        </w:rPr>
        <w:t>fficulties</w:t>
      </w:r>
      <w:r w:rsidR="00371992">
        <w:rPr>
          <w:rFonts w:ascii="Arial" w:hAnsi="Arial" w:cs="Arial"/>
          <w:sz w:val="24"/>
          <w:szCs w:val="24"/>
        </w:rPr>
        <w:t xml:space="preserve">, </w:t>
      </w:r>
      <w:r w:rsidR="00917325">
        <w:rPr>
          <w:rFonts w:ascii="Arial" w:hAnsi="Arial" w:cs="Arial"/>
          <w:sz w:val="24"/>
          <w:szCs w:val="24"/>
        </w:rPr>
        <w:t>death rates among them have been</w:t>
      </w:r>
      <w:r w:rsidR="00371992">
        <w:rPr>
          <w:rFonts w:ascii="Arial" w:hAnsi="Arial" w:cs="Arial"/>
          <w:sz w:val="24"/>
          <w:szCs w:val="24"/>
        </w:rPr>
        <w:t xml:space="preserve"> disproportionately </w:t>
      </w:r>
      <w:r w:rsidR="00EB31E5">
        <w:rPr>
          <w:rFonts w:ascii="Arial" w:hAnsi="Arial" w:cs="Arial"/>
          <w:sz w:val="24"/>
          <w:szCs w:val="24"/>
        </w:rPr>
        <w:t xml:space="preserve">high during the </w:t>
      </w:r>
      <w:r w:rsidR="00371992">
        <w:rPr>
          <w:rFonts w:ascii="Arial" w:hAnsi="Arial" w:cs="Arial"/>
          <w:sz w:val="24"/>
          <w:szCs w:val="24"/>
        </w:rPr>
        <w:t xml:space="preserve">Covid-19 </w:t>
      </w:r>
      <w:r w:rsidR="00EB31E5">
        <w:rPr>
          <w:rFonts w:ascii="Arial" w:hAnsi="Arial" w:cs="Arial"/>
          <w:sz w:val="24"/>
          <w:szCs w:val="24"/>
        </w:rPr>
        <w:t xml:space="preserve">pandemic. </w:t>
      </w:r>
      <w:r w:rsidR="00917325">
        <w:rPr>
          <w:rFonts w:ascii="Arial" w:hAnsi="Arial" w:cs="Arial"/>
          <w:sz w:val="24"/>
          <w:szCs w:val="24"/>
        </w:rPr>
        <w:t xml:space="preserve">In addition, </w:t>
      </w:r>
      <w:r w:rsidR="00FB4E1F">
        <w:rPr>
          <w:rFonts w:ascii="Arial" w:hAnsi="Arial" w:cs="Arial"/>
          <w:sz w:val="24"/>
          <w:szCs w:val="24"/>
        </w:rPr>
        <w:t>mortality</w:t>
      </w:r>
      <w:r w:rsidR="0049377B">
        <w:rPr>
          <w:rFonts w:ascii="Arial" w:hAnsi="Arial" w:cs="Arial"/>
          <w:sz w:val="24"/>
          <w:szCs w:val="24"/>
        </w:rPr>
        <w:t xml:space="preserve"> rates of those</w:t>
      </w:r>
      <w:r w:rsidR="00785E80">
        <w:rPr>
          <w:rFonts w:ascii="Arial" w:hAnsi="Arial" w:cs="Arial"/>
          <w:sz w:val="24"/>
          <w:szCs w:val="24"/>
        </w:rPr>
        <w:t xml:space="preserve"> treated under the  </w:t>
      </w:r>
      <w:hyperlink r:id="rId19" w:history="1">
        <w:r w:rsidR="00C42708" w:rsidRPr="002D0A91">
          <w:rPr>
            <w:rStyle w:val="Hyperlink"/>
            <w:rFonts w:ascii="Arial" w:hAnsi="Arial" w:cs="Arial"/>
            <w:i/>
            <w:iCs/>
            <w:sz w:val="24"/>
            <w:szCs w:val="24"/>
          </w:rPr>
          <w:t>Mental Health Act 1983</w:t>
        </w:r>
      </w:hyperlink>
      <w:r w:rsidR="00C42708">
        <w:rPr>
          <w:rFonts w:ascii="Arial" w:hAnsi="Arial" w:cs="Arial"/>
          <w:sz w:val="24"/>
          <w:szCs w:val="24"/>
        </w:rPr>
        <w:t xml:space="preserve"> </w:t>
      </w:r>
      <w:r w:rsidR="00785E80">
        <w:rPr>
          <w:rFonts w:ascii="Arial" w:hAnsi="Arial" w:cs="Arial"/>
          <w:sz w:val="24"/>
          <w:szCs w:val="24"/>
        </w:rPr>
        <w:t>rose significantly during the pandemic</w:t>
      </w:r>
      <w:r w:rsidR="00FB4E1F">
        <w:rPr>
          <w:rFonts w:ascii="Arial" w:hAnsi="Arial" w:cs="Arial"/>
          <w:sz w:val="24"/>
          <w:szCs w:val="24"/>
        </w:rPr>
        <w:t xml:space="preserve">; </w:t>
      </w:r>
      <w:hyperlink r:id="rId20" w:history="1">
        <w:r w:rsidR="009D33D2">
          <w:rPr>
            <w:rStyle w:val="Hyperlink"/>
            <w:rFonts w:ascii="Arial" w:hAnsi="Arial" w:cs="Arial"/>
            <w:sz w:val="24"/>
            <w:szCs w:val="24"/>
          </w:rPr>
          <w:t>d</w:t>
        </w:r>
        <w:r w:rsidR="00FB4E1F" w:rsidRPr="00FB4E1F">
          <w:rPr>
            <w:rStyle w:val="Hyperlink"/>
            <w:rFonts w:ascii="Arial" w:hAnsi="Arial" w:cs="Arial"/>
            <w:sz w:val="24"/>
            <w:szCs w:val="24"/>
          </w:rPr>
          <w:t>ata</w:t>
        </w:r>
      </w:hyperlink>
      <w:r w:rsidR="00FB4E1F">
        <w:rPr>
          <w:rFonts w:ascii="Arial" w:hAnsi="Arial" w:cs="Arial"/>
          <w:sz w:val="24"/>
          <w:szCs w:val="24"/>
        </w:rPr>
        <w:t xml:space="preserve"> from the </w:t>
      </w:r>
      <w:r w:rsidR="00785E80">
        <w:rPr>
          <w:rFonts w:ascii="Arial" w:hAnsi="Arial" w:cs="Arial"/>
          <w:sz w:val="24"/>
          <w:szCs w:val="24"/>
        </w:rPr>
        <w:t xml:space="preserve">Care Quality Commission </w:t>
      </w:r>
      <w:r w:rsidR="00FB4E1F">
        <w:rPr>
          <w:rFonts w:ascii="Arial" w:hAnsi="Arial" w:cs="Arial"/>
          <w:sz w:val="24"/>
          <w:szCs w:val="24"/>
        </w:rPr>
        <w:t>(2021) records</w:t>
      </w:r>
      <w:r w:rsidR="00785E80">
        <w:rPr>
          <w:rFonts w:ascii="Arial" w:hAnsi="Arial" w:cs="Arial"/>
          <w:sz w:val="24"/>
          <w:szCs w:val="24"/>
        </w:rPr>
        <w:t xml:space="preserve"> 490 d</w:t>
      </w:r>
      <w:r w:rsidR="00FB4E1F">
        <w:rPr>
          <w:rFonts w:ascii="Arial" w:hAnsi="Arial" w:cs="Arial"/>
          <w:sz w:val="24"/>
          <w:szCs w:val="24"/>
        </w:rPr>
        <w:t>eaths</w:t>
      </w:r>
      <w:r w:rsidR="00785E80">
        <w:rPr>
          <w:rFonts w:ascii="Arial" w:hAnsi="Arial" w:cs="Arial"/>
          <w:sz w:val="24"/>
          <w:szCs w:val="24"/>
        </w:rPr>
        <w:t xml:space="preserve"> between March 2020 and March 2021 compared with </w:t>
      </w:r>
      <w:r w:rsidR="0049377B">
        <w:rPr>
          <w:rFonts w:ascii="Arial" w:hAnsi="Arial" w:cs="Arial"/>
          <w:sz w:val="24"/>
          <w:szCs w:val="24"/>
        </w:rPr>
        <w:t xml:space="preserve">a yearly average of </w:t>
      </w:r>
      <w:r w:rsidR="00785E80">
        <w:rPr>
          <w:rFonts w:ascii="Arial" w:hAnsi="Arial" w:cs="Arial"/>
          <w:sz w:val="24"/>
          <w:szCs w:val="24"/>
        </w:rPr>
        <w:t xml:space="preserve">273 between 2012 and 2019. </w:t>
      </w:r>
    </w:p>
    <w:p w14:paraId="4A26D4F2" w14:textId="1617A093" w:rsidR="001F7129" w:rsidRDefault="001F7129" w:rsidP="00776200">
      <w:pPr>
        <w:spacing w:line="360" w:lineRule="auto"/>
        <w:rPr>
          <w:rFonts w:ascii="Arial" w:hAnsi="Arial" w:cs="Arial"/>
          <w:b/>
          <w:bCs/>
          <w:sz w:val="24"/>
          <w:szCs w:val="24"/>
        </w:rPr>
      </w:pPr>
      <w:r>
        <w:rPr>
          <w:rFonts w:ascii="Arial" w:hAnsi="Arial" w:cs="Arial"/>
          <w:b/>
          <w:bCs/>
          <w:sz w:val="24"/>
          <w:szCs w:val="24"/>
        </w:rPr>
        <w:t>Article</w:t>
      </w:r>
      <w:r w:rsidR="00960437">
        <w:rPr>
          <w:rFonts w:ascii="Arial" w:hAnsi="Arial" w:cs="Arial"/>
          <w:b/>
          <w:bCs/>
          <w:sz w:val="24"/>
          <w:szCs w:val="24"/>
        </w:rPr>
        <w:t>s</w:t>
      </w:r>
      <w:r>
        <w:rPr>
          <w:rFonts w:ascii="Arial" w:hAnsi="Arial" w:cs="Arial"/>
          <w:b/>
          <w:bCs/>
          <w:sz w:val="24"/>
          <w:szCs w:val="24"/>
        </w:rPr>
        <w:t xml:space="preserve"> 12</w:t>
      </w:r>
      <w:r w:rsidR="00960437">
        <w:rPr>
          <w:rFonts w:ascii="Arial" w:hAnsi="Arial" w:cs="Arial"/>
          <w:b/>
          <w:bCs/>
          <w:sz w:val="24"/>
          <w:szCs w:val="24"/>
        </w:rPr>
        <w:t xml:space="preserve"> and 14</w:t>
      </w:r>
    </w:p>
    <w:p w14:paraId="389CA362" w14:textId="18E1F2D7" w:rsidR="0058272F" w:rsidRDefault="002A0612" w:rsidP="00776200">
      <w:pPr>
        <w:spacing w:line="360" w:lineRule="auto"/>
        <w:rPr>
          <w:rStyle w:val="Hyperlink"/>
          <w:rFonts w:ascii="Arial" w:hAnsi="Arial" w:cs="Arial"/>
          <w:color w:val="auto"/>
          <w:sz w:val="24"/>
          <w:szCs w:val="24"/>
          <w:u w:val="none"/>
        </w:rPr>
      </w:pPr>
      <w:r>
        <w:rPr>
          <w:rFonts w:ascii="Arial" w:hAnsi="Arial" w:cs="Arial"/>
          <w:sz w:val="24"/>
          <w:szCs w:val="24"/>
        </w:rPr>
        <w:t>One of the four guiding principles in t</w:t>
      </w:r>
      <w:r w:rsidR="001B0FF2">
        <w:rPr>
          <w:rFonts w:ascii="Arial" w:hAnsi="Arial" w:cs="Arial"/>
          <w:sz w:val="24"/>
          <w:szCs w:val="24"/>
        </w:rPr>
        <w:t>he</w:t>
      </w:r>
      <w:r w:rsidR="00960437">
        <w:rPr>
          <w:rFonts w:ascii="Arial" w:hAnsi="Arial" w:cs="Arial"/>
          <w:sz w:val="24"/>
          <w:szCs w:val="24"/>
        </w:rPr>
        <w:t xml:space="preserve"> </w:t>
      </w:r>
      <w:hyperlink r:id="rId21" w:history="1">
        <w:r w:rsidR="00960437" w:rsidRPr="00AF3508">
          <w:rPr>
            <w:rStyle w:val="Hyperlink"/>
            <w:rFonts w:ascii="Arial" w:hAnsi="Arial" w:cs="Arial"/>
            <w:sz w:val="24"/>
            <w:szCs w:val="24"/>
          </w:rPr>
          <w:t>Mental Health Act White Paper</w:t>
        </w:r>
      </w:hyperlink>
      <w:r>
        <w:rPr>
          <w:rStyle w:val="Hyperlink"/>
          <w:rFonts w:ascii="Arial" w:hAnsi="Arial" w:cs="Arial"/>
          <w:sz w:val="24"/>
          <w:szCs w:val="24"/>
          <w:u w:val="none"/>
        </w:rPr>
        <w:t xml:space="preserve"> </w:t>
      </w:r>
      <w:r w:rsidRPr="002A0612">
        <w:rPr>
          <w:rStyle w:val="Hyperlink"/>
          <w:rFonts w:ascii="Arial" w:hAnsi="Arial" w:cs="Arial"/>
          <w:color w:val="auto"/>
          <w:sz w:val="24"/>
          <w:szCs w:val="24"/>
          <w:u w:val="none"/>
        </w:rPr>
        <w:t>is</w:t>
      </w:r>
      <w:r w:rsidR="001B0FF2">
        <w:rPr>
          <w:rStyle w:val="Hyperlink"/>
          <w:rFonts w:ascii="Arial" w:hAnsi="Arial" w:cs="Arial"/>
          <w:color w:val="auto"/>
          <w:sz w:val="24"/>
          <w:szCs w:val="24"/>
          <w:u w:val="none"/>
        </w:rPr>
        <w:t xml:space="preserve"> ‘choice and autonomy’</w:t>
      </w:r>
      <w:r>
        <w:rPr>
          <w:rStyle w:val="Hyperlink"/>
          <w:rFonts w:ascii="Arial" w:hAnsi="Arial" w:cs="Arial"/>
          <w:color w:val="auto"/>
          <w:sz w:val="24"/>
          <w:szCs w:val="24"/>
          <w:u w:val="none"/>
        </w:rPr>
        <w:t xml:space="preserve"> for people in mental distress</w:t>
      </w:r>
      <w:r w:rsidR="001B0FF2">
        <w:rPr>
          <w:rStyle w:val="Hyperlink"/>
          <w:rFonts w:ascii="Arial" w:hAnsi="Arial" w:cs="Arial"/>
          <w:color w:val="auto"/>
          <w:sz w:val="24"/>
          <w:szCs w:val="24"/>
          <w:u w:val="none"/>
        </w:rPr>
        <w:t xml:space="preserve">. However, in a concerning development, </w:t>
      </w:r>
      <w:r w:rsidR="00E02570">
        <w:rPr>
          <w:rStyle w:val="Hyperlink"/>
          <w:rFonts w:ascii="Arial" w:hAnsi="Arial" w:cs="Arial"/>
          <w:color w:val="auto"/>
          <w:sz w:val="24"/>
          <w:szCs w:val="24"/>
          <w:u w:val="none"/>
        </w:rPr>
        <w:t>the</w:t>
      </w:r>
      <w:r w:rsidR="001B0FF2">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application</w:t>
      </w:r>
      <w:r w:rsidR="001B0FF2">
        <w:rPr>
          <w:rStyle w:val="Hyperlink"/>
          <w:rFonts w:ascii="Arial" w:hAnsi="Arial" w:cs="Arial"/>
          <w:color w:val="auto"/>
          <w:sz w:val="24"/>
          <w:szCs w:val="24"/>
          <w:u w:val="none"/>
        </w:rPr>
        <w:t xml:space="preserve"> of the term ‘autonomy’ </w:t>
      </w:r>
      <w:r w:rsidR="00E02570">
        <w:rPr>
          <w:rStyle w:val="Hyperlink"/>
          <w:rFonts w:ascii="Arial" w:hAnsi="Arial" w:cs="Arial"/>
          <w:color w:val="auto"/>
          <w:sz w:val="24"/>
          <w:szCs w:val="24"/>
          <w:u w:val="none"/>
        </w:rPr>
        <w:t>to</w:t>
      </w:r>
      <w:r w:rsidR="001B0FF2">
        <w:rPr>
          <w:rStyle w:val="Hyperlink"/>
          <w:rFonts w:ascii="Arial" w:hAnsi="Arial" w:cs="Arial"/>
          <w:color w:val="auto"/>
          <w:sz w:val="24"/>
          <w:szCs w:val="24"/>
          <w:u w:val="none"/>
        </w:rPr>
        <w:t xml:space="preserve"> people in mental distress </w:t>
      </w:r>
      <w:r>
        <w:rPr>
          <w:rStyle w:val="Hyperlink"/>
          <w:rFonts w:ascii="Arial" w:hAnsi="Arial" w:cs="Arial"/>
          <w:color w:val="auto"/>
          <w:sz w:val="24"/>
          <w:szCs w:val="24"/>
          <w:u w:val="none"/>
        </w:rPr>
        <w:t xml:space="preserve">diverges from the usual sense of the word. </w:t>
      </w:r>
      <w:r w:rsidR="0058272F">
        <w:rPr>
          <w:rStyle w:val="Hyperlink"/>
          <w:rFonts w:ascii="Arial" w:hAnsi="Arial" w:cs="Arial"/>
          <w:color w:val="auto"/>
          <w:sz w:val="24"/>
          <w:szCs w:val="24"/>
          <w:u w:val="none"/>
        </w:rPr>
        <w:t>That is because t</w:t>
      </w:r>
      <w:r>
        <w:rPr>
          <w:rStyle w:val="Hyperlink"/>
          <w:rFonts w:ascii="Arial" w:hAnsi="Arial" w:cs="Arial"/>
          <w:color w:val="auto"/>
          <w:sz w:val="24"/>
          <w:szCs w:val="24"/>
          <w:u w:val="none"/>
        </w:rPr>
        <w:t>he White Paper proposes</w:t>
      </w:r>
      <w:r w:rsidR="0058272F">
        <w:rPr>
          <w:rStyle w:val="Hyperlink"/>
          <w:rFonts w:ascii="Arial" w:hAnsi="Arial" w:cs="Arial"/>
          <w:color w:val="auto"/>
          <w:sz w:val="24"/>
          <w:szCs w:val="24"/>
          <w:u w:val="none"/>
        </w:rPr>
        <w:t xml:space="preserve"> only some increase in choices </w:t>
      </w:r>
      <w:r w:rsidR="00A51E5D">
        <w:rPr>
          <w:rStyle w:val="Hyperlink"/>
          <w:rFonts w:ascii="Arial" w:hAnsi="Arial" w:cs="Arial"/>
          <w:color w:val="auto"/>
          <w:sz w:val="24"/>
          <w:szCs w:val="24"/>
          <w:u w:val="none"/>
        </w:rPr>
        <w:t>available to us</w:t>
      </w:r>
      <w:r w:rsidR="0058272F">
        <w:rPr>
          <w:rStyle w:val="Hyperlink"/>
          <w:rFonts w:ascii="Arial" w:hAnsi="Arial" w:cs="Arial"/>
          <w:color w:val="auto"/>
          <w:sz w:val="24"/>
          <w:szCs w:val="24"/>
          <w:u w:val="none"/>
        </w:rPr>
        <w:t xml:space="preserve">, </w:t>
      </w:r>
      <w:r w:rsidR="00E02570">
        <w:rPr>
          <w:rStyle w:val="Hyperlink"/>
          <w:rFonts w:ascii="Arial" w:hAnsi="Arial" w:cs="Arial"/>
          <w:color w:val="auto"/>
          <w:sz w:val="24"/>
          <w:szCs w:val="24"/>
          <w:u w:val="none"/>
        </w:rPr>
        <w:t>together with</w:t>
      </w:r>
      <w:r>
        <w:rPr>
          <w:rStyle w:val="Hyperlink"/>
          <w:rFonts w:ascii="Arial" w:hAnsi="Arial" w:cs="Arial"/>
          <w:color w:val="auto"/>
          <w:sz w:val="24"/>
          <w:szCs w:val="24"/>
          <w:u w:val="none"/>
        </w:rPr>
        <w:t xml:space="preserve"> a reduction in numbers</w:t>
      </w:r>
      <w:r w:rsidR="00FB0C78">
        <w:rPr>
          <w:rStyle w:val="Hyperlink"/>
          <w:rFonts w:ascii="Arial" w:hAnsi="Arial" w:cs="Arial"/>
          <w:color w:val="auto"/>
          <w:sz w:val="24"/>
          <w:szCs w:val="24"/>
          <w:u w:val="none"/>
        </w:rPr>
        <w:t xml:space="preserve"> and lengths of detention</w:t>
      </w:r>
      <w:r>
        <w:rPr>
          <w:rStyle w:val="Hyperlink"/>
          <w:rFonts w:ascii="Arial" w:hAnsi="Arial" w:cs="Arial"/>
          <w:color w:val="auto"/>
          <w:sz w:val="24"/>
          <w:szCs w:val="24"/>
          <w:u w:val="none"/>
        </w:rPr>
        <w:t xml:space="preserve">, but not </w:t>
      </w:r>
      <w:r w:rsidR="00C42708">
        <w:rPr>
          <w:rStyle w:val="Hyperlink"/>
          <w:rFonts w:ascii="Arial" w:hAnsi="Arial" w:cs="Arial"/>
          <w:color w:val="auto"/>
          <w:sz w:val="24"/>
          <w:szCs w:val="24"/>
          <w:u w:val="none"/>
        </w:rPr>
        <w:t xml:space="preserve">an end </w:t>
      </w:r>
      <w:r>
        <w:rPr>
          <w:rStyle w:val="Hyperlink"/>
          <w:rFonts w:ascii="Arial" w:hAnsi="Arial" w:cs="Arial"/>
          <w:color w:val="auto"/>
          <w:sz w:val="24"/>
          <w:szCs w:val="24"/>
          <w:u w:val="none"/>
        </w:rPr>
        <w:t>to detentions</w:t>
      </w:r>
      <w:r w:rsidR="00FB0C78">
        <w:rPr>
          <w:rStyle w:val="Hyperlink"/>
          <w:rFonts w:ascii="Arial" w:hAnsi="Arial" w:cs="Arial"/>
          <w:color w:val="auto"/>
          <w:sz w:val="24"/>
          <w:szCs w:val="24"/>
          <w:u w:val="none"/>
        </w:rPr>
        <w:t xml:space="preserve"> as such</w:t>
      </w:r>
      <w:r>
        <w:rPr>
          <w:rStyle w:val="Hyperlink"/>
          <w:rFonts w:ascii="Arial" w:hAnsi="Arial" w:cs="Arial"/>
          <w:color w:val="auto"/>
          <w:sz w:val="24"/>
          <w:szCs w:val="24"/>
          <w:u w:val="none"/>
        </w:rPr>
        <w:t xml:space="preserve">, nor </w:t>
      </w:r>
      <w:r w:rsidR="00FB0C78">
        <w:rPr>
          <w:rStyle w:val="Hyperlink"/>
          <w:rFonts w:ascii="Arial" w:hAnsi="Arial" w:cs="Arial"/>
          <w:color w:val="auto"/>
          <w:sz w:val="24"/>
          <w:szCs w:val="24"/>
          <w:u w:val="none"/>
        </w:rPr>
        <w:t xml:space="preserve">to </w:t>
      </w:r>
      <w:r>
        <w:rPr>
          <w:rStyle w:val="Hyperlink"/>
          <w:rFonts w:ascii="Arial" w:hAnsi="Arial" w:cs="Arial"/>
          <w:color w:val="auto"/>
          <w:sz w:val="24"/>
          <w:szCs w:val="24"/>
          <w:u w:val="none"/>
        </w:rPr>
        <w:t xml:space="preserve">community treatment orders. </w:t>
      </w:r>
      <w:r w:rsidR="009B0A02">
        <w:rPr>
          <w:rStyle w:val="Hyperlink"/>
          <w:rFonts w:ascii="Arial" w:hAnsi="Arial" w:cs="Arial"/>
          <w:color w:val="auto"/>
          <w:sz w:val="24"/>
          <w:szCs w:val="24"/>
          <w:u w:val="none"/>
        </w:rPr>
        <w:t>The government</w:t>
      </w:r>
      <w:r w:rsidR="006639FC">
        <w:rPr>
          <w:rStyle w:val="Hyperlink"/>
          <w:rFonts w:ascii="Arial" w:hAnsi="Arial" w:cs="Arial"/>
          <w:color w:val="auto"/>
          <w:sz w:val="24"/>
          <w:szCs w:val="24"/>
          <w:u w:val="none"/>
        </w:rPr>
        <w:t xml:space="preserve"> </w:t>
      </w:r>
      <w:r w:rsidR="00D779F2">
        <w:rPr>
          <w:rStyle w:val="Hyperlink"/>
          <w:rFonts w:ascii="Arial" w:hAnsi="Arial" w:cs="Arial"/>
          <w:color w:val="auto"/>
          <w:sz w:val="24"/>
          <w:szCs w:val="24"/>
          <w:u w:val="none"/>
        </w:rPr>
        <w:t xml:space="preserve">is opposed </w:t>
      </w:r>
      <w:r w:rsidR="006639FC">
        <w:rPr>
          <w:rStyle w:val="Hyperlink"/>
          <w:rFonts w:ascii="Arial" w:hAnsi="Arial" w:cs="Arial"/>
          <w:color w:val="auto"/>
          <w:sz w:val="24"/>
          <w:szCs w:val="24"/>
          <w:u w:val="none"/>
        </w:rPr>
        <w:t>to mak</w:t>
      </w:r>
      <w:r w:rsidR="00D779F2">
        <w:rPr>
          <w:rStyle w:val="Hyperlink"/>
          <w:rFonts w:ascii="Arial" w:hAnsi="Arial" w:cs="Arial"/>
          <w:color w:val="auto"/>
          <w:sz w:val="24"/>
          <w:szCs w:val="24"/>
          <w:u w:val="none"/>
        </w:rPr>
        <w:t>ing</w:t>
      </w:r>
      <w:r w:rsidR="006639FC">
        <w:rPr>
          <w:rStyle w:val="Hyperlink"/>
          <w:rFonts w:ascii="Arial" w:hAnsi="Arial" w:cs="Arial"/>
          <w:color w:val="auto"/>
          <w:sz w:val="24"/>
          <w:szCs w:val="24"/>
          <w:u w:val="none"/>
        </w:rPr>
        <w:t xml:space="preserve"> </w:t>
      </w:r>
      <w:r w:rsidR="00C42708">
        <w:rPr>
          <w:rStyle w:val="Hyperlink"/>
          <w:rFonts w:ascii="Arial" w:hAnsi="Arial" w:cs="Arial"/>
          <w:color w:val="auto"/>
          <w:sz w:val="24"/>
          <w:szCs w:val="24"/>
          <w:u w:val="none"/>
        </w:rPr>
        <w:t>more fundamental</w:t>
      </w:r>
      <w:r w:rsidR="006639FC">
        <w:rPr>
          <w:rStyle w:val="Hyperlink"/>
          <w:rFonts w:ascii="Arial" w:hAnsi="Arial" w:cs="Arial"/>
          <w:color w:val="auto"/>
          <w:sz w:val="24"/>
          <w:szCs w:val="24"/>
          <w:u w:val="none"/>
        </w:rPr>
        <w:t xml:space="preserve"> changes to the detention criteria</w:t>
      </w:r>
      <w:r w:rsidR="009B0A02">
        <w:rPr>
          <w:rStyle w:val="Hyperlink"/>
          <w:rFonts w:ascii="Arial" w:hAnsi="Arial" w:cs="Arial"/>
          <w:color w:val="auto"/>
          <w:sz w:val="24"/>
          <w:szCs w:val="24"/>
          <w:u w:val="none"/>
        </w:rPr>
        <w:t xml:space="preserve"> </w:t>
      </w:r>
      <w:r w:rsidR="00C42708">
        <w:rPr>
          <w:rStyle w:val="Hyperlink"/>
          <w:rFonts w:ascii="Arial" w:hAnsi="Arial" w:cs="Arial"/>
          <w:color w:val="auto"/>
          <w:sz w:val="24"/>
          <w:szCs w:val="24"/>
          <w:u w:val="none"/>
        </w:rPr>
        <w:t xml:space="preserve">which would mean </w:t>
      </w:r>
      <w:r w:rsidR="009B0A02">
        <w:rPr>
          <w:rStyle w:val="Hyperlink"/>
          <w:rFonts w:ascii="Arial" w:hAnsi="Arial" w:cs="Arial"/>
          <w:color w:val="auto"/>
          <w:sz w:val="24"/>
          <w:szCs w:val="24"/>
          <w:u w:val="none"/>
        </w:rPr>
        <w:t>that people who</w:t>
      </w:r>
      <w:r w:rsidR="00D779F2">
        <w:rPr>
          <w:rStyle w:val="Hyperlink"/>
          <w:rFonts w:ascii="Arial" w:hAnsi="Arial" w:cs="Arial"/>
          <w:color w:val="auto"/>
          <w:sz w:val="24"/>
          <w:szCs w:val="24"/>
          <w:u w:val="none"/>
        </w:rPr>
        <w:t>m it thinks</w:t>
      </w:r>
      <w:r w:rsidR="009B0A02">
        <w:rPr>
          <w:rStyle w:val="Hyperlink"/>
          <w:rFonts w:ascii="Arial" w:hAnsi="Arial" w:cs="Arial"/>
          <w:color w:val="auto"/>
          <w:sz w:val="24"/>
          <w:szCs w:val="24"/>
          <w:u w:val="none"/>
        </w:rPr>
        <w:t xml:space="preserve"> need the </w:t>
      </w:r>
      <w:r w:rsidR="006639FC">
        <w:rPr>
          <w:rStyle w:val="Hyperlink"/>
          <w:rFonts w:ascii="Arial" w:hAnsi="Arial" w:cs="Arial"/>
          <w:color w:val="auto"/>
          <w:sz w:val="24"/>
          <w:szCs w:val="24"/>
          <w:u w:val="none"/>
        </w:rPr>
        <w:t xml:space="preserve">Act’s </w:t>
      </w:r>
      <w:r w:rsidR="00D779F2">
        <w:rPr>
          <w:rStyle w:val="Hyperlink"/>
          <w:rFonts w:ascii="Arial" w:hAnsi="Arial" w:cs="Arial"/>
          <w:color w:val="auto"/>
          <w:sz w:val="24"/>
          <w:szCs w:val="24"/>
          <w:u w:val="none"/>
        </w:rPr>
        <w:lastRenderedPageBreak/>
        <w:t>‘</w:t>
      </w:r>
      <w:r w:rsidR="009B0A02">
        <w:rPr>
          <w:rStyle w:val="Hyperlink"/>
          <w:rFonts w:ascii="Arial" w:hAnsi="Arial" w:cs="Arial"/>
          <w:color w:val="auto"/>
          <w:sz w:val="24"/>
          <w:szCs w:val="24"/>
          <w:u w:val="none"/>
        </w:rPr>
        <w:t>protection</w:t>
      </w:r>
      <w:r w:rsidR="00D779F2">
        <w:rPr>
          <w:rStyle w:val="Hyperlink"/>
          <w:rFonts w:ascii="Arial" w:hAnsi="Arial" w:cs="Arial"/>
          <w:color w:val="auto"/>
          <w:sz w:val="24"/>
          <w:szCs w:val="24"/>
          <w:u w:val="none"/>
        </w:rPr>
        <w:t>’</w:t>
      </w:r>
      <w:r w:rsidR="009B0A02">
        <w:rPr>
          <w:rStyle w:val="Hyperlink"/>
          <w:rFonts w:ascii="Arial" w:hAnsi="Arial" w:cs="Arial"/>
          <w:color w:val="auto"/>
          <w:sz w:val="24"/>
          <w:szCs w:val="24"/>
          <w:u w:val="none"/>
        </w:rPr>
        <w:t xml:space="preserve"> can no longer be </w:t>
      </w:r>
      <w:r w:rsidR="00C42708">
        <w:rPr>
          <w:rStyle w:val="Hyperlink"/>
          <w:rFonts w:ascii="Arial" w:hAnsi="Arial" w:cs="Arial"/>
          <w:color w:val="auto"/>
          <w:sz w:val="24"/>
          <w:szCs w:val="24"/>
          <w:u w:val="none"/>
        </w:rPr>
        <w:t>sectioned</w:t>
      </w:r>
      <w:r w:rsidR="009B0A02">
        <w:rPr>
          <w:rStyle w:val="Hyperlink"/>
          <w:rFonts w:ascii="Arial" w:hAnsi="Arial" w:cs="Arial"/>
          <w:color w:val="auto"/>
          <w:sz w:val="24"/>
          <w:szCs w:val="24"/>
          <w:u w:val="none"/>
        </w:rPr>
        <w:t xml:space="preserve">.  </w:t>
      </w:r>
      <w:r w:rsidR="0058272F">
        <w:rPr>
          <w:rStyle w:val="Hyperlink"/>
          <w:rFonts w:ascii="Arial" w:hAnsi="Arial" w:cs="Arial"/>
          <w:color w:val="auto"/>
          <w:sz w:val="24"/>
          <w:szCs w:val="24"/>
          <w:u w:val="none"/>
        </w:rPr>
        <w:t xml:space="preserve">A further issue is the plan to have a two-tier system which </w:t>
      </w:r>
      <w:r w:rsidR="00A51E5D">
        <w:rPr>
          <w:rStyle w:val="Hyperlink"/>
          <w:rFonts w:ascii="Arial" w:hAnsi="Arial" w:cs="Arial"/>
          <w:color w:val="auto"/>
          <w:sz w:val="24"/>
          <w:szCs w:val="24"/>
          <w:u w:val="none"/>
        </w:rPr>
        <w:t>gives stronger rights to</w:t>
      </w:r>
      <w:r w:rsidR="0058272F">
        <w:rPr>
          <w:rStyle w:val="Hyperlink"/>
          <w:rFonts w:ascii="Arial" w:hAnsi="Arial" w:cs="Arial"/>
          <w:color w:val="auto"/>
          <w:sz w:val="24"/>
          <w:szCs w:val="24"/>
          <w:u w:val="none"/>
        </w:rPr>
        <w:t xml:space="preserve"> people who are judged to ‘have capacity’. </w:t>
      </w:r>
    </w:p>
    <w:p w14:paraId="4E6279FE" w14:textId="07BED530" w:rsidR="00960437" w:rsidRDefault="00A860F7" w:rsidP="00776200">
      <w:pPr>
        <w:spacing w:line="360" w:lineRule="auto"/>
        <w:rPr>
          <w:rFonts w:ascii="Arial" w:hAnsi="Arial" w:cs="Arial"/>
          <w:sz w:val="24"/>
          <w:szCs w:val="24"/>
        </w:rPr>
      </w:pPr>
      <w:r>
        <w:rPr>
          <w:rFonts w:ascii="Arial" w:hAnsi="Arial" w:cs="Arial"/>
          <w:sz w:val="24"/>
          <w:szCs w:val="24"/>
        </w:rPr>
        <w:t>The White Paper’s</w:t>
      </w:r>
      <w:r w:rsidR="00E02570" w:rsidRPr="00A860F7">
        <w:rPr>
          <w:rFonts w:ascii="Arial" w:hAnsi="Arial" w:cs="Arial"/>
          <w:sz w:val="24"/>
          <w:szCs w:val="24"/>
        </w:rPr>
        <w:t xml:space="preserve"> proposals for Advance Choice Documents </w:t>
      </w:r>
      <w:r>
        <w:rPr>
          <w:rFonts w:ascii="Arial" w:hAnsi="Arial" w:cs="Arial"/>
          <w:sz w:val="24"/>
          <w:szCs w:val="24"/>
        </w:rPr>
        <w:t xml:space="preserve">(ACDs) </w:t>
      </w:r>
      <w:r w:rsidR="00E02570" w:rsidRPr="00A860F7">
        <w:rPr>
          <w:rFonts w:ascii="Arial" w:hAnsi="Arial" w:cs="Arial"/>
          <w:sz w:val="24"/>
          <w:szCs w:val="24"/>
        </w:rPr>
        <w:t>remain in breach of Articles 12 and 14</w:t>
      </w:r>
      <w:r w:rsidR="00BA7438">
        <w:rPr>
          <w:rFonts w:ascii="Arial" w:hAnsi="Arial" w:cs="Arial"/>
          <w:sz w:val="24"/>
          <w:szCs w:val="24"/>
        </w:rPr>
        <w:t xml:space="preserve">, despite Recommendations 31 and 35 in the Disability Committee’s </w:t>
      </w:r>
      <w:r w:rsidR="00C307B7">
        <w:rPr>
          <w:rFonts w:ascii="Arial" w:hAnsi="Arial" w:cs="Arial"/>
          <w:sz w:val="24"/>
          <w:szCs w:val="24"/>
        </w:rPr>
        <w:t>2017 Review report,</w:t>
      </w:r>
      <w:r w:rsidR="00E02570" w:rsidRPr="00A860F7">
        <w:rPr>
          <w:rFonts w:ascii="Arial" w:hAnsi="Arial" w:cs="Arial"/>
          <w:sz w:val="24"/>
          <w:szCs w:val="24"/>
        </w:rPr>
        <w:t xml:space="preserve"> both for </w:t>
      </w:r>
      <w:r w:rsidRPr="00A860F7">
        <w:rPr>
          <w:rFonts w:ascii="Arial" w:hAnsi="Arial" w:cs="Arial"/>
          <w:sz w:val="24"/>
          <w:szCs w:val="24"/>
        </w:rPr>
        <w:t xml:space="preserve">people judged to ‘have capacity’ and </w:t>
      </w:r>
      <w:r>
        <w:rPr>
          <w:rFonts w:ascii="Arial" w:hAnsi="Arial" w:cs="Arial"/>
          <w:sz w:val="24"/>
          <w:szCs w:val="24"/>
        </w:rPr>
        <w:t xml:space="preserve">for </w:t>
      </w:r>
      <w:r w:rsidRPr="00A860F7">
        <w:rPr>
          <w:rFonts w:ascii="Arial" w:hAnsi="Arial" w:cs="Arial"/>
          <w:sz w:val="24"/>
          <w:szCs w:val="24"/>
        </w:rPr>
        <w:t>those who are not.</w:t>
      </w:r>
      <w:r>
        <w:rPr>
          <w:rFonts w:ascii="Arial" w:hAnsi="Arial" w:cs="Arial"/>
          <w:sz w:val="24"/>
          <w:szCs w:val="24"/>
        </w:rPr>
        <w:t xml:space="preserve"> The former will gain a statutory right to </w:t>
      </w:r>
      <w:r w:rsidR="00FB0C78">
        <w:rPr>
          <w:rFonts w:ascii="Arial" w:hAnsi="Arial" w:cs="Arial"/>
          <w:sz w:val="24"/>
          <w:szCs w:val="24"/>
        </w:rPr>
        <w:t>use an ACD to specify</w:t>
      </w:r>
      <w:r>
        <w:rPr>
          <w:rFonts w:ascii="Arial" w:hAnsi="Arial" w:cs="Arial"/>
          <w:sz w:val="24"/>
          <w:szCs w:val="24"/>
        </w:rPr>
        <w:t xml:space="preserve"> what treatment </w:t>
      </w:r>
      <w:r w:rsidR="00FB0C78">
        <w:rPr>
          <w:rFonts w:ascii="Arial" w:hAnsi="Arial" w:cs="Arial"/>
          <w:sz w:val="24"/>
          <w:szCs w:val="24"/>
        </w:rPr>
        <w:t xml:space="preserve">they </w:t>
      </w:r>
      <w:r w:rsidR="00A51E5D">
        <w:rPr>
          <w:rFonts w:ascii="Arial" w:hAnsi="Arial" w:cs="Arial"/>
          <w:sz w:val="24"/>
          <w:szCs w:val="24"/>
        </w:rPr>
        <w:t>wish and do not wish to have</w:t>
      </w:r>
      <w:r w:rsidR="00FB0C78">
        <w:rPr>
          <w:rFonts w:ascii="Arial" w:hAnsi="Arial" w:cs="Arial"/>
          <w:sz w:val="24"/>
          <w:szCs w:val="24"/>
        </w:rPr>
        <w:t xml:space="preserve"> when they have been detained</w:t>
      </w:r>
      <w:r w:rsidR="00EB0262">
        <w:rPr>
          <w:rFonts w:ascii="Arial" w:hAnsi="Arial" w:cs="Arial"/>
          <w:sz w:val="24"/>
          <w:szCs w:val="24"/>
        </w:rPr>
        <w:t xml:space="preserve"> and to have their </w:t>
      </w:r>
      <w:r w:rsidR="001316D0">
        <w:rPr>
          <w:rFonts w:ascii="Arial" w:hAnsi="Arial" w:cs="Arial"/>
          <w:sz w:val="24"/>
          <w:szCs w:val="24"/>
        </w:rPr>
        <w:t>choices</w:t>
      </w:r>
      <w:r w:rsidR="00EB0262">
        <w:rPr>
          <w:rFonts w:ascii="Arial" w:hAnsi="Arial" w:cs="Arial"/>
          <w:sz w:val="24"/>
          <w:szCs w:val="24"/>
        </w:rPr>
        <w:t xml:space="preserve"> taken seriously into account. However, they will </w:t>
      </w:r>
      <w:r w:rsidR="00FB0C78">
        <w:rPr>
          <w:rFonts w:ascii="Arial" w:hAnsi="Arial" w:cs="Arial"/>
          <w:sz w:val="24"/>
          <w:szCs w:val="24"/>
        </w:rPr>
        <w:t xml:space="preserve">not </w:t>
      </w:r>
      <w:r w:rsidR="00EB0262">
        <w:rPr>
          <w:rFonts w:ascii="Arial" w:hAnsi="Arial" w:cs="Arial"/>
          <w:sz w:val="24"/>
          <w:szCs w:val="24"/>
        </w:rPr>
        <w:t xml:space="preserve">be able to use an ACD </w:t>
      </w:r>
      <w:r w:rsidR="00FB0C78">
        <w:rPr>
          <w:rFonts w:ascii="Arial" w:hAnsi="Arial" w:cs="Arial"/>
          <w:sz w:val="24"/>
          <w:szCs w:val="24"/>
        </w:rPr>
        <w:t xml:space="preserve">to refuse detention. In addition, a clinician will still be able to overrule an ACD if s/he </w:t>
      </w:r>
      <w:r w:rsidR="002960A9">
        <w:rPr>
          <w:rFonts w:ascii="Arial" w:hAnsi="Arial" w:cs="Arial"/>
          <w:sz w:val="24"/>
          <w:szCs w:val="24"/>
        </w:rPr>
        <w:t>explains</w:t>
      </w:r>
      <w:r w:rsidR="00FB0C78">
        <w:rPr>
          <w:rFonts w:ascii="Arial" w:hAnsi="Arial" w:cs="Arial"/>
          <w:sz w:val="24"/>
          <w:szCs w:val="24"/>
        </w:rPr>
        <w:t xml:space="preserve"> the reason </w:t>
      </w:r>
      <w:r w:rsidR="002960A9">
        <w:rPr>
          <w:rFonts w:ascii="Arial" w:hAnsi="Arial" w:cs="Arial"/>
          <w:sz w:val="24"/>
          <w:szCs w:val="24"/>
        </w:rPr>
        <w:t>and provides justification</w:t>
      </w:r>
      <w:r w:rsidR="00FB0C78">
        <w:rPr>
          <w:rFonts w:ascii="Arial" w:hAnsi="Arial" w:cs="Arial"/>
          <w:sz w:val="24"/>
          <w:szCs w:val="24"/>
        </w:rPr>
        <w:t>.</w:t>
      </w:r>
      <w:r w:rsidR="00EB0262">
        <w:rPr>
          <w:rFonts w:ascii="Arial" w:hAnsi="Arial" w:cs="Arial"/>
          <w:sz w:val="24"/>
          <w:szCs w:val="24"/>
        </w:rPr>
        <w:t xml:space="preserve"> </w:t>
      </w:r>
      <w:r w:rsidR="008D4D43">
        <w:rPr>
          <w:rFonts w:ascii="Arial" w:hAnsi="Arial" w:cs="Arial"/>
          <w:sz w:val="24"/>
          <w:szCs w:val="24"/>
        </w:rPr>
        <w:t xml:space="preserve">People judged to ‘lack capacity’ will not </w:t>
      </w:r>
      <w:r w:rsidR="00C307B7">
        <w:rPr>
          <w:rFonts w:ascii="Arial" w:hAnsi="Arial" w:cs="Arial"/>
          <w:sz w:val="24"/>
          <w:szCs w:val="24"/>
        </w:rPr>
        <w:t>be given even this right</w:t>
      </w:r>
      <w:r w:rsidR="008D4D43">
        <w:rPr>
          <w:rFonts w:ascii="Arial" w:hAnsi="Arial" w:cs="Arial"/>
          <w:sz w:val="24"/>
          <w:szCs w:val="24"/>
        </w:rPr>
        <w:t xml:space="preserve">, </w:t>
      </w:r>
      <w:r w:rsidR="00A51E5D">
        <w:rPr>
          <w:rFonts w:ascii="Arial" w:hAnsi="Arial" w:cs="Arial"/>
          <w:sz w:val="24"/>
          <w:szCs w:val="24"/>
        </w:rPr>
        <w:t>al</w:t>
      </w:r>
      <w:r w:rsidR="008D4D43">
        <w:rPr>
          <w:rFonts w:ascii="Arial" w:hAnsi="Arial" w:cs="Arial"/>
          <w:sz w:val="24"/>
          <w:szCs w:val="24"/>
        </w:rPr>
        <w:t xml:space="preserve">though it is expected that </w:t>
      </w:r>
      <w:r w:rsidR="00EB0262">
        <w:rPr>
          <w:rFonts w:ascii="Arial" w:hAnsi="Arial" w:cs="Arial"/>
          <w:sz w:val="24"/>
          <w:szCs w:val="24"/>
        </w:rPr>
        <w:t xml:space="preserve">efforts </w:t>
      </w:r>
      <w:r w:rsidR="008D4D43">
        <w:rPr>
          <w:rFonts w:ascii="Arial" w:hAnsi="Arial" w:cs="Arial"/>
          <w:sz w:val="24"/>
          <w:szCs w:val="24"/>
        </w:rPr>
        <w:t>will</w:t>
      </w:r>
      <w:r w:rsidR="00EB0262">
        <w:rPr>
          <w:rFonts w:ascii="Arial" w:hAnsi="Arial" w:cs="Arial"/>
          <w:sz w:val="24"/>
          <w:szCs w:val="24"/>
        </w:rPr>
        <w:t xml:space="preserve"> be made to determine the</w:t>
      </w:r>
      <w:r w:rsidR="008D4D43">
        <w:rPr>
          <w:rFonts w:ascii="Arial" w:hAnsi="Arial" w:cs="Arial"/>
          <w:sz w:val="24"/>
          <w:szCs w:val="24"/>
        </w:rPr>
        <w:t>ir</w:t>
      </w:r>
      <w:r w:rsidR="00EB0262">
        <w:rPr>
          <w:rFonts w:ascii="Arial" w:hAnsi="Arial" w:cs="Arial"/>
          <w:sz w:val="24"/>
          <w:szCs w:val="24"/>
        </w:rPr>
        <w:t xml:space="preserve"> wishes</w:t>
      </w:r>
      <w:r w:rsidR="008D4D43">
        <w:rPr>
          <w:rFonts w:ascii="Arial" w:hAnsi="Arial" w:cs="Arial"/>
          <w:sz w:val="24"/>
          <w:szCs w:val="24"/>
        </w:rPr>
        <w:t xml:space="preserve"> so far as possible.</w:t>
      </w:r>
      <w:r w:rsidR="00EB0262">
        <w:rPr>
          <w:rFonts w:ascii="Arial" w:hAnsi="Arial" w:cs="Arial"/>
          <w:sz w:val="24"/>
          <w:szCs w:val="24"/>
        </w:rPr>
        <w:t xml:space="preserve"> </w:t>
      </w:r>
      <w:r w:rsidR="002960A9">
        <w:rPr>
          <w:rFonts w:ascii="Arial" w:hAnsi="Arial" w:cs="Arial"/>
          <w:sz w:val="24"/>
          <w:szCs w:val="24"/>
        </w:rPr>
        <w:t xml:space="preserve"> </w:t>
      </w:r>
      <w:r w:rsidR="00EB0262">
        <w:rPr>
          <w:rFonts w:ascii="Arial" w:hAnsi="Arial" w:cs="Arial"/>
          <w:sz w:val="24"/>
          <w:szCs w:val="24"/>
        </w:rPr>
        <w:t xml:space="preserve"> </w:t>
      </w:r>
    </w:p>
    <w:p w14:paraId="3D7D1396" w14:textId="31164012" w:rsidR="00C307B7" w:rsidRDefault="00A571A7" w:rsidP="00776200">
      <w:pPr>
        <w:spacing w:line="360" w:lineRule="auto"/>
        <w:rPr>
          <w:rFonts w:ascii="Arial" w:hAnsi="Arial" w:cs="Arial"/>
          <w:sz w:val="24"/>
          <w:szCs w:val="24"/>
        </w:rPr>
      </w:pPr>
      <w:r>
        <w:rPr>
          <w:rFonts w:ascii="Arial" w:hAnsi="Arial" w:cs="Arial"/>
          <w:sz w:val="24"/>
          <w:szCs w:val="24"/>
        </w:rPr>
        <w:t xml:space="preserve">In view of the government’s stance on the use of coercion, a serious worry is </w:t>
      </w:r>
      <w:r w:rsidR="00F96758">
        <w:rPr>
          <w:rFonts w:ascii="Arial" w:hAnsi="Arial" w:cs="Arial"/>
          <w:sz w:val="24"/>
          <w:szCs w:val="24"/>
        </w:rPr>
        <w:t>that</w:t>
      </w:r>
      <w:r w:rsidR="00760905">
        <w:rPr>
          <w:rFonts w:ascii="Arial" w:hAnsi="Arial" w:cs="Arial"/>
          <w:sz w:val="24"/>
          <w:szCs w:val="24"/>
        </w:rPr>
        <w:t xml:space="preserve"> </w:t>
      </w:r>
      <w:r w:rsidR="009C1D51">
        <w:rPr>
          <w:rFonts w:ascii="Arial" w:hAnsi="Arial" w:cs="Arial"/>
          <w:sz w:val="24"/>
          <w:szCs w:val="24"/>
        </w:rPr>
        <w:t xml:space="preserve">it </w:t>
      </w:r>
      <w:r w:rsidR="00760905">
        <w:rPr>
          <w:rFonts w:ascii="Arial" w:hAnsi="Arial" w:cs="Arial"/>
          <w:sz w:val="24"/>
          <w:szCs w:val="24"/>
        </w:rPr>
        <w:t>will not</w:t>
      </w:r>
      <w:r w:rsidR="00F96758">
        <w:rPr>
          <w:rFonts w:ascii="Arial" w:hAnsi="Arial" w:cs="Arial"/>
          <w:sz w:val="24"/>
          <w:szCs w:val="24"/>
        </w:rPr>
        <w:t xml:space="preserve"> oppose the</w:t>
      </w:r>
      <w:r w:rsidRPr="00A571A7">
        <w:rPr>
          <w:rFonts w:ascii="Arial" w:hAnsi="Arial" w:cs="Arial"/>
          <w:sz w:val="24"/>
          <w:szCs w:val="24"/>
        </w:rPr>
        <w:t xml:space="preserve"> </w:t>
      </w:r>
      <w:r>
        <w:rPr>
          <w:rFonts w:ascii="Arial" w:hAnsi="Arial" w:cs="Arial"/>
          <w:sz w:val="24"/>
          <w:szCs w:val="24"/>
        </w:rPr>
        <w:t xml:space="preserve">draft Additional Protocol for the </w:t>
      </w:r>
      <w:hyperlink r:id="rId22" w:history="1">
        <w:r w:rsidRPr="0046375F">
          <w:rPr>
            <w:rStyle w:val="Hyperlink"/>
            <w:rFonts w:ascii="Arial" w:hAnsi="Arial" w:cs="Arial"/>
            <w:sz w:val="24"/>
            <w:szCs w:val="24"/>
          </w:rPr>
          <w:t>Oviedo Convention</w:t>
        </w:r>
      </w:hyperlink>
      <w:r>
        <w:rPr>
          <w:rFonts w:ascii="Arial" w:hAnsi="Arial" w:cs="Arial"/>
          <w:sz w:val="24"/>
          <w:szCs w:val="24"/>
        </w:rPr>
        <w:t xml:space="preserve"> </w:t>
      </w:r>
      <w:r w:rsidR="00760905">
        <w:rPr>
          <w:rFonts w:ascii="Arial" w:hAnsi="Arial" w:cs="Arial"/>
          <w:sz w:val="24"/>
          <w:szCs w:val="24"/>
        </w:rPr>
        <w:t>put forward by the Council of Europe’s</w:t>
      </w:r>
      <w:r>
        <w:rPr>
          <w:rFonts w:ascii="Arial" w:hAnsi="Arial" w:cs="Arial"/>
          <w:sz w:val="24"/>
          <w:szCs w:val="24"/>
        </w:rPr>
        <w:t xml:space="preserve"> Committee of Bioethics, a Protocol which </w:t>
      </w:r>
      <w:r w:rsidR="00B73FAF">
        <w:rPr>
          <w:rFonts w:ascii="Arial" w:hAnsi="Arial" w:cs="Arial"/>
          <w:sz w:val="24"/>
          <w:szCs w:val="24"/>
        </w:rPr>
        <w:t>would</w:t>
      </w:r>
      <w:r w:rsidR="005160AD">
        <w:rPr>
          <w:rFonts w:ascii="Arial" w:hAnsi="Arial" w:cs="Arial"/>
          <w:sz w:val="24"/>
          <w:szCs w:val="24"/>
        </w:rPr>
        <w:t xml:space="preserve"> </w:t>
      </w:r>
      <w:r w:rsidR="0046375F">
        <w:rPr>
          <w:rFonts w:ascii="Arial" w:hAnsi="Arial" w:cs="Arial"/>
          <w:sz w:val="24"/>
          <w:szCs w:val="24"/>
        </w:rPr>
        <w:t>endorse</w:t>
      </w:r>
      <w:r w:rsidR="005160AD">
        <w:rPr>
          <w:rFonts w:ascii="Arial" w:hAnsi="Arial" w:cs="Arial"/>
          <w:sz w:val="24"/>
          <w:szCs w:val="24"/>
        </w:rPr>
        <w:t xml:space="preserve"> involuntary detention in psychiatric hospitals and forced treatment</w:t>
      </w:r>
      <w:r w:rsidR="00C307B7">
        <w:rPr>
          <w:rFonts w:ascii="Arial" w:hAnsi="Arial" w:cs="Arial"/>
          <w:sz w:val="24"/>
          <w:szCs w:val="24"/>
        </w:rPr>
        <w:t xml:space="preserve"> </w:t>
      </w:r>
      <w:r w:rsidR="005160AD">
        <w:rPr>
          <w:rFonts w:ascii="Arial" w:hAnsi="Arial" w:cs="Arial"/>
          <w:sz w:val="24"/>
          <w:szCs w:val="24"/>
        </w:rPr>
        <w:t xml:space="preserve">among </w:t>
      </w:r>
      <w:r w:rsidR="00B73FAF">
        <w:rPr>
          <w:rFonts w:ascii="Arial" w:hAnsi="Arial" w:cs="Arial"/>
          <w:sz w:val="24"/>
          <w:szCs w:val="24"/>
        </w:rPr>
        <w:t>all 47 States w</w:t>
      </w:r>
      <w:r w:rsidR="00B25244">
        <w:rPr>
          <w:rFonts w:ascii="Arial" w:hAnsi="Arial" w:cs="Arial"/>
          <w:sz w:val="24"/>
          <w:szCs w:val="24"/>
        </w:rPr>
        <w:t xml:space="preserve">ith membership of </w:t>
      </w:r>
      <w:r w:rsidR="00B73FAF">
        <w:rPr>
          <w:rFonts w:ascii="Arial" w:hAnsi="Arial" w:cs="Arial"/>
          <w:sz w:val="24"/>
          <w:szCs w:val="24"/>
        </w:rPr>
        <w:t>the Council of Europe</w:t>
      </w:r>
      <w:r w:rsidR="001316D0">
        <w:rPr>
          <w:rFonts w:ascii="Arial" w:hAnsi="Arial" w:cs="Arial"/>
          <w:sz w:val="24"/>
          <w:szCs w:val="24"/>
        </w:rPr>
        <w:t xml:space="preserve"> and so be in conflict with the UNCRDP</w:t>
      </w:r>
      <w:r w:rsidR="00B73FAF">
        <w:rPr>
          <w:rFonts w:ascii="Arial" w:hAnsi="Arial" w:cs="Arial"/>
          <w:sz w:val="24"/>
          <w:szCs w:val="24"/>
        </w:rPr>
        <w:t>.</w:t>
      </w:r>
      <w:r w:rsidR="00760905">
        <w:rPr>
          <w:rFonts w:ascii="Arial" w:hAnsi="Arial" w:cs="Arial"/>
          <w:sz w:val="24"/>
          <w:szCs w:val="24"/>
        </w:rPr>
        <w:t xml:space="preserve"> </w:t>
      </w:r>
    </w:p>
    <w:p w14:paraId="1A4EC8DC" w14:textId="582CCBD4" w:rsidR="009C1D51" w:rsidRPr="001316D0" w:rsidRDefault="009C1D51" w:rsidP="00776200">
      <w:pPr>
        <w:spacing w:line="360" w:lineRule="auto"/>
        <w:rPr>
          <w:rFonts w:ascii="Arial" w:hAnsi="Arial" w:cs="Arial"/>
          <w:sz w:val="24"/>
          <w:szCs w:val="24"/>
        </w:rPr>
      </w:pPr>
      <w:r>
        <w:rPr>
          <w:rFonts w:ascii="Arial" w:hAnsi="Arial" w:cs="Arial"/>
          <w:sz w:val="24"/>
          <w:szCs w:val="24"/>
        </w:rPr>
        <w:t>On a more positive note, the White Paper recognises</w:t>
      </w:r>
      <w:r w:rsidR="001316D0">
        <w:rPr>
          <w:rFonts w:ascii="Arial" w:hAnsi="Arial" w:cs="Arial"/>
          <w:sz w:val="24"/>
          <w:szCs w:val="24"/>
        </w:rPr>
        <w:t xml:space="preserve"> that neither </w:t>
      </w:r>
      <w:r>
        <w:rPr>
          <w:rFonts w:ascii="Arial" w:hAnsi="Arial" w:cs="Arial"/>
          <w:sz w:val="24"/>
          <w:szCs w:val="24"/>
        </w:rPr>
        <w:t xml:space="preserve">a diagnosis of autism, </w:t>
      </w:r>
      <w:r w:rsidR="00911EAF">
        <w:rPr>
          <w:rFonts w:ascii="Arial" w:hAnsi="Arial" w:cs="Arial"/>
          <w:sz w:val="24"/>
          <w:szCs w:val="24"/>
        </w:rPr>
        <w:t>nor</w:t>
      </w:r>
      <w:r>
        <w:rPr>
          <w:rFonts w:ascii="Arial" w:hAnsi="Arial" w:cs="Arial"/>
          <w:sz w:val="24"/>
          <w:szCs w:val="24"/>
        </w:rPr>
        <w:t xml:space="preserve"> a learning difficulty alone should justify</w:t>
      </w:r>
      <w:r w:rsidR="00911EAF">
        <w:rPr>
          <w:rFonts w:ascii="Arial" w:hAnsi="Arial" w:cs="Arial"/>
          <w:sz w:val="24"/>
          <w:szCs w:val="24"/>
        </w:rPr>
        <w:t xml:space="preserve"> involuntary detention under the </w:t>
      </w:r>
      <w:hyperlink r:id="rId23" w:history="1">
        <w:r w:rsidR="001316D0" w:rsidRPr="002D0A91">
          <w:rPr>
            <w:rStyle w:val="Hyperlink"/>
            <w:rFonts w:ascii="Arial" w:hAnsi="Arial" w:cs="Arial"/>
            <w:i/>
            <w:iCs/>
            <w:sz w:val="24"/>
            <w:szCs w:val="24"/>
          </w:rPr>
          <w:t>Mental Health Act 1983</w:t>
        </w:r>
      </w:hyperlink>
      <w:r w:rsidR="001316D0">
        <w:rPr>
          <w:rFonts w:ascii="Arial" w:hAnsi="Arial" w:cs="Arial"/>
          <w:sz w:val="24"/>
          <w:szCs w:val="24"/>
        </w:rPr>
        <w:t>,</w:t>
      </w:r>
      <w:r w:rsidR="00911EAF">
        <w:rPr>
          <w:rFonts w:ascii="Arial" w:hAnsi="Arial" w:cs="Arial"/>
          <w:sz w:val="24"/>
          <w:szCs w:val="24"/>
        </w:rPr>
        <w:t>. However, detention will still be possible if someone is also though</w:t>
      </w:r>
      <w:r w:rsidR="001316D0">
        <w:rPr>
          <w:rFonts w:ascii="Arial" w:hAnsi="Arial" w:cs="Arial"/>
          <w:sz w:val="24"/>
          <w:szCs w:val="24"/>
        </w:rPr>
        <w:t>t</w:t>
      </w:r>
      <w:r w:rsidR="00911EAF">
        <w:rPr>
          <w:rFonts w:ascii="Arial" w:hAnsi="Arial" w:cs="Arial"/>
          <w:sz w:val="24"/>
          <w:szCs w:val="24"/>
        </w:rPr>
        <w:t xml:space="preserve"> to have a mental health condition. In addition, detention will remain possible under the </w:t>
      </w:r>
      <w:hyperlink r:id="rId24" w:history="1">
        <w:r w:rsidR="00911EAF" w:rsidRPr="0083652C">
          <w:rPr>
            <w:rStyle w:val="Hyperlink"/>
            <w:rFonts w:ascii="Arial" w:hAnsi="Arial" w:cs="Arial"/>
            <w:i/>
            <w:iCs/>
            <w:sz w:val="24"/>
            <w:szCs w:val="24"/>
          </w:rPr>
          <w:t>Mental Capacity Act</w:t>
        </w:r>
        <w:r w:rsidR="0083652C" w:rsidRPr="0083652C">
          <w:rPr>
            <w:rStyle w:val="Hyperlink"/>
            <w:rFonts w:ascii="Arial" w:hAnsi="Arial" w:cs="Arial"/>
            <w:i/>
            <w:iCs/>
            <w:sz w:val="24"/>
            <w:szCs w:val="24"/>
          </w:rPr>
          <w:t xml:space="preserve"> 2005</w:t>
        </w:r>
      </w:hyperlink>
      <w:r w:rsidR="001316D0" w:rsidRPr="003277B1">
        <w:rPr>
          <w:rStyle w:val="Hyperlink"/>
          <w:rFonts w:ascii="Arial" w:hAnsi="Arial" w:cs="Arial"/>
          <w:i/>
          <w:iCs/>
          <w:sz w:val="24"/>
          <w:szCs w:val="24"/>
          <w:u w:val="none"/>
        </w:rPr>
        <w:t xml:space="preserve"> </w:t>
      </w:r>
      <w:r w:rsidR="001316D0">
        <w:rPr>
          <w:rStyle w:val="Hyperlink"/>
          <w:rFonts w:ascii="Arial" w:hAnsi="Arial" w:cs="Arial"/>
          <w:color w:val="auto"/>
          <w:sz w:val="24"/>
          <w:szCs w:val="24"/>
          <w:u w:val="none"/>
        </w:rPr>
        <w:t xml:space="preserve">and the </w:t>
      </w:r>
      <w:hyperlink r:id="rId25" w:history="1">
        <w:r w:rsidR="001316D0" w:rsidRPr="003277B1">
          <w:rPr>
            <w:rStyle w:val="Hyperlink"/>
            <w:rFonts w:ascii="Arial" w:hAnsi="Arial" w:cs="Arial"/>
            <w:i/>
            <w:iCs/>
            <w:sz w:val="24"/>
            <w:szCs w:val="24"/>
          </w:rPr>
          <w:t>Mental Capacity (Amendment) Act 2019</w:t>
        </w:r>
      </w:hyperlink>
      <w:r w:rsidR="003277B1" w:rsidRPr="003277B1">
        <w:rPr>
          <w:rStyle w:val="Hyperlink"/>
          <w:rFonts w:ascii="Arial" w:hAnsi="Arial" w:cs="Arial"/>
          <w:i/>
          <w:iCs/>
          <w:color w:val="auto"/>
          <w:sz w:val="24"/>
          <w:szCs w:val="24"/>
          <w:u w:val="none"/>
        </w:rPr>
        <w:t xml:space="preserve"> </w:t>
      </w:r>
      <w:r w:rsidR="003277B1">
        <w:rPr>
          <w:rStyle w:val="Hyperlink"/>
          <w:rFonts w:ascii="Arial" w:hAnsi="Arial" w:cs="Arial"/>
          <w:color w:val="auto"/>
          <w:sz w:val="24"/>
          <w:szCs w:val="24"/>
          <w:u w:val="none"/>
        </w:rPr>
        <w:t>which is due to come into force during 2022.</w:t>
      </w:r>
    </w:p>
    <w:p w14:paraId="6C43EAD8" w14:textId="596201CD" w:rsidR="00B36063" w:rsidRDefault="00B36063" w:rsidP="00776200">
      <w:pPr>
        <w:spacing w:line="360" w:lineRule="auto"/>
        <w:rPr>
          <w:rFonts w:ascii="Arial" w:hAnsi="Arial" w:cs="Arial"/>
          <w:b/>
          <w:bCs/>
          <w:sz w:val="24"/>
          <w:szCs w:val="24"/>
        </w:rPr>
      </w:pPr>
      <w:r>
        <w:rPr>
          <w:rFonts w:ascii="Arial" w:hAnsi="Arial" w:cs="Arial"/>
          <w:b/>
          <w:bCs/>
          <w:sz w:val="24"/>
          <w:szCs w:val="24"/>
        </w:rPr>
        <w:t>Article 15</w:t>
      </w:r>
    </w:p>
    <w:p w14:paraId="180F6B97" w14:textId="4BECEB3A" w:rsidR="00BD3CE0" w:rsidRDefault="00A25577" w:rsidP="00776200">
      <w:pPr>
        <w:spacing w:line="360" w:lineRule="auto"/>
        <w:rPr>
          <w:rFonts w:ascii="Arial" w:hAnsi="Arial" w:cs="Arial"/>
          <w:sz w:val="24"/>
          <w:szCs w:val="24"/>
        </w:rPr>
      </w:pPr>
      <w:r>
        <w:rPr>
          <w:rFonts w:ascii="Arial" w:hAnsi="Arial" w:cs="Arial"/>
          <w:sz w:val="24"/>
          <w:szCs w:val="24"/>
        </w:rPr>
        <w:t xml:space="preserve">Contrary to </w:t>
      </w:r>
      <w:r w:rsidR="001F7129">
        <w:rPr>
          <w:rFonts w:ascii="Arial" w:hAnsi="Arial" w:cs="Arial"/>
          <w:sz w:val="24"/>
          <w:szCs w:val="24"/>
        </w:rPr>
        <w:t>R</w:t>
      </w:r>
      <w:r>
        <w:rPr>
          <w:rFonts w:ascii="Arial" w:hAnsi="Arial" w:cs="Arial"/>
          <w:sz w:val="24"/>
          <w:szCs w:val="24"/>
        </w:rPr>
        <w:t xml:space="preserve">ecommendation 37(a) in the 2017 Review report, the government </w:t>
      </w:r>
      <w:r w:rsidR="00237BFD">
        <w:rPr>
          <w:rFonts w:ascii="Arial" w:hAnsi="Arial" w:cs="Arial"/>
          <w:sz w:val="24"/>
          <w:szCs w:val="24"/>
        </w:rPr>
        <w:t>continues to</w:t>
      </w:r>
      <w:r>
        <w:rPr>
          <w:rFonts w:ascii="Arial" w:hAnsi="Arial" w:cs="Arial"/>
          <w:sz w:val="24"/>
          <w:szCs w:val="24"/>
        </w:rPr>
        <w:t xml:space="preserve"> a</w:t>
      </w:r>
      <w:r w:rsidR="006445F4">
        <w:rPr>
          <w:rFonts w:ascii="Arial" w:hAnsi="Arial" w:cs="Arial"/>
          <w:sz w:val="24"/>
          <w:szCs w:val="24"/>
        </w:rPr>
        <w:t>uthoris</w:t>
      </w:r>
      <w:r w:rsidR="00021267">
        <w:rPr>
          <w:rFonts w:ascii="Arial" w:hAnsi="Arial" w:cs="Arial"/>
          <w:sz w:val="24"/>
          <w:szCs w:val="24"/>
        </w:rPr>
        <w:t>e</w:t>
      </w:r>
      <w:r w:rsidR="00237BFD">
        <w:rPr>
          <w:rFonts w:ascii="Arial" w:hAnsi="Arial" w:cs="Arial"/>
          <w:sz w:val="24"/>
          <w:szCs w:val="24"/>
        </w:rPr>
        <w:t xml:space="preserve"> both</w:t>
      </w:r>
      <w:r>
        <w:rPr>
          <w:rFonts w:ascii="Arial" w:hAnsi="Arial" w:cs="Arial"/>
          <w:sz w:val="24"/>
          <w:szCs w:val="24"/>
        </w:rPr>
        <w:t xml:space="preserve"> the use of restraint</w:t>
      </w:r>
      <w:r w:rsidR="00853F5E">
        <w:rPr>
          <w:rFonts w:ascii="Arial" w:hAnsi="Arial" w:cs="Arial"/>
          <w:sz w:val="24"/>
          <w:szCs w:val="24"/>
        </w:rPr>
        <w:t xml:space="preserve"> on grounds related to mental distress and the employment of</w:t>
      </w:r>
      <w:r>
        <w:rPr>
          <w:rFonts w:ascii="Arial" w:hAnsi="Arial" w:cs="Arial"/>
          <w:sz w:val="24"/>
          <w:szCs w:val="24"/>
        </w:rPr>
        <w:t xml:space="preserve"> Taser guns</w:t>
      </w:r>
      <w:r w:rsidR="00853F5E">
        <w:rPr>
          <w:rFonts w:ascii="Arial" w:hAnsi="Arial" w:cs="Arial"/>
          <w:sz w:val="24"/>
          <w:szCs w:val="24"/>
        </w:rPr>
        <w:t xml:space="preserve"> against people in mental distress</w:t>
      </w:r>
      <w:r w:rsidR="00BD3CE0">
        <w:rPr>
          <w:rFonts w:ascii="Arial" w:hAnsi="Arial" w:cs="Arial"/>
          <w:sz w:val="24"/>
          <w:szCs w:val="24"/>
        </w:rPr>
        <w:t xml:space="preserve">. In the </w:t>
      </w:r>
      <w:hyperlink r:id="rId26" w:history="1">
        <w:r w:rsidR="00BD3CE0" w:rsidRPr="00AF3508">
          <w:rPr>
            <w:rStyle w:val="Hyperlink"/>
            <w:rFonts w:ascii="Arial" w:hAnsi="Arial" w:cs="Arial"/>
            <w:sz w:val="24"/>
            <w:szCs w:val="24"/>
          </w:rPr>
          <w:t>Mental Health Act White Paper</w:t>
        </w:r>
      </w:hyperlink>
      <w:r w:rsidR="00BD3CE0">
        <w:rPr>
          <w:rStyle w:val="Hyperlink"/>
          <w:rFonts w:ascii="Arial" w:hAnsi="Arial" w:cs="Arial"/>
          <w:color w:val="auto"/>
          <w:sz w:val="24"/>
          <w:szCs w:val="24"/>
          <w:u w:val="none"/>
        </w:rPr>
        <w:t xml:space="preserve">, the initial phase of a Mental Health Safety Improvement Programme </w:t>
      </w:r>
      <w:r w:rsidR="0024300F">
        <w:rPr>
          <w:rStyle w:val="Hyperlink"/>
          <w:rFonts w:ascii="Arial" w:hAnsi="Arial" w:cs="Arial"/>
          <w:color w:val="auto"/>
          <w:sz w:val="24"/>
          <w:szCs w:val="24"/>
          <w:u w:val="none"/>
        </w:rPr>
        <w:t>has been</w:t>
      </w:r>
      <w:r w:rsidR="00BD3CE0">
        <w:rPr>
          <w:rStyle w:val="Hyperlink"/>
          <w:rFonts w:ascii="Arial" w:hAnsi="Arial" w:cs="Arial"/>
          <w:color w:val="auto"/>
          <w:sz w:val="24"/>
          <w:szCs w:val="24"/>
          <w:u w:val="none"/>
        </w:rPr>
        <w:t xml:space="preserve"> described as successful in reducing restrictive practice. However, evidence of this is not provided. </w:t>
      </w:r>
      <w:r w:rsidR="00BD3CE0">
        <w:rPr>
          <w:rFonts w:ascii="Arial" w:hAnsi="Arial" w:cs="Arial"/>
          <w:sz w:val="24"/>
          <w:szCs w:val="24"/>
        </w:rPr>
        <w:t>T</w:t>
      </w:r>
      <w:r w:rsidR="00CD6B8D">
        <w:rPr>
          <w:rFonts w:ascii="Arial" w:hAnsi="Arial" w:cs="Arial"/>
          <w:sz w:val="24"/>
          <w:szCs w:val="24"/>
        </w:rPr>
        <w:t xml:space="preserve">he overall usage of Tasers has </w:t>
      </w:r>
      <w:r w:rsidR="003277B1">
        <w:rPr>
          <w:rFonts w:ascii="Arial" w:hAnsi="Arial" w:cs="Arial"/>
          <w:sz w:val="24"/>
          <w:szCs w:val="24"/>
        </w:rPr>
        <w:t xml:space="preserve">also </w:t>
      </w:r>
      <w:r w:rsidR="00CD6B8D">
        <w:rPr>
          <w:rFonts w:ascii="Arial" w:hAnsi="Arial" w:cs="Arial"/>
          <w:sz w:val="24"/>
          <w:szCs w:val="24"/>
        </w:rPr>
        <w:t>increas</w:t>
      </w:r>
      <w:r w:rsidR="003277B1">
        <w:rPr>
          <w:rFonts w:ascii="Arial" w:hAnsi="Arial" w:cs="Arial"/>
          <w:sz w:val="24"/>
          <w:szCs w:val="24"/>
        </w:rPr>
        <w:t>ed</w:t>
      </w:r>
      <w:r w:rsidR="00CD6B8D">
        <w:rPr>
          <w:rFonts w:ascii="Arial" w:hAnsi="Arial" w:cs="Arial"/>
          <w:sz w:val="24"/>
          <w:szCs w:val="24"/>
        </w:rPr>
        <w:t xml:space="preserve"> and </w:t>
      </w:r>
      <w:r w:rsidR="003277B1">
        <w:rPr>
          <w:rFonts w:ascii="Arial" w:hAnsi="Arial" w:cs="Arial"/>
          <w:sz w:val="24"/>
          <w:szCs w:val="24"/>
        </w:rPr>
        <w:t xml:space="preserve">has </w:t>
      </w:r>
      <w:r w:rsidR="006445F4">
        <w:rPr>
          <w:rFonts w:ascii="Arial" w:hAnsi="Arial" w:cs="Arial"/>
          <w:sz w:val="24"/>
          <w:szCs w:val="24"/>
        </w:rPr>
        <w:t>do</w:t>
      </w:r>
      <w:r w:rsidR="003277B1">
        <w:rPr>
          <w:rFonts w:ascii="Arial" w:hAnsi="Arial" w:cs="Arial"/>
          <w:sz w:val="24"/>
          <w:szCs w:val="24"/>
        </w:rPr>
        <w:t>ne</w:t>
      </w:r>
      <w:r w:rsidR="006445F4">
        <w:rPr>
          <w:rFonts w:ascii="Arial" w:hAnsi="Arial" w:cs="Arial"/>
          <w:sz w:val="24"/>
          <w:szCs w:val="24"/>
        </w:rPr>
        <w:t xml:space="preserve"> so</w:t>
      </w:r>
      <w:r w:rsidR="00CD6B8D">
        <w:rPr>
          <w:rFonts w:ascii="Arial" w:hAnsi="Arial" w:cs="Arial"/>
          <w:sz w:val="24"/>
          <w:szCs w:val="24"/>
        </w:rPr>
        <w:t xml:space="preserve"> despite evidence </w:t>
      </w:r>
      <w:r w:rsidR="006445F4">
        <w:rPr>
          <w:rFonts w:ascii="Arial" w:hAnsi="Arial" w:cs="Arial"/>
          <w:sz w:val="24"/>
          <w:szCs w:val="24"/>
        </w:rPr>
        <w:t>that people from racialised communities are disproportionately affected</w:t>
      </w:r>
      <w:r w:rsidR="0024300F">
        <w:rPr>
          <w:rFonts w:ascii="Arial" w:hAnsi="Arial" w:cs="Arial"/>
          <w:sz w:val="24"/>
          <w:szCs w:val="24"/>
        </w:rPr>
        <w:t>;</w:t>
      </w:r>
      <w:r w:rsidR="00CD6B8D">
        <w:rPr>
          <w:rFonts w:ascii="Arial" w:hAnsi="Arial" w:cs="Arial"/>
          <w:sz w:val="24"/>
          <w:szCs w:val="24"/>
        </w:rPr>
        <w:t xml:space="preserve"> Pandian (2020) highlights </w:t>
      </w:r>
      <w:r w:rsidR="0024300F">
        <w:rPr>
          <w:rFonts w:ascii="Arial" w:hAnsi="Arial" w:cs="Arial"/>
          <w:sz w:val="24"/>
          <w:szCs w:val="24"/>
        </w:rPr>
        <w:t xml:space="preserve">this </w:t>
      </w:r>
      <w:r w:rsidR="00CD6B8D">
        <w:rPr>
          <w:rFonts w:ascii="Arial" w:hAnsi="Arial" w:cs="Arial"/>
          <w:sz w:val="24"/>
          <w:szCs w:val="24"/>
        </w:rPr>
        <w:t xml:space="preserve">in her article on </w:t>
      </w:r>
      <w:hyperlink r:id="rId27" w:history="1">
        <w:r w:rsidR="00CD6B8D" w:rsidRPr="00B3120A">
          <w:rPr>
            <w:rStyle w:val="Hyperlink"/>
            <w:rFonts w:ascii="Arial" w:hAnsi="Arial" w:cs="Arial"/>
            <w:sz w:val="24"/>
            <w:szCs w:val="24"/>
          </w:rPr>
          <w:t>taser trauma</w:t>
        </w:r>
      </w:hyperlink>
      <w:r w:rsidR="00CD6B8D">
        <w:rPr>
          <w:rFonts w:ascii="Arial" w:hAnsi="Arial" w:cs="Arial"/>
          <w:sz w:val="24"/>
          <w:szCs w:val="24"/>
        </w:rPr>
        <w:t xml:space="preserve">. </w:t>
      </w:r>
      <w:r>
        <w:rPr>
          <w:rFonts w:ascii="Arial" w:hAnsi="Arial" w:cs="Arial"/>
          <w:sz w:val="24"/>
          <w:szCs w:val="24"/>
        </w:rPr>
        <w:t xml:space="preserve"> </w:t>
      </w:r>
    </w:p>
    <w:p w14:paraId="75F3904B" w14:textId="77777777" w:rsidR="007B3A17" w:rsidRDefault="004D52F1" w:rsidP="00776200">
      <w:pPr>
        <w:spacing w:line="360" w:lineRule="auto"/>
        <w:rPr>
          <w:rFonts w:ascii="Arial" w:hAnsi="Arial" w:cs="Arial"/>
          <w:sz w:val="24"/>
          <w:szCs w:val="24"/>
        </w:rPr>
      </w:pPr>
      <w:r>
        <w:rPr>
          <w:rFonts w:ascii="Arial" w:hAnsi="Arial" w:cs="Arial"/>
          <w:sz w:val="24"/>
          <w:szCs w:val="24"/>
        </w:rPr>
        <w:t>A potentially positive development</w:t>
      </w:r>
      <w:r w:rsidR="003277B1">
        <w:rPr>
          <w:rFonts w:ascii="Arial" w:hAnsi="Arial" w:cs="Arial"/>
          <w:sz w:val="24"/>
          <w:szCs w:val="24"/>
        </w:rPr>
        <w:t>,</w:t>
      </w:r>
      <w:r>
        <w:rPr>
          <w:rFonts w:ascii="Arial" w:hAnsi="Arial" w:cs="Arial"/>
          <w:sz w:val="24"/>
          <w:szCs w:val="24"/>
        </w:rPr>
        <w:t xml:space="preserve"> </w:t>
      </w:r>
      <w:r w:rsidR="001E3C12">
        <w:rPr>
          <w:rFonts w:ascii="Arial" w:hAnsi="Arial" w:cs="Arial"/>
          <w:sz w:val="24"/>
          <w:szCs w:val="24"/>
        </w:rPr>
        <w:t>relevant also to Recommendation 37(c)</w:t>
      </w:r>
      <w:r w:rsidR="003277B1">
        <w:rPr>
          <w:rFonts w:ascii="Arial" w:hAnsi="Arial" w:cs="Arial"/>
          <w:sz w:val="24"/>
          <w:szCs w:val="24"/>
        </w:rPr>
        <w:t>,</w:t>
      </w:r>
      <w:r w:rsidR="001E3C12">
        <w:rPr>
          <w:rFonts w:ascii="Arial" w:hAnsi="Arial" w:cs="Arial"/>
          <w:sz w:val="24"/>
          <w:szCs w:val="24"/>
        </w:rPr>
        <w:t xml:space="preserve"> </w:t>
      </w:r>
      <w:r w:rsidR="00A25577">
        <w:rPr>
          <w:rFonts w:ascii="Arial" w:hAnsi="Arial" w:cs="Arial"/>
          <w:sz w:val="24"/>
          <w:szCs w:val="24"/>
        </w:rPr>
        <w:t xml:space="preserve">has been the </w:t>
      </w:r>
      <w:hyperlink r:id="rId28" w:history="1">
        <w:r w:rsidR="00A25577" w:rsidRPr="0017745E">
          <w:rPr>
            <w:rStyle w:val="Hyperlink"/>
            <w:rFonts w:ascii="Arial" w:hAnsi="Arial" w:cs="Arial"/>
            <w:i/>
            <w:iCs/>
            <w:sz w:val="24"/>
            <w:szCs w:val="24"/>
          </w:rPr>
          <w:t>Mental Health Units (Use of Force) Act 2018</w:t>
        </w:r>
      </w:hyperlink>
      <w:r w:rsidR="00EB54EC">
        <w:rPr>
          <w:rFonts w:ascii="Arial" w:hAnsi="Arial" w:cs="Arial"/>
          <w:sz w:val="24"/>
          <w:szCs w:val="24"/>
        </w:rPr>
        <w:t xml:space="preserve"> (often known as ‘</w:t>
      </w:r>
      <w:proofErr w:type="spellStart"/>
      <w:r w:rsidR="00EB54EC">
        <w:rPr>
          <w:rFonts w:ascii="Arial" w:hAnsi="Arial" w:cs="Arial"/>
          <w:sz w:val="24"/>
          <w:szCs w:val="24"/>
        </w:rPr>
        <w:t>Seni’s</w:t>
      </w:r>
      <w:proofErr w:type="spellEnd"/>
      <w:r w:rsidR="00EB54EC">
        <w:rPr>
          <w:rFonts w:ascii="Arial" w:hAnsi="Arial" w:cs="Arial"/>
          <w:sz w:val="24"/>
          <w:szCs w:val="24"/>
        </w:rPr>
        <w:t xml:space="preserve"> Law’).</w:t>
      </w:r>
      <w:r w:rsidR="00A25577">
        <w:rPr>
          <w:rFonts w:ascii="Arial" w:hAnsi="Arial" w:cs="Arial"/>
          <w:sz w:val="24"/>
          <w:szCs w:val="24"/>
        </w:rPr>
        <w:t xml:space="preserve"> </w:t>
      </w:r>
      <w:r w:rsidR="00EB54EC">
        <w:rPr>
          <w:rFonts w:ascii="Arial" w:hAnsi="Arial" w:cs="Arial"/>
          <w:sz w:val="24"/>
          <w:szCs w:val="24"/>
        </w:rPr>
        <w:t>The Act resulted from a major campaign after Olaseni Lewis, a young Black man</w:t>
      </w:r>
      <w:r w:rsidR="00EF7F6E">
        <w:rPr>
          <w:rFonts w:ascii="Arial" w:hAnsi="Arial" w:cs="Arial"/>
          <w:sz w:val="24"/>
          <w:szCs w:val="24"/>
        </w:rPr>
        <w:t>,</w:t>
      </w:r>
      <w:r w:rsidR="00EB54EC">
        <w:rPr>
          <w:rFonts w:ascii="Arial" w:hAnsi="Arial" w:cs="Arial"/>
          <w:sz w:val="24"/>
          <w:szCs w:val="24"/>
        </w:rPr>
        <w:t xml:space="preserve"> died </w:t>
      </w:r>
      <w:r w:rsidR="002F4C6E">
        <w:rPr>
          <w:rFonts w:ascii="Arial" w:hAnsi="Arial" w:cs="Arial"/>
          <w:sz w:val="24"/>
          <w:szCs w:val="24"/>
        </w:rPr>
        <w:t xml:space="preserve">in 2010 </w:t>
      </w:r>
      <w:r w:rsidR="00EB54EC">
        <w:rPr>
          <w:rFonts w:ascii="Arial" w:hAnsi="Arial" w:cs="Arial"/>
          <w:sz w:val="24"/>
          <w:szCs w:val="24"/>
        </w:rPr>
        <w:t>when</w:t>
      </w:r>
      <w:r w:rsidR="00516CA6">
        <w:rPr>
          <w:rFonts w:ascii="Arial" w:hAnsi="Arial" w:cs="Arial"/>
          <w:sz w:val="24"/>
          <w:szCs w:val="24"/>
        </w:rPr>
        <w:t>, horrifically,</w:t>
      </w:r>
      <w:r w:rsidR="00EB54EC">
        <w:rPr>
          <w:rFonts w:ascii="Arial" w:hAnsi="Arial" w:cs="Arial"/>
          <w:sz w:val="24"/>
          <w:szCs w:val="24"/>
        </w:rPr>
        <w:t xml:space="preserve"> he was restrained face-down by </w:t>
      </w:r>
      <w:r w:rsidR="002F4C6E">
        <w:rPr>
          <w:rFonts w:ascii="Arial" w:hAnsi="Arial" w:cs="Arial"/>
          <w:sz w:val="24"/>
          <w:szCs w:val="24"/>
        </w:rPr>
        <w:t>11</w:t>
      </w:r>
      <w:r w:rsidR="00EB54EC">
        <w:rPr>
          <w:rFonts w:ascii="Arial" w:hAnsi="Arial" w:cs="Arial"/>
          <w:sz w:val="24"/>
          <w:szCs w:val="24"/>
        </w:rPr>
        <w:t xml:space="preserve"> police</w:t>
      </w:r>
      <w:r w:rsidR="002F4C6E">
        <w:rPr>
          <w:rFonts w:ascii="Arial" w:hAnsi="Arial" w:cs="Arial"/>
          <w:sz w:val="24"/>
          <w:szCs w:val="24"/>
        </w:rPr>
        <w:t xml:space="preserve"> officers in the Bethlem Royal psychiatric hospital</w:t>
      </w:r>
      <w:r w:rsidR="00EF7F6E">
        <w:rPr>
          <w:rFonts w:ascii="Arial" w:hAnsi="Arial" w:cs="Arial"/>
          <w:sz w:val="24"/>
          <w:szCs w:val="24"/>
        </w:rPr>
        <w:t xml:space="preserve"> in London</w:t>
      </w:r>
      <w:r w:rsidR="002F4C6E">
        <w:rPr>
          <w:rFonts w:ascii="Arial" w:hAnsi="Arial" w:cs="Arial"/>
          <w:sz w:val="24"/>
          <w:szCs w:val="24"/>
        </w:rPr>
        <w:t>. The Act</w:t>
      </w:r>
      <w:r w:rsidR="00EB54EC">
        <w:rPr>
          <w:rFonts w:ascii="Arial" w:hAnsi="Arial" w:cs="Arial"/>
          <w:sz w:val="24"/>
          <w:szCs w:val="24"/>
        </w:rPr>
        <w:t xml:space="preserve"> </w:t>
      </w:r>
      <w:r w:rsidR="004B50AE">
        <w:rPr>
          <w:rFonts w:ascii="Arial" w:hAnsi="Arial" w:cs="Arial"/>
          <w:sz w:val="24"/>
          <w:szCs w:val="24"/>
        </w:rPr>
        <w:t>aims to curb</w:t>
      </w:r>
      <w:r w:rsidR="00C37B81">
        <w:rPr>
          <w:rFonts w:ascii="Arial" w:hAnsi="Arial" w:cs="Arial"/>
          <w:sz w:val="24"/>
          <w:szCs w:val="24"/>
        </w:rPr>
        <w:t xml:space="preserve"> physical, mechanical and chemical restraint of a patient, together with isolation, seclusion and segregation. </w:t>
      </w:r>
      <w:r w:rsidR="002F4C6E">
        <w:rPr>
          <w:rFonts w:ascii="Arial" w:hAnsi="Arial" w:cs="Arial"/>
          <w:sz w:val="24"/>
          <w:szCs w:val="24"/>
        </w:rPr>
        <w:t xml:space="preserve">One of its </w:t>
      </w:r>
      <w:r w:rsidR="004B50AE">
        <w:rPr>
          <w:rFonts w:ascii="Arial" w:hAnsi="Arial" w:cs="Arial"/>
          <w:sz w:val="24"/>
          <w:szCs w:val="24"/>
        </w:rPr>
        <w:t>purposes</w:t>
      </w:r>
      <w:r w:rsidR="002F4C6E">
        <w:rPr>
          <w:rFonts w:ascii="Arial" w:hAnsi="Arial" w:cs="Arial"/>
          <w:sz w:val="24"/>
          <w:szCs w:val="24"/>
        </w:rPr>
        <w:t xml:space="preserve">, too, is to </w:t>
      </w:r>
      <w:r w:rsidR="00C23E0A">
        <w:rPr>
          <w:rFonts w:ascii="Arial" w:hAnsi="Arial" w:cs="Arial"/>
          <w:sz w:val="24"/>
          <w:szCs w:val="24"/>
        </w:rPr>
        <w:t xml:space="preserve">address bias against people from racialised communities. However, a serious concern is that it took eight years to </w:t>
      </w:r>
      <w:r w:rsidR="0017745E">
        <w:rPr>
          <w:rFonts w:ascii="Arial" w:hAnsi="Arial" w:cs="Arial"/>
          <w:sz w:val="24"/>
          <w:szCs w:val="24"/>
        </w:rPr>
        <w:t>bring in this Act</w:t>
      </w:r>
      <w:r w:rsidR="00C23E0A">
        <w:rPr>
          <w:rFonts w:ascii="Arial" w:hAnsi="Arial" w:cs="Arial"/>
          <w:sz w:val="24"/>
          <w:szCs w:val="24"/>
        </w:rPr>
        <w:t xml:space="preserve"> and i</w:t>
      </w:r>
      <w:r w:rsidR="0017745E">
        <w:rPr>
          <w:rFonts w:ascii="Arial" w:hAnsi="Arial" w:cs="Arial"/>
          <w:sz w:val="24"/>
          <w:szCs w:val="24"/>
        </w:rPr>
        <w:t xml:space="preserve">mplementation </w:t>
      </w:r>
      <w:r w:rsidR="001F7129">
        <w:rPr>
          <w:rFonts w:ascii="Arial" w:hAnsi="Arial" w:cs="Arial"/>
          <w:sz w:val="24"/>
          <w:szCs w:val="24"/>
        </w:rPr>
        <w:t>of it</w:t>
      </w:r>
      <w:r w:rsidR="007B3A17">
        <w:rPr>
          <w:rFonts w:ascii="Arial" w:hAnsi="Arial" w:cs="Arial"/>
          <w:sz w:val="24"/>
          <w:szCs w:val="24"/>
        </w:rPr>
        <w:t xml:space="preserve"> has been very</w:t>
      </w:r>
      <w:r w:rsidR="0017745E">
        <w:rPr>
          <w:rFonts w:ascii="Arial" w:hAnsi="Arial" w:cs="Arial"/>
          <w:sz w:val="24"/>
          <w:szCs w:val="24"/>
        </w:rPr>
        <w:t xml:space="preserve"> delayed</w:t>
      </w:r>
      <w:r w:rsidR="00C23E0A">
        <w:rPr>
          <w:rFonts w:ascii="Arial" w:hAnsi="Arial" w:cs="Arial"/>
          <w:sz w:val="24"/>
          <w:szCs w:val="24"/>
        </w:rPr>
        <w:t xml:space="preserve">, even though new legislation </w:t>
      </w:r>
      <w:r w:rsidR="004B50AE">
        <w:rPr>
          <w:rFonts w:ascii="Arial" w:hAnsi="Arial" w:cs="Arial"/>
          <w:sz w:val="24"/>
          <w:szCs w:val="24"/>
        </w:rPr>
        <w:t>normally</w:t>
      </w:r>
      <w:r w:rsidR="00C23E0A">
        <w:rPr>
          <w:rFonts w:ascii="Arial" w:hAnsi="Arial" w:cs="Arial"/>
          <w:sz w:val="24"/>
          <w:szCs w:val="24"/>
        </w:rPr>
        <w:t xml:space="preserve"> takes effect a few week</w:t>
      </w:r>
      <w:r w:rsidR="0017745E">
        <w:rPr>
          <w:rFonts w:ascii="Arial" w:hAnsi="Arial" w:cs="Arial"/>
          <w:sz w:val="24"/>
          <w:szCs w:val="24"/>
        </w:rPr>
        <w:t>s</w:t>
      </w:r>
      <w:r w:rsidR="00C23E0A">
        <w:rPr>
          <w:rFonts w:ascii="Arial" w:hAnsi="Arial" w:cs="Arial"/>
          <w:sz w:val="24"/>
          <w:szCs w:val="24"/>
        </w:rPr>
        <w:t xml:space="preserve"> after parliamentary approval</w:t>
      </w:r>
      <w:r w:rsidR="00EF7F6E">
        <w:rPr>
          <w:rFonts w:ascii="Arial" w:hAnsi="Arial" w:cs="Arial"/>
          <w:sz w:val="24"/>
          <w:szCs w:val="24"/>
        </w:rPr>
        <w:t xml:space="preserve"> has been given</w:t>
      </w:r>
      <w:r w:rsidR="00C23E0A">
        <w:rPr>
          <w:rFonts w:ascii="Arial" w:hAnsi="Arial" w:cs="Arial"/>
          <w:sz w:val="24"/>
          <w:szCs w:val="24"/>
        </w:rPr>
        <w:t xml:space="preserve">. </w:t>
      </w:r>
    </w:p>
    <w:p w14:paraId="7EA9C4CA" w14:textId="017215AA" w:rsidR="004D52F1" w:rsidRDefault="00EF7F6E" w:rsidP="00776200">
      <w:pPr>
        <w:spacing w:line="360" w:lineRule="auto"/>
        <w:rPr>
          <w:rFonts w:ascii="Arial" w:hAnsi="Arial" w:cs="Arial"/>
          <w:sz w:val="24"/>
          <w:szCs w:val="24"/>
        </w:rPr>
      </w:pPr>
      <w:r>
        <w:rPr>
          <w:rFonts w:ascii="Arial" w:hAnsi="Arial" w:cs="Arial"/>
          <w:sz w:val="24"/>
          <w:szCs w:val="24"/>
        </w:rPr>
        <w:t xml:space="preserve">Consultation about statutory guidance for the Act occurred only during 2021 and </w:t>
      </w:r>
      <w:r w:rsidR="007B3A17">
        <w:rPr>
          <w:rFonts w:ascii="Arial" w:hAnsi="Arial" w:cs="Arial"/>
          <w:sz w:val="24"/>
          <w:szCs w:val="24"/>
        </w:rPr>
        <w:t xml:space="preserve">the </w:t>
      </w:r>
      <w:hyperlink r:id="rId29" w:history="1">
        <w:r w:rsidR="007B3A17" w:rsidRPr="00AD5C32">
          <w:rPr>
            <w:rStyle w:val="Hyperlink"/>
            <w:rFonts w:ascii="Arial" w:hAnsi="Arial" w:cs="Arial"/>
            <w:sz w:val="24"/>
            <w:szCs w:val="24"/>
          </w:rPr>
          <w:t>guidance</w:t>
        </w:r>
      </w:hyperlink>
      <w:r w:rsidR="007B3A17">
        <w:rPr>
          <w:rFonts w:ascii="Arial" w:hAnsi="Arial" w:cs="Arial"/>
          <w:sz w:val="24"/>
          <w:szCs w:val="24"/>
        </w:rPr>
        <w:t xml:space="preserve"> was not issued until December 2021 when the Act then came into force</w:t>
      </w:r>
      <w:r>
        <w:rPr>
          <w:rFonts w:ascii="Arial" w:hAnsi="Arial" w:cs="Arial"/>
          <w:sz w:val="24"/>
          <w:szCs w:val="24"/>
        </w:rPr>
        <w:t>.</w:t>
      </w:r>
      <w:r w:rsidR="009F7C64">
        <w:rPr>
          <w:rFonts w:ascii="Arial" w:hAnsi="Arial" w:cs="Arial"/>
          <w:sz w:val="24"/>
          <w:szCs w:val="24"/>
        </w:rPr>
        <w:t xml:space="preserve"> </w:t>
      </w:r>
      <w:r w:rsidR="00AD5C32">
        <w:rPr>
          <w:rFonts w:ascii="Arial" w:hAnsi="Arial" w:cs="Arial"/>
          <w:sz w:val="24"/>
          <w:szCs w:val="24"/>
        </w:rPr>
        <w:t>Positive aspects of the guidance are th</w:t>
      </w:r>
      <w:r w:rsidR="002A7809">
        <w:rPr>
          <w:rFonts w:ascii="Arial" w:hAnsi="Arial" w:cs="Arial"/>
          <w:sz w:val="24"/>
          <w:szCs w:val="24"/>
        </w:rPr>
        <w:t>e</w:t>
      </w:r>
      <w:r w:rsidR="00E4257C">
        <w:rPr>
          <w:rFonts w:ascii="Arial" w:hAnsi="Arial" w:cs="Arial"/>
          <w:sz w:val="24"/>
          <w:szCs w:val="24"/>
        </w:rPr>
        <w:t xml:space="preserve"> recognition </w:t>
      </w:r>
      <w:r w:rsidR="002A7809">
        <w:rPr>
          <w:rFonts w:ascii="Arial" w:hAnsi="Arial" w:cs="Arial"/>
          <w:sz w:val="24"/>
          <w:szCs w:val="24"/>
        </w:rPr>
        <w:t xml:space="preserve">that </w:t>
      </w:r>
      <w:r w:rsidR="00E4257C">
        <w:rPr>
          <w:rFonts w:ascii="Arial" w:hAnsi="Arial" w:cs="Arial"/>
          <w:sz w:val="24"/>
          <w:szCs w:val="24"/>
        </w:rPr>
        <w:t>people from racialised communities (black and minority ethnic communities), women and girls and people with autism or intellectual disabilit</w:t>
      </w:r>
      <w:r w:rsidR="002A7809">
        <w:rPr>
          <w:rFonts w:ascii="Arial" w:hAnsi="Arial" w:cs="Arial"/>
          <w:sz w:val="24"/>
          <w:szCs w:val="24"/>
        </w:rPr>
        <w:t>ies</w:t>
      </w:r>
      <w:r w:rsidR="00E4257C">
        <w:rPr>
          <w:rFonts w:ascii="Arial" w:hAnsi="Arial" w:cs="Arial"/>
          <w:sz w:val="24"/>
          <w:szCs w:val="24"/>
        </w:rPr>
        <w:t xml:space="preserve"> are among those disproportionately affected by the use of force in services and that the ministerial for</w:t>
      </w:r>
      <w:r w:rsidR="002A7809">
        <w:rPr>
          <w:rFonts w:ascii="Arial" w:hAnsi="Arial" w:cs="Arial"/>
          <w:sz w:val="24"/>
          <w:szCs w:val="24"/>
        </w:rPr>
        <w:t>eword</w:t>
      </w:r>
      <w:r w:rsidR="00E4257C">
        <w:rPr>
          <w:rFonts w:ascii="Arial" w:hAnsi="Arial" w:cs="Arial"/>
          <w:sz w:val="24"/>
          <w:szCs w:val="24"/>
        </w:rPr>
        <w:t xml:space="preserve"> contains the following statement: </w:t>
      </w:r>
    </w:p>
    <w:p w14:paraId="4632FB4E" w14:textId="5B375D6B" w:rsidR="00E4257C" w:rsidRDefault="00E4257C" w:rsidP="00776200">
      <w:pPr>
        <w:spacing w:line="360" w:lineRule="auto"/>
        <w:rPr>
          <w:rFonts w:ascii="Arial" w:hAnsi="Arial" w:cs="Arial"/>
          <w:sz w:val="24"/>
          <w:szCs w:val="24"/>
        </w:rPr>
      </w:pPr>
      <w:r>
        <w:rPr>
          <w:rFonts w:ascii="Arial" w:hAnsi="Arial" w:cs="Arial"/>
          <w:sz w:val="24"/>
          <w:szCs w:val="24"/>
        </w:rPr>
        <w:t xml:space="preserve">‘When patients </w:t>
      </w:r>
      <w:r w:rsidR="002A7809">
        <w:rPr>
          <w:rFonts w:ascii="Arial" w:hAnsi="Arial" w:cs="Arial"/>
          <w:sz w:val="24"/>
          <w:szCs w:val="24"/>
        </w:rPr>
        <w:t>are cared for in what feels like a safe and positive environment, organised around their needs and individual requirements, situations should not arise when the use of force is needed’.</w:t>
      </w:r>
    </w:p>
    <w:p w14:paraId="738CAB56" w14:textId="2ADADFAC" w:rsidR="002A7809" w:rsidRDefault="002A7809" w:rsidP="00776200">
      <w:pPr>
        <w:spacing w:line="360" w:lineRule="auto"/>
        <w:rPr>
          <w:rFonts w:ascii="Arial" w:hAnsi="Arial" w:cs="Arial"/>
          <w:sz w:val="24"/>
          <w:szCs w:val="24"/>
        </w:rPr>
      </w:pPr>
      <w:r>
        <w:rPr>
          <w:rFonts w:ascii="Arial" w:hAnsi="Arial" w:cs="Arial"/>
          <w:sz w:val="24"/>
          <w:szCs w:val="24"/>
        </w:rPr>
        <w:t>However, the guidance itself focuses on the reduction of force, rather than on an end to it</w:t>
      </w:r>
      <w:r w:rsidR="00282186">
        <w:rPr>
          <w:rFonts w:ascii="Arial" w:hAnsi="Arial" w:cs="Arial"/>
          <w:sz w:val="24"/>
          <w:szCs w:val="24"/>
        </w:rPr>
        <w:t>, and a fundamental issue is that</w:t>
      </w:r>
      <w:r w:rsidR="00A46A26">
        <w:rPr>
          <w:rFonts w:ascii="Arial" w:hAnsi="Arial" w:cs="Arial"/>
          <w:sz w:val="24"/>
          <w:szCs w:val="24"/>
        </w:rPr>
        <w:t>, in breach of human rights,</w:t>
      </w:r>
      <w:r w:rsidR="00282186">
        <w:rPr>
          <w:rFonts w:ascii="Arial" w:hAnsi="Arial" w:cs="Arial"/>
          <w:sz w:val="24"/>
          <w:szCs w:val="24"/>
        </w:rPr>
        <w:t xml:space="preserve"> </w:t>
      </w:r>
      <w:r w:rsidR="008B588D">
        <w:rPr>
          <w:rFonts w:ascii="Arial" w:hAnsi="Arial" w:cs="Arial"/>
          <w:sz w:val="24"/>
          <w:szCs w:val="24"/>
        </w:rPr>
        <w:t>the guidance</w:t>
      </w:r>
      <w:r w:rsidR="00282186">
        <w:rPr>
          <w:rFonts w:ascii="Arial" w:hAnsi="Arial" w:cs="Arial"/>
          <w:sz w:val="24"/>
          <w:szCs w:val="24"/>
        </w:rPr>
        <w:t xml:space="preserve"> assumes a continuing use of detention under mental health legislation.</w:t>
      </w:r>
    </w:p>
    <w:p w14:paraId="7A902280" w14:textId="6C671223" w:rsidR="00BD3CE0" w:rsidRPr="001F7129" w:rsidRDefault="00021267" w:rsidP="00776200">
      <w:pPr>
        <w:spacing w:line="360" w:lineRule="auto"/>
        <w:rPr>
          <w:rFonts w:ascii="Arial" w:hAnsi="Arial" w:cs="Arial"/>
          <w:sz w:val="24"/>
          <w:szCs w:val="24"/>
        </w:rPr>
      </w:pPr>
      <w:r>
        <w:rPr>
          <w:rFonts w:ascii="Arial" w:hAnsi="Arial" w:cs="Arial"/>
          <w:sz w:val="24"/>
          <w:szCs w:val="24"/>
        </w:rPr>
        <w:t xml:space="preserve">The White Paper remains in </w:t>
      </w:r>
      <w:r w:rsidR="004B4A74">
        <w:rPr>
          <w:rFonts w:ascii="Arial" w:hAnsi="Arial" w:cs="Arial"/>
          <w:sz w:val="24"/>
          <w:szCs w:val="24"/>
        </w:rPr>
        <w:t xml:space="preserve">worrying </w:t>
      </w:r>
      <w:r>
        <w:rPr>
          <w:rFonts w:ascii="Arial" w:hAnsi="Arial" w:cs="Arial"/>
          <w:sz w:val="24"/>
          <w:szCs w:val="24"/>
        </w:rPr>
        <w:t>contravention of Recommendation 37(d) as regards non-consensual electroconvulsive treatment</w:t>
      </w:r>
      <w:r w:rsidR="001E3C12">
        <w:rPr>
          <w:rFonts w:ascii="Arial" w:hAnsi="Arial" w:cs="Arial"/>
          <w:sz w:val="24"/>
          <w:szCs w:val="24"/>
        </w:rPr>
        <w:t xml:space="preserve"> (ECT)</w:t>
      </w:r>
      <w:r>
        <w:rPr>
          <w:rFonts w:ascii="Arial" w:hAnsi="Arial" w:cs="Arial"/>
          <w:sz w:val="24"/>
          <w:szCs w:val="24"/>
        </w:rPr>
        <w:t xml:space="preserve">. </w:t>
      </w:r>
      <w:r w:rsidR="004B4A74">
        <w:rPr>
          <w:rFonts w:ascii="Arial" w:hAnsi="Arial" w:cs="Arial"/>
          <w:sz w:val="24"/>
          <w:szCs w:val="24"/>
        </w:rPr>
        <w:t>In the case of people judged to ‘have capacity’ who are not consenting to ECT, ECT c</w:t>
      </w:r>
      <w:r w:rsidR="001E3C12">
        <w:rPr>
          <w:rFonts w:ascii="Arial" w:hAnsi="Arial" w:cs="Arial"/>
          <w:sz w:val="24"/>
          <w:szCs w:val="24"/>
        </w:rPr>
        <w:t xml:space="preserve">ould still be allowed if the Responsible Clinician regards it as necessary to save </w:t>
      </w:r>
      <w:r w:rsidR="004B4A74">
        <w:rPr>
          <w:rFonts w:ascii="Arial" w:hAnsi="Arial" w:cs="Arial"/>
          <w:sz w:val="24"/>
          <w:szCs w:val="24"/>
        </w:rPr>
        <w:t>a person’s life</w:t>
      </w:r>
      <w:r w:rsidR="001E3C12">
        <w:rPr>
          <w:rFonts w:ascii="Arial" w:hAnsi="Arial" w:cs="Arial"/>
          <w:sz w:val="24"/>
          <w:szCs w:val="24"/>
        </w:rPr>
        <w:t>, or to prevent serious deterioration</w:t>
      </w:r>
      <w:r w:rsidR="00967AF7">
        <w:rPr>
          <w:rFonts w:ascii="Arial" w:hAnsi="Arial" w:cs="Arial"/>
          <w:sz w:val="24"/>
          <w:szCs w:val="24"/>
        </w:rPr>
        <w:t>,</w:t>
      </w:r>
      <w:r w:rsidR="001E3C12">
        <w:rPr>
          <w:rFonts w:ascii="Arial" w:hAnsi="Arial" w:cs="Arial"/>
          <w:sz w:val="24"/>
          <w:szCs w:val="24"/>
        </w:rPr>
        <w:t xml:space="preserve"> and </w:t>
      </w:r>
      <w:r w:rsidR="004B4A74">
        <w:rPr>
          <w:rFonts w:ascii="Arial" w:hAnsi="Arial" w:cs="Arial"/>
          <w:sz w:val="24"/>
          <w:szCs w:val="24"/>
        </w:rPr>
        <w:t xml:space="preserve">if </w:t>
      </w:r>
      <w:r w:rsidR="001E3C12">
        <w:rPr>
          <w:rFonts w:ascii="Arial" w:hAnsi="Arial" w:cs="Arial"/>
          <w:sz w:val="24"/>
          <w:szCs w:val="24"/>
        </w:rPr>
        <w:t>court approval has been obtained.</w:t>
      </w:r>
      <w:r w:rsidR="004B4A74">
        <w:rPr>
          <w:rFonts w:ascii="Arial" w:hAnsi="Arial" w:cs="Arial"/>
          <w:sz w:val="24"/>
          <w:szCs w:val="24"/>
        </w:rPr>
        <w:t xml:space="preserve"> In the case of people judged not to ‘have capacity’, ECT w</w:t>
      </w:r>
      <w:r w:rsidR="00967AF7">
        <w:rPr>
          <w:rFonts w:ascii="Arial" w:hAnsi="Arial" w:cs="Arial"/>
          <w:sz w:val="24"/>
          <w:szCs w:val="24"/>
        </w:rPr>
        <w:t>ill</w:t>
      </w:r>
      <w:r w:rsidR="004B4A74">
        <w:rPr>
          <w:rFonts w:ascii="Arial" w:hAnsi="Arial" w:cs="Arial"/>
          <w:sz w:val="24"/>
          <w:szCs w:val="24"/>
        </w:rPr>
        <w:t xml:space="preserve"> still be allow</w:t>
      </w:r>
      <w:r w:rsidR="00967AF7">
        <w:rPr>
          <w:rFonts w:ascii="Arial" w:hAnsi="Arial" w:cs="Arial"/>
          <w:sz w:val="24"/>
          <w:szCs w:val="24"/>
        </w:rPr>
        <w:t>ed</w:t>
      </w:r>
      <w:r w:rsidR="004B4A74">
        <w:rPr>
          <w:rFonts w:ascii="Arial" w:hAnsi="Arial" w:cs="Arial"/>
          <w:sz w:val="24"/>
          <w:szCs w:val="24"/>
        </w:rPr>
        <w:t xml:space="preserve"> if both the Responsible Clinician and a Second Opinion Appointed Doctor (SOAD) </w:t>
      </w:r>
      <w:r w:rsidR="00FE0FBA">
        <w:rPr>
          <w:rFonts w:ascii="Arial" w:hAnsi="Arial" w:cs="Arial"/>
          <w:sz w:val="24"/>
          <w:szCs w:val="24"/>
        </w:rPr>
        <w:t>agree that it is required.</w:t>
      </w:r>
    </w:p>
    <w:p w14:paraId="782D558C" w14:textId="492FB403" w:rsidR="00F31A8E" w:rsidRDefault="00F31A8E" w:rsidP="00776200">
      <w:pPr>
        <w:spacing w:line="360" w:lineRule="auto"/>
        <w:rPr>
          <w:rFonts w:ascii="Arial" w:hAnsi="Arial" w:cs="Arial"/>
          <w:b/>
          <w:bCs/>
          <w:sz w:val="24"/>
          <w:szCs w:val="24"/>
        </w:rPr>
      </w:pPr>
      <w:r>
        <w:rPr>
          <w:rFonts w:ascii="Arial" w:hAnsi="Arial" w:cs="Arial"/>
          <w:b/>
          <w:bCs/>
          <w:sz w:val="24"/>
          <w:szCs w:val="24"/>
        </w:rPr>
        <w:t>Article 19</w:t>
      </w:r>
    </w:p>
    <w:p w14:paraId="4619B520" w14:textId="6A6243FB" w:rsidR="00967AF7" w:rsidRPr="00E925D2" w:rsidRDefault="00967AF7" w:rsidP="00776200">
      <w:pPr>
        <w:spacing w:line="360" w:lineRule="auto"/>
        <w:rPr>
          <w:rFonts w:ascii="Arial" w:hAnsi="Arial" w:cs="Arial"/>
          <w:sz w:val="24"/>
          <w:szCs w:val="24"/>
        </w:rPr>
      </w:pPr>
      <w:r>
        <w:rPr>
          <w:rFonts w:ascii="Arial" w:hAnsi="Arial" w:cs="Arial"/>
          <w:sz w:val="24"/>
          <w:szCs w:val="24"/>
        </w:rPr>
        <w:t>The</w:t>
      </w:r>
      <w:r w:rsidRPr="00967AF7">
        <w:rPr>
          <w:rFonts w:ascii="Arial" w:hAnsi="Arial" w:cs="Arial"/>
          <w:sz w:val="24"/>
          <w:szCs w:val="24"/>
        </w:rPr>
        <w:t xml:space="preserve"> </w:t>
      </w:r>
      <w:hyperlink r:id="rId30" w:history="1">
        <w:r w:rsidRPr="00AF3508">
          <w:rPr>
            <w:rStyle w:val="Hyperlink"/>
            <w:rFonts w:ascii="Arial" w:hAnsi="Arial" w:cs="Arial"/>
            <w:sz w:val="24"/>
            <w:szCs w:val="24"/>
          </w:rPr>
          <w:t>Mental Health Act White Paper</w:t>
        </w:r>
      </w:hyperlink>
      <w:r>
        <w:rPr>
          <w:rStyle w:val="Hyperlink"/>
          <w:rFonts w:ascii="Arial" w:hAnsi="Arial" w:cs="Arial"/>
          <w:color w:val="auto"/>
          <w:sz w:val="24"/>
          <w:szCs w:val="24"/>
          <w:u w:val="none"/>
        </w:rPr>
        <w:t xml:space="preserve"> is non-compliant with Article 19 in its continu</w:t>
      </w:r>
      <w:r w:rsidR="00DA63F8">
        <w:rPr>
          <w:rStyle w:val="Hyperlink"/>
          <w:rFonts w:ascii="Arial" w:hAnsi="Arial" w:cs="Arial"/>
          <w:color w:val="auto"/>
          <w:sz w:val="24"/>
          <w:szCs w:val="24"/>
          <w:u w:val="none"/>
        </w:rPr>
        <w:t>ed</w:t>
      </w:r>
      <w:r>
        <w:rPr>
          <w:rStyle w:val="Hyperlink"/>
          <w:rFonts w:ascii="Arial" w:hAnsi="Arial" w:cs="Arial"/>
          <w:color w:val="auto"/>
          <w:sz w:val="24"/>
          <w:szCs w:val="24"/>
          <w:u w:val="none"/>
        </w:rPr>
        <w:t xml:space="preserve"> emphasis on the use of institutions (psychiatric hospitals)</w:t>
      </w:r>
      <w:r w:rsidR="000D10E9">
        <w:rPr>
          <w:rStyle w:val="Hyperlink"/>
          <w:rFonts w:ascii="Arial" w:hAnsi="Arial" w:cs="Arial"/>
          <w:color w:val="auto"/>
          <w:sz w:val="24"/>
          <w:szCs w:val="24"/>
          <w:u w:val="none"/>
        </w:rPr>
        <w:t xml:space="preserve"> and its allocation of large amounts of money to improve these and to build more. A step forward is an increased emphasis on community </w:t>
      </w:r>
      <w:r w:rsidR="00D2517A">
        <w:rPr>
          <w:rStyle w:val="Hyperlink"/>
          <w:rFonts w:ascii="Arial" w:hAnsi="Arial" w:cs="Arial"/>
          <w:color w:val="auto"/>
          <w:sz w:val="24"/>
          <w:szCs w:val="24"/>
          <w:u w:val="none"/>
        </w:rPr>
        <w:t>support</w:t>
      </w:r>
      <w:r w:rsidR="000D10E9">
        <w:rPr>
          <w:rStyle w:val="Hyperlink"/>
          <w:rFonts w:ascii="Arial" w:hAnsi="Arial" w:cs="Arial"/>
          <w:color w:val="auto"/>
          <w:sz w:val="24"/>
          <w:szCs w:val="24"/>
          <w:u w:val="none"/>
        </w:rPr>
        <w:t xml:space="preserve">, particularly in the case of people with learning difficulties and people given a diagnosis of autism. However, </w:t>
      </w:r>
      <w:r w:rsidR="009D18D6">
        <w:rPr>
          <w:rStyle w:val="Hyperlink"/>
          <w:rFonts w:ascii="Arial" w:hAnsi="Arial" w:cs="Arial"/>
          <w:color w:val="auto"/>
          <w:sz w:val="24"/>
          <w:szCs w:val="24"/>
          <w:u w:val="none"/>
        </w:rPr>
        <w:t xml:space="preserve">despite some mention of alternative resources, </w:t>
      </w:r>
      <w:r w:rsidR="000D10E9">
        <w:rPr>
          <w:rStyle w:val="Hyperlink"/>
          <w:rFonts w:ascii="Arial" w:hAnsi="Arial" w:cs="Arial"/>
          <w:color w:val="auto"/>
          <w:sz w:val="24"/>
          <w:szCs w:val="24"/>
          <w:u w:val="none"/>
        </w:rPr>
        <w:t>there is still</w:t>
      </w:r>
      <w:r w:rsidR="00505334">
        <w:rPr>
          <w:rStyle w:val="Hyperlink"/>
          <w:rFonts w:ascii="Arial" w:hAnsi="Arial" w:cs="Arial"/>
          <w:color w:val="auto"/>
          <w:sz w:val="24"/>
          <w:szCs w:val="24"/>
          <w:u w:val="none"/>
        </w:rPr>
        <w:t xml:space="preserve"> an unduly clinical </w:t>
      </w:r>
      <w:r w:rsidR="009D18D6">
        <w:rPr>
          <w:rStyle w:val="Hyperlink"/>
          <w:rFonts w:ascii="Arial" w:hAnsi="Arial" w:cs="Arial"/>
          <w:color w:val="auto"/>
          <w:sz w:val="24"/>
          <w:szCs w:val="24"/>
          <w:u w:val="none"/>
        </w:rPr>
        <w:t>ethos to the approach taken</w:t>
      </w:r>
      <w:r w:rsidR="00505334">
        <w:rPr>
          <w:rStyle w:val="Hyperlink"/>
          <w:rFonts w:ascii="Arial" w:hAnsi="Arial" w:cs="Arial"/>
          <w:color w:val="auto"/>
          <w:sz w:val="24"/>
          <w:szCs w:val="24"/>
          <w:u w:val="none"/>
        </w:rPr>
        <w:t xml:space="preserve"> which contrasts with the whole-life </w:t>
      </w:r>
      <w:r w:rsidR="009D18D6">
        <w:rPr>
          <w:rStyle w:val="Hyperlink"/>
          <w:rFonts w:ascii="Arial" w:hAnsi="Arial" w:cs="Arial"/>
          <w:color w:val="auto"/>
          <w:sz w:val="24"/>
          <w:szCs w:val="24"/>
          <w:u w:val="none"/>
        </w:rPr>
        <w:t>stance</w:t>
      </w:r>
      <w:r w:rsidR="00505334">
        <w:rPr>
          <w:rStyle w:val="Hyperlink"/>
          <w:rFonts w:ascii="Arial" w:hAnsi="Arial" w:cs="Arial"/>
          <w:color w:val="auto"/>
          <w:sz w:val="24"/>
          <w:szCs w:val="24"/>
          <w:u w:val="none"/>
        </w:rPr>
        <w:t xml:space="preserve"> inherent in Article 19. </w:t>
      </w:r>
      <w:r w:rsidR="00E925D2">
        <w:rPr>
          <w:rStyle w:val="Hyperlink"/>
          <w:rFonts w:ascii="Arial" w:hAnsi="Arial" w:cs="Arial"/>
          <w:color w:val="auto"/>
          <w:sz w:val="24"/>
          <w:szCs w:val="24"/>
          <w:u w:val="none"/>
        </w:rPr>
        <w:t>An e</w:t>
      </w:r>
      <w:r w:rsidR="00505334">
        <w:rPr>
          <w:rStyle w:val="Hyperlink"/>
          <w:rFonts w:ascii="Arial" w:hAnsi="Arial" w:cs="Arial"/>
          <w:color w:val="auto"/>
          <w:sz w:val="24"/>
          <w:szCs w:val="24"/>
          <w:u w:val="none"/>
        </w:rPr>
        <w:t xml:space="preserve">xample of this </w:t>
      </w:r>
      <w:r w:rsidR="00E925D2">
        <w:rPr>
          <w:rStyle w:val="Hyperlink"/>
          <w:rFonts w:ascii="Arial" w:hAnsi="Arial" w:cs="Arial"/>
          <w:color w:val="auto"/>
          <w:sz w:val="24"/>
          <w:szCs w:val="24"/>
          <w:u w:val="none"/>
        </w:rPr>
        <w:t>is</w:t>
      </w:r>
      <w:r w:rsidR="00505334">
        <w:rPr>
          <w:rStyle w:val="Hyperlink"/>
          <w:rFonts w:ascii="Arial" w:hAnsi="Arial" w:cs="Arial"/>
          <w:color w:val="auto"/>
          <w:sz w:val="24"/>
          <w:szCs w:val="24"/>
          <w:u w:val="none"/>
        </w:rPr>
        <w:t xml:space="preserve"> the</w:t>
      </w:r>
      <w:r w:rsidR="00D2517A">
        <w:rPr>
          <w:rStyle w:val="Hyperlink"/>
          <w:rFonts w:ascii="Arial" w:hAnsi="Arial" w:cs="Arial"/>
          <w:color w:val="auto"/>
          <w:sz w:val="24"/>
          <w:szCs w:val="24"/>
          <w:u w:val="none"/>
        </w:rPr>
        <w:t xml:space="preserve"> implementation of support through the</w:t>
      </w:r>
      <w:r w:rsidR="00505334">
        <w:rPr>
          <w:rStyle w:val="Hyperlink"/>
          <w:rFonts w:ascii="Arial" w:hAnsi="Arial" w:cs="Arial"/>
          <w:color w:val="auto"/>
          <w:sz w:val="24"/>
          <w:szCs w:val="24"/>
          <w:u w:val="none"/>
        </w:rPr>
        <w:t xml:space="preserve"> </w:t>
      </w:r>
      <w:hyperlink r:id="rId31" w:history="1">
        <w:r w:rsidR="009160D6" w:rsidRPr="00BF22FE">
          <w:rPr>
            <w:rStyle w:val="Hyperlink"/>
            <w:rFonts w:ascii="Arial" w:hAnsi="Arial" w:cs="Arial"/>
            <w:i/>
            <w:iCs/>
            <w:sz w:val="24"/>
            <w:szCs w:val="24"/>
          </w:rPr>
          <w:t>NHS Long</w:t>
        </w:r>
        <w:r w:rsidR="009D18D6" w:rsidRPr="00BF22FE">
          <w:rPr>
            <w:rStyle w:val="Hyperlink"/>
            <w:rFonts w:ascii="Arial" w:hAnsi="Arial" w:cs="Arial"/>
            <w:i/>
            <w:iCs/>
            <w:sz w:val="24"/>
            <w:szCs w:val="24"/>
          </w:rPr>
          <w:t xml:space="preserve"> Term Plan</w:t>
        </w:r>
      </w:hyperlink>
      <w:r w:rsidR="009D18D6">
        <w:rPr>
          <w:rStyle w:val="Hyperlink"/>
          <w:rFonts w:ascii="Arial" w:hAnsi="Arial" w:cs="Arial"/>
          <w:color w:val="auto"/>
          <w:sz w:val="24"/>
          <w:szCs w:val="24"/>
          <w:u w:val="none"/>
        </w:rPr>
        <w:t xml:space="preserve"> and </w:t>
      </w:r>
      <w:r w:rsidR="00BF22FE">
        <w:rPr>
          <w:rStyle w:val="Hyperlink"/>
          <w:rFonts w:ascii="Arial" w:hAnsi="Arial" w:cs="Arial"/>
          <w:color w:val="auto"/>
          <w:sz w:val="24"/>
          <w:szCs w:val="24"/>
          <w:u w:val="none"/>
        </w:rPr>
        <w:t xml:space="preserve">the accompanying </w:t>
      </w:r>
      <w:hyperlink r:id="rId32" w:history="1">
        <w:r w:rsidR="00505334" w:rsidRPr="00BF22FE">
          <w:rPr>
            <w:rStyle w:val="Hyperlink"/>
            <w:rFonts w:ascii="Arial" w:hAnsi="Arial" w:cs="Arial"/>
            <w:i/>
            <w:iCs/>
            <w:sz w:val="24"/>
            <w:szCs w:val="24"/>
          </w:rPr>
          <w:t xml:space="preserve">NHS </w:t>
        </w:r>
        <w:r w:rsidR="009D18D6" w:rsidRPr="00BF22FE">
          <w:rPr>
            <w:rStyle w:val="Hyperlink"/>
            <w:rFonts w:ascii="Arial" w:hAnsi="Arial" w:cs="Arial"/>
            <w:i/>
            <w:iCs/>
            <w:sz w:val="24"/>
            <w:szCs w:val="24"/>
          </w:rPr>
          <w:t xml:space="preserve">Mental Health </w:t>
        </w:r>
        <w:r w:rsidR="00505334" w:rsidRPr="00BF22FE">
          <w:rPr>
            <w:rStyle w:val="Hyperlink"/>
            <w:rFonts w:ascii="Arial" w:hAnsi="Arial" w:cs="Arial"/>
            <w:i/>
            <w:iCs/>
            <w:sz w:val="24"/>
            <w:szCs w:val="24"/>
          </w:rPr>
          <w:t>Implementation Plan 2019/20-</w:t>
        </w:r>
        <w:r w:rsidR="009160D6" w:rsidRPr="00BF22FE">
          <w:rPr>
            <w:rStyle w:val="Hyperlink"/>
            <w:rFonts w:ascii="Arial" w:hAnsi="Arial" w:cs="Arial"/>
            <w:i/>
            <w:iCs/>
            <w:sz w:val="24"/>
            <w:szCs w:val="24"/>
          </w:rPr>
          <w:t>2023/24</w:t>
        </w:r>
      </w:hyperlink>
      <w:r w:rsidR="00BF22FE">
        <w:rPr>
          <w:rStyle w:val="Hyperlink"/>
          <w:rFonts w:ascii="Arial" w:hAnsi="Arial" w:cs="Arial"/>
          <w:i/>
          <w:iCs/>
          <w:color w:val="auto"/>
          <w:sz w:val="24"/>
          <w:szCs w:val="24"/>
          <w:u w:val="none"/>
        </w:rPr>
        <w:t xml:space="preserve">. </w:t>
      </w:r>
      <w:r w:rsidR="00E925D2">
        <w:rPr>
          <w:rStyle w:val="Hyperlink"/>
          <w:rFonts w:ascii="Arial" w:hAnsi="Arial" w:cs="Arial"/>
          <w:color w:val="auto"/>
          <w:sz w:val="24"/>
          <w:szCs w:val="24"/>
          <w:u w:val="none"/>
        </w:rPr>
        <w:t xml:space="preserve">In addition, there have been disruptions stemming from </w:t>
      </w:r>
      <w:r w:rsidR="00FD4242">
        <w:rPr>
          <w:rStyle w:val="Hyperlink"/>
          <w:rFonts w:ascii="Arial" w:hAnsi="Arial" w:cs="Arial"/>
          <w:color w:val="auto"/>
          <w:sz w:val="24"/>
          <w:szCs w:val="24"/>
          <w:u w:val="none"/>
        </w:rPr>
        <w:t xml:space="preserve">the impact of </w:t>
      </w:r>
      <w:r w:rsidR="00E925D2">
        <w:rPr>
          <w:rStyle w:val="Hyperlink"/>
          <w:rFonts w:ascii="Arial" w:hAnsi="Arial" w:cs="Arial"/>
          <w:color w:val="auto"/>
          <w:sz w:val="24"/>
          <w:szCs w:val="24"/>
          <w:u w:val="none"/>
        </w:rPr>
        <w:t xml:space="preserve">Covid-19 </w:t>
      </w:r>
      <w:r w:rsidR="00FD4242">
        <w:rPr>
          <w:rStyle w:val="Hyperlink"/>
          <w:rFonts w:ascii="Arial" w:hAnsi="Arial" w:cs="Arial"/>
          <w:color w:val="auto"/>
          <w:sz w:val="24"/>
          <w:szCs w:val="24"/>
          <w:u w:val="none"/>
        </w:rPr>
        <w:t xml:space="preserve">itself </w:t>
      </w:r>
      <w:r w:rsidR="00E925D2">
        <w:rPr>
          <w:rStyle w:val="Hyperlink"/>
          <w:rFonts w:ascii="Arial" w:hAnsi="Arial" w:cs="Arial"/>
          <w:color w:val="auto"/>
          <w:sz w:val="24"/>
          <w:szCs w:val="24"/>
          <w:u w:val="none"/>
        </w:rPr>
        <w:t xml:space="preserve">and </w:t>
      </w:r>
      <w:r w:rsidR="00FD4242">
        <w:rPr>
          <w:rStyle w:val="Hyperlink"/>
          <w:rFonts w:ascii="Arial" w:hAnsi="Arial" w:cs="Arial"/>
          <w:color w:val="auto"/>
          <w:sz w:val="24"/>
          <w:szCs w:val="24"/>
          <w:u w:val="none"/>
        </w:rPr>
        <w:t xml:space="preserve">from shortcomings in </w:t>
      </w:r>
      <w:r w:rsidR="00E925D2">
        <w:rPr>
          <w:rStyle w:val="Hyperlink"/>
          <w:rFonts w:ascii="Arial" w:hAnsi="Arial" w:cs="Arial"/>
          <w:color w:val="auto"/>
          <w:sz w:val="24"/>
          <w:szCs w:val="24"/>
          <w:u w:val="none"/>
        </w:rPr>
        <w:t xml:space="preserve">the government’s handling of the pandemic. </w:t>
      </w:r>
    </w:p>
    <w:p w14:paraId="7AF10CD6" w14:textId="45620D51" w:rsidR="008D0EE9" w:rsidRDefault="008D0EE9" w:rsidP="00776200">
      <w:pPr>
        <w:spacing w:line="360" w:lineRule="auto"/>
        <w:rPr>
          <w:rFonts w:ascii="Arial" w:hAnsi="Arial" w:cs="Arial"/>
          <w:b/>
          <w:bCs/>
          <w:sz w:val="28"/>
          <w:szCs w:val="28"/>
        </w:rPr>
      </w:pPr>
      <w:r w:rsidRPr="009B153F">
        <w:rPr>
          <w:rFonts w:ascii="Arial" w:hAnsi="Arial" w:cs="Arial"/>
          <w:b/>
          <w:bCs/>
          <w:sz w:val="28"/>
          <w:szCs w:val="28"/>
        </w:rPr>
        <w:t>Changes needed</w:t>
      </w:r>
    </w:p>
    <w:p w14:paraId="5DA5B045" w14:textId="1AA9405D" w:rsidR="00D2517A" w:rsidRDefault="00DA63F8"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Law and policy which comply </w:t>
      </w:r>
      <w:r w:rsidR="002665C5">
        <w:rPr>
          <w:rFonts w:ascii="Arial" w:hAnsi="Arial" w:cs="Arial"/>
          <w:sz w:val="24"/>
          <w:szCs w:val="24"/>
        </w:rPr>
        <w:t xml:space="preserve">fully </w:t>
      </w:r>
      <w:r>
        <w:rPr>
          <w:rFonts w:ascii="Arial" w:hAnsi="Arial" w:cs="Arial"/>
          <w:sz w:val="24"/>
          <w:szCs w:val="24"/>
        </w:rPr>
        <w:t>with a human rights approach (Article 1)</w:t>
      </w:r>
    </w:p>
    <w:p w14:paraId="1504B8B8" w14:textId="6461E533" w:rsidR="00DA63F8" w:rsidRDefault="00DA63F8"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Meaningful involvement of DDPOs which represent people experiencing mental distress </w:t>
      </w:r>
      <w:r w:rsidR="005D6A6B">
        <w:rPr>
          <w:rFonts w:ascii="Arial" w:hAnsi="Arial" w:cs="Arial"/>
          <w:sz w:val="24"/>
          <w:szCs w:val="24"/>
        </w:rPr>
        <w:t xml:space="preserve">- </w:t>
      </w:r>
      <w:r>
        <w:rPr>
          <w:rFonts w:ascii="Arial" w:hAnsi="Arial" w:cs="Arial"/>
          <w:sz w:val="24"/>
          <w:szCs w:val="24"/>
        </w:rPr>
        <w:t>in</w:t>
      </w:r>
      <w:r w:rsidR="008B4B53">
        <w:rPr>
          <w:rFonts w:ascii="Arial" w:hAnsi="Arial" w:cs="Arial"/>
          <w:sz w:val="24"/>
          <w:szCs w:val="24"/>
        </w:rPr>
        <w:t xml:space="preserve"> the content of</w:t>
      </w:r>
      <w:r>
        <w:rPr>
          <w:rFonts w:ascii="Arial" w:hAnsi="Arial" w:cs="Arial"/>
          <w:sz w:val="24"/>
          <w:szCs w:val="24"/>
        </w:rPr>
        <w:t xml:space="preserve"> all relevant law and policy (Art</w:t>
      </w:r>
      <w:r w:rsidR="002665C5">
        <w:rPr>
          <w:rFonts w:ascii="Arial" w:hAnsi="Arial" w:cs="Arial"/>
          <w:sz w:val="24"/>
          <w:szCs w:val="24"/>
        </w:rPr>
        <w:t>icle</w:t>
      </w:r>
      <w:r>
        <w:rPr>
          <w:rFonts w:ascii="Arial" w:hAnsi="Arial" w:cs="Arial"/>
          <w:sz w:val="24"/>
          <w:szCs w:val="24"/>
        </w:rPr>
        <w:t xml:space="preserve"> 4.3)</w:t>
      </w:r>
    </w:p>
    <w:p w14:paraId="64661D84" w14:textId="5CD9D6A3" w:rsidR="00C741DD" w:rsidRDefault="00C741DD"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Comprehensive </w:t>
      </w:r>
      <w:r w:rsidR="008B4B53">
        <w:rPr>
          <w:rFonts w:ascii="Arial" w:hAnsi="Arial" w:cs="Arial"/>
          <w:sz w:val="24"/>
          <w:szCs w:val="24"/>
        </w:rPr>
        <w:t xml:space="preserve">government </w:t>
      </w:r>
      <w:r>
        <w:rPr>
          <w:rFonts w:ascii="Arial" w:hAnsi="Arial" w:cs="Arial"/>
          <w:sz w:val="24"/>
          <w:szCs w:val="24"/>
        </w:rPr>
        <w:t xml:space="preserve">measures </w:t>
      </w:r>
      <w:r w:rsidR="002665C5">
        <w:rPr>
          <w:rFonts w:ascii="Arial" w:hAnsi="Arial" w:cs="Arial"/>
          <w:sz w:val="24"/>
          <w:szCs w:val="24"/>
        </w:rPr>
        <w:t>which successfully</w:t>
      </w:r>
      <w:r>
        <w:rPr>
          <w:rFonts w:ascii="Arial" w:hAnsi="Arial" w:cs="Arial"/>
          <w:sz w:val="24"/>
          <w:szCs w:val="24"/>
        </w:rPr>
        <w:t xml:space="preserve"> address the full range of intersectional issues </w:t>
      </w:r>
      <w:r w:rsidR="002665C5">
        <w:rPr>
          <w:rFonts w:ascii="Arial" w:hAnsi="Arial" w:cs="Arial"/>
          <w:sz w:val="24"/>
          <w:szCs w:val="24"/>
        </w:rPr>
        <w:t>that</w:t>
      </w:r>
      <w:r>
        <w:rPr>
          <w:rFonts w:ascii="Arial" w:hAnsi="Arial" w:cs="Arial"/>
          <w:sz w:val="24"/>
          <w:szCs w:val="24"/>
        </w:rPr>
        <w:t xml:space="preserve"> affect people in mental distress (Articles 5 and 6)</w:t>
      </w:r>
    </w:p>
    <w:p w14:paraId="7332E0E2" w14:textId="6DF80C11" w:rsidR="00C741DD" w:rsidRDefault="00C741DD"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Effective </w:t>
      </w:r>
      <w:r w:rsidR="008B4B53">
        <w:rPr>
          <w:rFonts w:ascii="Arial" w:hAnsi="Arial" w:cs="Arial"/>
          <w:sz w:val="24"/>
          <w:szCs w:val="24"/>
        </w:rPr>
        <w:t xml:space="preserve">government </w:t>
      </w:r>
      <w:r>
        <w:rPr>
          <w:rFonts w:ascii="Arial" w:hAnsi="Arial" w:cs="Arial"/>
          <w:sz w:val="24"/>
          <w:szCs w:val="24"/>
        </w:rPr>
        <w:t xml:space="preserve">action </w:t>
      </w:r>
      <w:r w:rsidR="008B4B53">
        <w:rPr>
          <w:rFonts w:ascii="Arial" w:hAnsi="Arial" w:cs="Arial"/>
          <w:sz w:val="24"/>
          <w:szCs w:val="24"/>
        </w:rPr>
        <w:t>which</w:t>
      </w:r>
      <w:r>
        <w:rPr>
          <w:rFonts w:ascii="Arial" w:hAnsi="Arial" w:cs="Arial"/>
          <w:sz w:val="24"/>
          <w:szCs w:val="24"/>
        </w:rPr>
        <w:t xml:space="preserve"> pre-empt</w:t>
      </w:r>
      <w:r w:rsidR="008B4B53">
        <w:rPr>
          <w:rFonts w:ascii="Arial" w:hAnsi="Arial" w:cs="Arial"/>
          <w:sz w:val="24"/>
          <w:szCs w:val="24"/>
        </w:rPr>
        <w:t>s</w:t>
      </w:r>
      <w:r>
        <w:rPr>
          <w:rFonts w:ascii="Arial" w:hAnsi="Arial" w:cs="Arial"/>
          <w:sz w:val="24"/>
          <w:szCs w:val="24"/>
        </w:rPr>
        <w:t xml:space="preserve"> disproportionate mortality rates among people in mental distress</w:t>
      </w:r>
      <w:r w:rsidR="00F379D5">
        <w:rPr>
          <w:rFonts w:ascii="Arial" w:hAnsi="Arial" w:cs="Arial"/>
          <w:sz w:val="24"/>
          <w:szCs w:val="24"/>
        </w:rPr>
        <w:t xml:space="preserve"> (Article 10)</w:t>
      </w:r>
    </w:p>
    <w:p w14:paraId="6B74394C" w14:textId="7CA6CC6B" w:rsidR="00C741DD" w:rsidRDefault="00C741DD" w:rsidP="00843BA0">
      <w:pPr>
        <w:pStyle w:val="ListParagraph"/>
        <w:numPr>
          <w:ilvl w:val="0"/>
          <w:numId w:val="1"/>
        </w:numPr>
        <w:spacing w:line="360" w:lineRule="auto"/>
        <w:rPr>
          <w:rFonts w:ascii="Arial" w:hAnsi="Arial" w:cs="Arial"/>
          <w:sz w:val="24"/>
          <w:szCs w:val="24"/>
        </w:rPr>
      </w:pPr>
      <w:r>
        <w:rPr>
          <w:rFonts w:ascii="Arial" w:hAnsi="Arial" w:cs="Arial"/>
          <w:sz w:val="24"/>
          <w:szCs w:val="24"/>
        </w:rPr>
        <w:t>Equal recognition before the law for</w:t>
      </w:r>
      <w:r w:rsidR="005D6A6B">
        <w:rPr>
          <w:rFonts w:ascii="Arial" w:hAnsi="Arial" w:cs="Arial"/>
          <w:sz w:val="24"/>
          <w:szCs w:val="24"/>
        </w:rPr>
        <w:t xml:space="preserve"> </w:t>
      </w:r>
      <w:r w:rsidR="00F379D5">
        <w:rPr>
          <w:rFonts w:ascii="Arial" w:hAnsi="Arial" w:cs="Arial"/>
          <w:sz w:val="24"/>
          <w:szCs w:val="24"/>
        </w:rPr>
        <w:t xml:space="preserve">all </w:t>
      </w:r>
      <w:r>
        <w:rPr>
          <w:rFonts w:ascii="Arial" w:hAnsi="Arial" w:cs="Arial"/>
          <w:sz w:val="24"/>
          <w:szCs w:val="24"/>
        </w:rPr>
        <w:t xml:space="preserve">people in mental distress </w:t>
      </w:r>
      <w:r w:rsidR="005D6A6B">
        <w:rPr>
          <w:rFonts w:ascii="Arial" w:hAnsi="Arial" w:cs="Arial"/>
          <w:sz w:val="24"/>
          <w:szCs w:val="24"/>
        </w:rPr>
        <w:t xml:space="preserve">and people with learning difficulties/autism </w:t>
      </w:r>
      <w:r>
        <w:rPr>
          <w:rFonts w:ascii="Arial" w:hAnsi="Arial" w:cs="Arial"/>
          <w:sz w:val="24"/>
          <w:szCs w:val="24"/>
        </w:rPr>
        <w:t>(Article 12)</w:t>
      </w:r>
    </w:p>
    <w:p w14:paraId="2ADFEEE5" w14:textId="3A95D923" w:rsidR="00C741DD" w:rsidRDefault="00C741DD"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repeal of mental health </w:t>
      </w:r>
      <w:r w:rsidR="005D6A6B">
        <w:rPr>
          <w:rFonts w:ascii="Arial" w:hAnsi="Arial" w:cs="Arial"/>
          <w:sz w:val="24"/>
          <w:szCs w:val="24"/>
        </w:rPr>
        <w:t xml:space="preserve">and mental capacity </w:t>
      </w:r>
      <w:r>
        <w:rPr>
          <w:rFonts w:ascii="Arial" w:hAnsi="Arial" w:cs="Arial"/>
          <w:sz w:val="24"/>
          <w:szCs w:val="24"/>
        </w:rPr>
        <w:t>law which aut</w:t>
      </w:r>
      <w:r w:rsidR="002360A8">
        <w:rPr>
          <w:rFonts w:ascii="Arial" w:hAnsi="Arial" w:cs="Arial"/>
          <w:sz w:val="24"/>
          <w:szCs w:val="24"/>
        </w:rPr>
        <w:t>h</w:t>
      </w:r>
      <w:r>
        <w:rPr>
          <w:rFonts w:ascii="Arial" w:hAnsi="Arial" w:cs="Arial"/>
          <w:sz w:val="24"/>
          <w:szCs w:val="24"/>
        </w:rPr>
        <w:t xml:space="preserve">orises detention </w:t>
      </w:r>
      <w:r w:rsidR="002360A8">
        <w:rPr>
          <w:rFonts w:ascii="Arial" w:hAnsi="Arial" w:cs="Arial"/>
          <w:sz w:val="24"/>
          <w:szCs w:val="24"/>
        </w:rPr>
        <w:t xml:space="preserve">in psychiatric hospitals and involuntary treatment on the basis of mental distress </w:t>
      </w:r>
      <w:r w:rsidR="005D6A6B">
        <w:rPr>
          <w:rFonts w:ascii="Arial" w:hAnsi="Arial" w:cs="Arial"/>
          <w:sz w:val="24"/>
          <w:szCs w:val="24"/>
        </w:rPr>
        <w:t xml:space="preserve">and/or a learning difficulty/autism </w:t>
      </w:r>
      <w:r w:rsidR="002360A8">
        <w:rPr>
          <w:rFonts w:ascii="Arial" w:hAnsi="Arial" w:cs="Arial"/>
          <w:sz w:val="24"/>
          <w:szCs w:val="24"/>
        </w:rPr>
        <w:t>(Article 14)</w:t>
      </w:r>
    </w:p>
    <w:p w14:paraId="414DA099" w14:textId="6FFEB217" w:rsidR="002360A8" w:rsidRDefault="002360A8" w:rsidP="00843BA0">
      <w:pPr>
        <w:pStyle w:val="ListParagraph"/>
        <w:numPr>
          <w:ilvl w:val="0"/>
          <w:numId w:val="1"/>
        </w:numPr>
        <w:spacing w:line="360" w:lineRule="auto"/>
        <w:rPr>
          <w:rFonts w:ascii="Arial" w:hAnsi="Arial" w:cs="Arial"/>
          <w:sz w:val="24"/>
          <w:szCs w:val="24"/>
        </w:rPr>
      </w:pPr>
      <w:r>
        <w:rPr>
          <w:rFonts w:ascii="Arial" w:hAnsi="Arial" w:cs="Arial"/>
          <w:sz w:val="24"/>
          <w:szCs w:val="24"/>
        </w:rPr>
        <w:t>Effective government opposition to the Oviedo Convention’s draft Additional Protocol (Articles 12 and 14)</w:t>
      </w:r>
    </w:p>
    <w:p w14:paraId="19031A9D" w14:textId="45B82CCA" w:rsidR="002360A8" w:rsidRDefault="002360A8" w:rsidP="00843BA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An end to the use of restraint on the basis of mental distress, the employment of Taser guns against people in mental distress </w:t>
      </w:r>
      <w:r w:rsidR="008B4B53">
        <w:rPr>
          <w:rFonts w:ascii="Arial" w:hAnsi="Arial" w:cs="Arial"/>
          <w:sz w:val="24"/>
          <w:szCs w:val="24"/>
        </w:rPr>
        <w:t xml:space="preserve">and non-consensual ECT, together with speedy implementation of law and guidance which </w:t>
      </w:r>
      <w:r w:rsidR="005D6A6B">
        <w:rPr>
          <w:rFonts w:ascii="Arial" w:hAnsi="Arial" w:cs="Arial"/>
          <w:sz w:val="24"/>
          <w:szCs w:val="24"/>
        </w:rPr>
        <w:t xml:space="preserve">brings these </w:t>
      </w:r>
      <w:r w:rsidR="001A3F95">
        <w:rPr>
          <w:rFonts w:ascii="Arial" w:hAnsi="Arial" w:cs="Arial"/>
          <w:sz w:val="24"/>
          <w:szCs w:val="24"/>
        </w:rPr>
        <w:t xml:space="preserve">and related </w:t>
      </w:r>
      <w:r w:rsidR="005D6A6B">
        <w:rPr>
          <w:rFonts w:ascii="Arial" w:hAnsi="Arial" w:cs="Arial"/>
          <w:sz w:val="24"/>
          <w:szCs w:val="24"/>
        </w:rPr>
        <w:t>measures into effect</w:t>
      </w:r>
    </w:p>
    <w:p w14:paraId="64AEF5CF" w14:textId="2E79AF87" w:rsidR="002665C5" w:rsidRPr="00843BA0" w:rsidRDefault="002665C5" w:rsidP="00843BA0">
      <w:pPr>
        <w:pStyle w:val="ListParagraph"/>
        <w:numPr>
          <w:ilvl w:val="0"/>
          <w:numId w:val="1"/>
        </w:numPr>
        <w:spacing w:line="360" w:lineRule="auto"/>
        <w:rPr>
          <w:rFonts w:ascii="Arial" w:hAnsi="Arial" w:cs="Arial"/>
          <w:sz w:val="24"/>
          <w:szCs w:val="24"/>
        </w:rPr>
      </w:pPr>
      <w:r>
        <w:rPr>
          <w:rFonts w:ascii="Arial" w:hAnsi="Arial" w:cs="Arial"/>
          <w:sz w:val="24"/>
          <w:szCs w:val="24"/>
        </w:rPr>
        <w:t>Full implementation of the concept of independent living and community participation which is enshrined in Article 19.</w:t>
      </w:r>
    </w:p>
    <w:p w14:paraId="7A525BEE" w14:textId="343762B6" w:rsidR="00F264FA" w:rsidRDefault="00F264FA" w:rsidP="00776200">
      <w:pPr>
        <w:spacing w:line="360" w:lineRule="auto"/>
        <w:rPr>
          <w:rFonts w:ascii="Arial" w:hAnsi="Arial" w:cs="Arial"/>
          <w:sz w:val="24"/>
          <w:szCs w:val="24"/>
        </w:rPr>
      </w:pPr>
      <w:r>
        <w:rPr>
          <w:rFonts w:ascii="Arial" w:hAnsi="Arial" w:cs="Arial"/>
          <w:sz w:val="24"/>
          <w:szCs w:val="24"/>
        </w:rPr>
        <w:t>Dorothy Gould: on behalf of Liberation</w:t>
      </w:r>
    </w:p>
    <w:p w14:paraId="4BD29E15" w14:textId="690F87BE" w:rsidR="00F264FA" w:rsidRPr="00F264FA" w:rsidRDefault="00F264FA" w:rsidP="00776200">
      <w:pPr>
        <w:spacing w:line="360" w:lineRule="auto"/>
        <w:rPr>
          <w:rFonts w:ascii="Arial" w:hAnsi="Arial" w:cs="Arial"/>
          <w:sz w:val="24"/>
          <w:szCs w:val="24"/>
        </w:rPr>
      </w:pPr>
      <w:r>
        <w:rPr>
          <w:rFonts w:ascii="Arial" w:hAnsi="Arial" w:cs="Arial"/>
          <w:sz w:val="24"/>
          <w:szCs w:val="24"/>
        </w:rPr>
        <w:t>November 2021.</w:t>
      </w:r>
    </w:p>
    <w:p w14:paraId="31F5D48F" w14:textId="77777777" w:rsidR="004A3F5F" w:rsidRPr="004A3F5F" w:rsidRDefault="004A3F5F" w:rsidP="00776200">
      <w:pPr>
        <w:spacing w:line="360" w:lineRule="auto"/>
        <w:rPr>
          <w:rFonts w:ascii="Arial" w:hAnsi="Arial" w:cs="Arial"/>
          <w:sz w:val="24"/>
          <w:szCs w:val="24"/>
        </w:rPr>
      </w:pPr>
    </w:p>
    <w:p w14:paraId="0AD56EED" w14:textId="77777777" w:rsidR="00462D06" w:rsidRPr="002D54C5" w:rsidRDefault="00462D06" w:rsidP="00776200">
      <w:pPr>
        <w:spacing w:line="360" w:lineRule="auto"/>
        <w:rPr>
          <w:rFonts w:ascii="Arial" w:hAnsi="Arial" w:cs="Arial"/>
          <w:sz w:val="24"/>
          <w:szCs w:val="24"/>
        </w:rPr>
      </w:pPr>
    </w:p>
    <w:p w14:paraId="3C07F678" w14:textId="667CA8DA" w:rsidR="00776200" w:rsidRPr="00776200" w:rsidRDefault="00C83624" w:rsidP="00776200">
      <w:pPr>
        <w:spacing w:line="360" w:lineRule="auto"/>
        <w:rPr>
          <w:rFonts w:ascii="Arial" w:hAnsi="Arial" w:cs="Arial"/>
          <w:sz w:val="24"/>
          <w:szCs w:val="24"/>
        </w:rPr>
      </w:pPr>
      <w:r>
        <w:rPr>
          <w:rFonts w:ascii="Arial" w:hAnsi="Arial" w:cs="Arial"/>
          <w:sz w:val="24"/>
          <w:szCs w:val="24"/>
        </w:rPr>
        <w:t xml:space="preserve"> </w:t>
      </w:r>
    </w:p>
    <w:sectPr w:rsidR="00776200" w:rsidRPr="0077620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32E8" w14:textId="77777777" w:rsidR="008D7B92" w:rsidRDefault="008D7B92" w:rsidP="00036576">
      <w:pPr>
        <w:spacing w:after="0" w:line="240" w:lineRule="auto"/>
      </w:pPr>
      <w:r>
        <w:separator/>
      </w:r>
    </w:p>
  </w:endnote>
  <w:endnote w:type="continuationSeparator" w:id="0">
    <w:p w14:paraId="6F43241B" w14:textId="77777777" w:rsidR="008D7B92" w:rsidRDefault="008D7B92" w:rsidP="000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671998"/>
      <w:docPartObj>
        <w:docPartGallery w:val="Page Numbers (Bottom of Page)"/>
        <w:docPartUnique/>
      </w:docPartObj>
    </w:sdtPr>
    <w:sdtEndPr>
      <w:rPr>
        <w:noProof/>
      </w:rPr>
    </w:sdtEndPr>
    <w:sdtContent>
      <w:p w14:paraId="33CE4049" w14:textId="2B13D24E" w:rsidR="00036576" w:rsidRDefault="000365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2A016" w14:textId="77777777" w:rsidR="00036576" w:rsidRDefault="0003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E3A3" w14:textId="77777777" w:rsidR="008D7B92" w:rsidRDefault="008D7B92" w:rsidP="00036576">
      <w:pPr>
        <w:spacing w:after="0" w:line="240" w:lineRule="auto"/>
      </w:pPr>
      <w:r>
        <w:separator/>
      </w:r>
    </w:p>
  </w:footnote>
  <w:footnote w:type="continuationSeparator" w:id="0">
    <w:p w14:paraId="5F9C65E5" w14:textId="77777777" w:rsidR="008D7B92" w:rsidRDefault="008D7B92" w:rsidP="0003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175D"/>
    <w:multiLevelType w:val="hybridMultilevel"/>
    <w:tmpl w:val="097E7ACE"/>
    <w:lvl w:ilvl="0" w:tplc="8E8AD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00"/>
    <w:rsid w:val="00000BEF"/>
    <w:rsid w:val="00016932"/>
    <w:rsid w:val="00021267"/>
    <w:rsid w:val="000246EB"/>
    <w:rsid w:val="00036576"/>
    <w:rsid w:val="00091F1B"/>
    <w:rsid w:val="000D0D64"/>
    <w:rsid w:val="000D10E9"/>
    <w:rsid w:val="000D4323"/>
    <w:rsid w:val="001163B8"/>
    <w:rsid w:val="001316D0"/>
    <w:rsid w:val="0015234E"/>
    <w:rsid w:val="00164604"/>
    <w:rsid w:val="0017745E"/>
    <w:rsid w:val="0018789C"/>
    <w:rsid w:val="001A3F95"/>
    <w:rsid w:val="001B0A47"/>
    <w:rsid w:val="001B0FF2"/>
    <w:rsid w:val="001C1A21"/>
    <w:rsid w:val="001E3C12"/>
    <w:rsid w:val="001F7129"/>
    <w:rsid w:val="002360A8"/>
    <w:rsid w:val="00237BFD"/>
    <w:rsid w:val="0024300F"/>
    <w:rsid w:val="00244D91"/>
    <w:rsid w:val="002665C5"/>
    <w:rsid w:val="00282186"/>
    <w:rsid w:val="002960A9"/>
    <w:rsid w:val="002A0612"/>
    <w:rsid w:val="002A7809"/>
    <w:rsid w:val="002D0A91"/>
    <w:rsid w:val="002D214F"/>
    <w:rsid w:val="002D54C5"/>
    <w:rsid w:val="002F19F9"/>
    <w:rsid w:val="002F4C6E"/>
    <w:rsid w:val="0030158B"/>
    <w:rsid w:val="00313494"/>
    <w:rsid w:val="00316839"/>
    <w:rsid w:val="003277B1"/>
    <w:rsid w:val="00335AA2"/>
    <w:rsid w:val="00371992"/>
    <w:rsid w:val="00382BA4"/>
    <w:rsid w:val="003939BC"/>
    <w:rsid w:val="00416703"/>
    <w:rsid w:val="00432505"/>
    <w:rsid w:val="00452974"/>
    <w:rsid w:val="00461406"/>
    <w:rsid w:val="00462D06"/>
    <w:rsid w:val="0046375F"/>
    <w:rsid w:val="00466854"/>
    <w:rsid w:val="0049377B"/>
    <w:rsid w:val="004A28B2"/>
    <w:rsid w:val="004A3F5F"/>
    <w:rsid w:val="004B4A74"/>
    <w:rsid w:val="004B50AE"/>
    <w:rsid w:val="004D52F1"/>
    <w:rsid w:val="004D7238"/>
    <w:rsid w:val="00505334"/>
    <w:rsid w:val="005160AD"/>
    <w:rsid w:val="00516CA6"/>
    <w:rsid w:val="005461DB"/>
    <w:rsid w:val="00553626"/>
    <w:rsid w:val="00564CB6"/>
    <w:rsid w:val="00573D7B"/>
    <w:rsid w:val="005813FC"/>
    <w:rsid w:val="0058272F"/>
    <w:rsid w:val="005D6A6B"/>
    <w:rsid w:val="006065CA"/>
    <w:rsid w:val="006268B4"/>
    <w:rsid w:val="006445F4"/>
    <w:rsid w:val="00654E6A"/>
    <w:rsid w:val="006639FC"/>
    <w:rsid w:val="007471F5"/>
    <w:rsid w:val="00751E1E"/>
    <w:rsid w:val="00760905"/>
    <w:rsid w:val="00776200"/>
    <w:rsid w:val="00781413"/>
    <w:rsid w:val="00785E80"/>
    <w:rsid w:val="007B3A17"/>
    <w:rsid w:val="007F5871"/>
    <w:rsid w:val="00803B1D"/>
    <w:rsid w:val="0083652C"/>
    <w:rsid w:val="00843BA0"/>
    <w:rsid w:val="00853F5E"/>
    <w:rsid w:val="008B4B53"/>
    <w:rsid w:val="008B588D"/>
    <w:rsid w:val="008D0EE9"/>
    <w:rsid w:val="008D4CA6"/>
    <w:rsid w:val="008D4D43"/>
    <w:rsid w:val="008D7B92"/>
    <w:rsid w:val="00911EAF"/>
    <w:rsid w:val="009160D6"/>
    <w:rsid w:val="00917325"/>
    <w:rsid w:val="00931EC9"/>
    <w:rsid w:val="009332ED"/>
    <w:rsid w:val="00960437"/>
    <w:rsid w:val="00967AF7"/>
    <w:rsid w:val="009A7CD9"/>
    <w:rsid w:val="009B0A02"/>
    <w:rsid w:val="009B153F"/>
    <w:rsid w:val="009C167C"/>
    <w:rsid w:val="009C1D51"/>
    <w:rsid w:val="009C7576"/>
    <w:rsid w:val="009D18D6"/>
    <w:rsid w:val="009D33D2"/>
    <w:rsid w:val="009F64D5"/>
    <w:rsid w:val="009F7C64"/>
    <w:rsid w:val="00A25577"/>
    <w:rsid w:val="00A3118F"/>
    <w:rsid w:val="00A46A26"/>
    <w:rsid w:val="00A51E5D"/>
    <w:rsid w:val="00A571A7"/>
    <w:rsid w:val="00A77DD7"/>
    <w:rsid w:val="00A860F7"/>
    <w:rsid w:val="00AD5C32"/>
    <w:rsid w:val="00AD6F0A"/>
    <w:rsid w:val="00AF3508"/>
    <w:rsid w:val="00B25244"/>
    <w:rsid w:val="00B3120A"/>
    <w:rsid w:val="00B36063"/>
    <w:rsid w:val="00B6377B"/>
    <w:rsid w:val="00B73FAF"/>
    <w:rsid w:val="00BA7438"/>
    <w:rsid w:val="00BA7BAE"/>
    <w:rsid w:val="00BB676A"/>
    <w:rsid w:val="00BC3321"/>
    <w:rsid w:val="00BD3CE0"/>
    <w:rsid w:val="00BF22FE"/>
    <w:rsid w:val="00C23202"/>
    <w:rsid w:val="00C23E0A"/>
    <w:rsid w:val="00C307B7"/>
    <w:rsid w:val="00C318B0"/>
    <w:rsid w:val="00C37B81"/>
    <w:rsid w:val="00C42708"/>
    <w:rsid w:val="00C741DD"/>
    <w:rsid w:val="00C83624"/>
    <w:rsid w:val="00C91B75"/>
    <w:rsid w:val="00CA19E1"/>
    <w:rsid w:val="00CD6B8D"/>
    <w:rsid w:val="00D0113D"/>
    <w:rsid w:val="00D2517A"/>
    <w:rsid w:val="00D40A47"/>
    <w:rsid w:val="00D779F2"/>
    <w:rsid w:val="00D93265"/>
    <w:rsid w:val="00DA63F8"/>
    <w:rsid w:val="00DE3B70"/>
    <w:rsid w:val="00DF010A"/>
    <w:rsid w:val="00E02570"/>
    <w:rsid w:val="00E4257C"/>
    <w:rsid w:val="00E63EA0"/>
    <w:rsid w:val="00E8212E"/>
    <w:rsid w:val="00E925D2"/>
    <w:rsid w:val="00EB0262"/>
    <w:rsid w:val="00EB31E5"/>
    <w:rsid w:val="00EB54EC"/>
    <w:rsid w:val="00EF7F6E"/>
    <w:rsid w:val="00F1461C"/>
    <w:rsid w:val="00F264FA"/>
    <w:rsid w:val="00F31A8E"/>
    <w:rsid w:val="00F338B4"/>
    <w:rsid w:val="00F34CDF"/>
    <w:rsid w:val="00F379D5"/>
    <w:rsid w:val="00F50AB3"/>
    <w:rsid w:val="00F53E93"/>
    <w:rsid w:val="00F96758"/>
    <w:rsid w:val="00FB0C78"/>
    <w:rsid w:val="00FB4E1F"/>
    <w:rsid w:val="00FB76FB"/>
    <w:rsid w:val="00FC419F"/>
    <w:rsid w:val="00FD4242"/>
    <w:rsid w:val="00FE0FBA"/>
    <w:rsid w:val="00FE59E6"/>
    <w:rsid w:val="00FF0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E09E"/>
  <w15:chartTrackingRefBased/>
  <w15:docId w15:val="{B7A92E99-6B54-4E66-B54F-13ED0A6D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76"/>
  </w:style>
  <w:style w:type="paragraph" w:styleId="Footer">
    <w:name w:val="footer"/>
    <w:basedOn w:val="Normal"/>
    <w:link w:val="FooterChar"/>
    <w:uiPriority w:val="99"/>
    <w:unhideWhenUsed/>
    <w:rsid w:val="0003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76"/>
  </w:style>
  <w:style w:type="character" w:styleId="Hyperlink">
    <w:name w:val="Hyperlink"/>
    <w:basedOn w:val="DefaultParagraphFont"/>
    <w:uiPriority w:val="99"/>
    <w:unhideWhenUsed/>
    <w:rsid w:val="001C1A21"/>
    <w:rPr>
      <w:color w:val="0563C1" w:themeColor="hyperlink"/>
      <w:u w:val="single"/>
    </w:rPr>
  </w:style>
  <w:style w:type="character" w:styleId="UnresolvedMention">
    <w:name w:val="Unresolved Mention"/>
    <w:basedOn w:val="DefaultParagraphFont"/>
    <w:uiPriority w:val="99"/>
    <w:semiHidden/>
    <w:unhideWhenUsed/>
    <w:rsid w:val="001C1A21"/>
    <w:rPr>
      <w:color w:val="605E5C"/>
      <w:shd w:val="clear" w:color="auto" w:fill="E1DFDD"/>
    </w:rPr>
  </w:style>
  <w:style w:type="character" w:styleId="FollowedHyperlink">
    <w:name w:val="FollowedHyperlink"/>
    <w:basedOn w:val="DefaultParagraphFont"/>
    <w:uiPriority w:val="99"/>
    <w:semiHidden/>
    <w:unhideWhenUsed/>
    <w:rsid w:val="002D0A91"/>
    <w:rPr>
      <w:color w:val="954F72" w:themeColor="followedHyperlink"/>
      <w:u w:val="single"/>
    </w:rPr>
  </w:style>
  <w:style w:type="paragraph" w:styleId="ListParagraph">
    <w:name w:val="List Paragraph"/>
    <w:basedOn w:val="Normal"/>
    <w:uiPriority w:val="34"/>
    <w:qFormat/>
    <w:rsid w:val="00843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orothy/Desktop/Folders/Liberation/UNCRPD/DDPO%20shadow%20report/Liberation%20MHA%20submission/Changes%20that%20the%20government%20wants%20to%20make%20to%20a%20law%20called%20the%20Mental%20Health%20Act%20(easy%20read)%20-%20GOV.UK%20(www.gov.uk)" TargetMode="External"/><Relationship Id="rId18" Type="http://schemas.openxmlformats.org/officeDocument/2006/relationships/hyperlink" Target="https://www.thelancet.com/pdfs/journals/lanepe/PIIS2666-7762(21)00214-3.pdf" TargetMode="External"/><Relationship Id="rId26" Type="http://schemas.openxmlformats.org/officeDocument/2006/relationships/hyperlink" Target="https://assets.publishing.service.gov.uk/government/uploads/system/uploads/attachment_data/file/951398/mental-health-act-white-paper-web-accessible.pdf" TargetMode="External"/><Relationship Id="rId21" Type="http://schemas.openxmlformats.org/officeDocument/2006/relationships/hyperlink" Target="https://assets.publishing.service.gov.uk/government/uploads/system/uploads/attachment_data/file/951398/mental-health-act-white-paper-web-accessible.pdf" TargetMode="External"/><Relationship Id="rId34" Type="http://schemas.openxmlformats.org/officeDocument/2006/relationships/fontTable" Target="fontTable.xml"/><Relationship Id="rId7" Type="http://schemas.openxmlformats.org/officeDocument/2006/relationships/hyperlink" Target="https://assets.publishing.service.gov.uk/government/uploads/system/uploads/attachment_data/file/951398/mental-health-act-white-paper-web-accessible.pdf" TargetMode="External"/><Relationship Id="rId12" Type="http://schemas.openxmlformats.org/officeDocument/2006/relationships/hyperlink" Target="https://assets.publishing.service.gov.uk/government/uploads/system/uploads/attachment_data/file/951398/mental-health-act-white-paper-web-accessible.pdf" TargetMode="External"/><Relationship Id="rId17" Type="http://schemas.openxmlformats.org/officeDocument/2006/relationships/hyperlink" Target="https://digital.nhs.uk/data-and-information/publications/statistical/mental-health-act-statistics-annual-figures/2019-20-annual-figures" TargetMode="External"/><Relationship Id="rId25" Type="http://schemas.openxmlformats.org/officeDocument/2006/relationships/hyperlink" Target="https://www.legislation.gov.uk/ukpga/2019/18/enacted"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74507/20210331_-_CRED_Report_-_FINAL_-_Web_Accessible.pdf" TargetMode="External"/><Relationship Id="rId20" Type="http://schemas.openxmlformats.org/officeDocument/2006/relationships/hyperlink" Target="https://www.cqc.org.uk/sites/default/files/COVID-19%20Insight%209.pdf" TargetMode="External"/><Relationship Id="rId29" Type="http://schemas.openxmlformats.org/officeDocument/2006/relationships/hyperlink" Target="https://www.gov.uk/government/publications/mental-health-units-use-of-force-act-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groups/independent-review-of-the-mental-health-act" TargetMode="External"/><Relationship Id="rId24" Type="http://schemas.openxmlformats.org/officeDocument/2006/relationships/hyperlink" Target="https://www.legislation.gov.uk/ukpga/2005/9/contents" TargetMode="External"/><Relationship Id="rId32" Type="http://schemas.openxmlformats.org/officeDocument/2006/relationships/hyperlink" Target="https://www.longtermplan.nhs.uk/wp-content/uploads/2019/07/nhs-mental-health-implementation-plan-2019-20-2023-24.pdf"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51398/mental-health-act-white-paper-web-accessible.pdf" TargetMode="External"/><Relationship Id="rId23" Type="http://schemas.openxmlformats.org/officeDocument/2006/relationships/hyperlink" Target="https://www.legislation.gov.uk/ukpga/1983/20/contents" TargetMode="External"/><Relationship Id="rId28" Type="http://schemas.openxmlformats.org/officeDocument/2006/relationships/hyperlink" Target="https://www.legislation.gov.uk/ukpga/2018/27/contents/enacted" TargetMode="External"/><Relationship Id="rId36" Type="http://schemas.openxmlformats.org/officeDocument/2006/relationships/customXml" Target="../customXml/item1.xml"/><Relationship Id="rId10" Type="http://schemas.openxmlformats.org/officeDocument/2006/relationships/hyperlink" Target="https://assets.publishing.service.gov.uk/government/uploads/system/uploads/attachment_data/file/973936/covid-19-mental-health-and-wellbeing-recovery-action-plan.pdf" TargetMode="External"/><Relationship Id="rId19" Type="http://schemas.openxmlformats.org/officeDocument/2006/relationships/hyperlink" Target="https://www.legislation.gov.uk/ukpga/1983/20/contents" TargetMode="External"/><Relationship Id="rId31" Type="http://schemas.openxmlformats.org/officeDocument/2006/relationships/hyperlink" Target="https://www.longtermplan.nhs.uk/" TargetMode="External"/><Relationship Id="rId4" Type="http://schemas.openxmlformats.org/officeDocument/2006/relationships/webSettings" Target="webSettings.xml"/><Relationship Id="rId9" Type="http://schemas.openxmlformats.org/officeDocument/2006/relationships/hyperlink" Target="https://www.england.nhs.uk/wp-content/uploads/2016/02/Mental-Health-Taskforce-FYFV-final.pdf" TargetMode="External"/><Relationship Id="rId14" Type="http://schemas.openxmlformats.org/officeDocument/2006/relationships/hyperlink" Target="https://www.gov.uk/government/consultations/reforming-the-mental-health-act" TargetMode="External"/><Relationship Id="rId22" Type="http://schemas.openxmlformats.org/officeDocument/2006/relationships/hyperlink" Target="https://www.coe.int/en/web/bioethics/oviedo-convention" TargetMode="External"/><Relationship Id="rId27" Type="http://schemas.openxmlformats.org/officeDocument/2006/relationships/hyperlink" Target="https://irr.org.uk/article/irr-news-1-14-july-2020/" TargetMode="External"/><Relationship Id="rId30" Type="http://schemas.openxmlformats.org/officeDocument/2006/relationships/hyperlink" Target="https://assets.publishing.service.gov.uk/government/uploads/system/uploads/attachment_data/file/951398/mental-health-act-white-paper-web-accessible.pdf" TargetMode="External"/><Relationship Id="rId35" Type="http://schemas.openxmlformats.org/officeDocument/2006/relationships/theme" Target="theme/theme1.xml"/><Relationship Id="rId8" Type="http://schemas.openxmlformats.org/officeDocument/2006/relationships/hyperlink" Target="https://www.legislation.gov.uk/ukpga/1983/20/cont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D4666-4DBA-4807-9E6C-AF0605CC097A}"/>
</file>

<file path=customXml/itemProps2.xml><?xml version="1.0" encoding="utf-8"?>
<ds:datastoreItem xmlns:ds="http://schemas.openxmlformats.org/officeDocument/2006/customXml" ds:itemID="{F68CBE53-482B-4BB3-8016-C3DAB5809B71}"/>
</file>

<file path=customXml/itemProps3.xml><?xml version="1.0" encoding="utf-8"?>
<ds:datastoreItem xmlns:ds="http://schemas.openxmlformats.org/officeDocument/2006/customXml" ds:itemID="{7A3CFE65-10D3-43F0-9BE7-C9C17960E1CE}"/>
</file>

<file path=docProps/app.xml><?xml version="1.0" encoding="utf-8"?>
<Properties xmlns="http://schemas.openxmlformats.org/officeDocument/2006/extended-properties" xmlns:vt="http://schemas.openxmlformats.org/officeDocument/2006/docPropsVTypes">
  <Template>Normal</Template>
  <TotalTime>1</TotalTime>
  <Pages>4</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gould</dc:creator>
  <cp:keywords/>
  <dc:description/>
  <cp:lastModifiedBy>Ellen Clifford</cp:lastModifiedBy>
  <cp:revision>2</cp:revision>
  <cp:lastPrinted>2021-11-23T04:05:00Z</cp:lastPrinted>
  <dcterms:created xsi:type="dcterms:W3CDTF">2021-12-24T14:51:00Z</dcterms:created>
  <dcterms:modified xsi:type="dcterms:W3CDTF">2021-12-24T14:51:00Z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