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6D009" w14:textId="73DFD414" w:rsidR="00955DAC" w:rsidRDefault="00955DAC" w:rsidP="00BB27AC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Chronic Illness Inclusion’s Submission </w:t>
      </w:r>
      <w:r w:rsidR="00092D25">
        <w:rPr>
          <w:rFonts w:ascii="Arial" w:hAnsi="Arial" w:cs="Arial"/>
          <w:sz w:val="52"/>
          <w:szCs w:val="52"/>
        </w:rPr>
        <w:t>to</w:t>
      </w:r>
      <w:r>
        <w:rPr>
          <w:rFonts w:ascii="Arial" w:hAnsi="Arial" w:cs="Arial"/>
          <w:sz w:val="52"/>
          <w:szCs w:val="52"/>
        </w:rPr>
        <w:t xml:space="preserve"> the UNCRPD Shadow Report</w:t>
      </w:r>
    </w:p>
    <w:p w14:paraId="6171367C" w14:textId="3F891B90" w:rsidR="00B82586" w:rsidRDefault="00B82586" w:rsidP="00BB27AC">
      <w:pPr>
        <w:rPr>
          <w:rFonts w:ascii="Arial" w:hAnsi="Arial" w:cs="Arial"/>
          <w:sz w:val="24"/>
          <w:szCs w:val="24"/>
        </w:rPr>
      </w:pPr>
    </w:p>
    <w:p w14:paraId="5BC23B36" w14:textId="77777777" w:rsidR="00F356A0" w:rsidRDefault="00F356A0" w:rsidP="00BB27AC">
      <w:pPr>
        <w:rPr>
          <w:rFonts w:ascii="Arial" w:hAnsi="Arial" w:cs="Arial"/>
          <w:sz w:val="24"/>
          <w:szCs w:val="24"/>
        </w:rPr>
      </w:pPr>
    </w:p>
    <w:p w14:paraId="26D85276" w14:textId="441D565F" w:rsidR="00883A14" w:rsidRDefault="00CA117C" w:rsidP="00BB27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the UNCRPD Shadow Report, Chronic Illness Inclusion has compiled a selection of our research most relevant to </w:t>
      </w:r>
      <w:r w:rsidR="006C3149">
        <w:rPr>
          <w:rFonts w:ascii="Arial" w:hAnsi="Arial" w:cs="Arial"/>
          <w:sz w:val="24"/>
          <w:szCs w:val="24"/>
        </w:rPr>
        <w:t xml:space="preserve">the UNCRPD, focusing on </w:t>
      </w:r>
      <w:r>
        <w:rPr>
          <w:rFonts w:ascii="Arial" w:hAnsi="Arial" w:cs="Arial"/>
          <w:sz w:val="24"/>
          <w:szCs w:val="24"/>
        </w:rPr>
        <w:t>Articles 8</w:t>
      </w:r>
      <w:r w:rsidR="00F050F1">
        <w:rPr>
          <w:rFonts w:ascii="Arial" w:hAnsi="Arial" w:cs="Arial"/>
          <w:sz w:val="24"/>
          <w:szCs w:val="24"/>
        </w:rPr>
        <w:t xml:space="preserve"> (Awareness-raising)</w:t>
      </w:r>
      <w:r>
        <w:rPr>
          <w:rFonts w:ascii="Arial" w:hAnsi="Arial" w:cs="Arial"/>
          <w:sz w:val="24"/>
          <w:szCs w:val="24"/>
        </w:rPr>
        <w:t>, 9</w:t>
      </w:r>
      <w:r w:rsidR="00F050F1">
        <w:rPr>
          <w:rFonts w:ascii="Arial" w:hAnsi="Arial" w:cs="Arial"/>
          <w:sz w:val="24"/>
          <w:szCs w:val="24"/>
        </w:rPr>
        <w:t xml:space="preserve"> (Accessibility)</w:t>
      </w:r>
      <w:r>
        <w:rPr>
          <w:rFonts w:ascii="Arial" w:hAnsi="Arial" w:cs="Arial"/>
          <w:sz w:val="24"/>
          <w:szCs w:val="24"/>
        </w:rPr>
        <w:t>, 11</w:t>
      </w:r>
      <w:r w:rsidR="00F050F1">
        <w:rPr>
          <w:rFonts w:ascii="Arial" w:hAnsi="Arial" w:cs="Arial"/>
          <w:sz w:val="24"/>
          <w:szCs w:val="24"/>
        </w:rPr>
        <w:t xml:space="preserve"> (Situations of risk and humanitarian emergencies)</w:t>
      </w:r>
      <w:r>
        <w:rPr>
          <w:rFonts w:ascii="Arial" w:hAnsi="Arial" w:cs="Arial"/>
          <w:sz w:val="24"/>
          <w:szCs w:val="24"/>
        </w:rPr>
        <w:t>, 25</w:t>
      </w:r>
      <w:r w:rsidR="00F050F1">
        <w:rPr>
          <w:rFonts w:ascii="Arial" w:hAnsi="Arial" w:cs="Arial"/>
          <w:sz w:val="24"/>
          <w:szCs w:val="24"/>
        </w:rPr>
        <w:t xml:space="preserve"> (Health)</w:t>
      </w:r>
      <w:r>
        <w:rPr>
          <w:rFonts w:ascii="Arial" w:hAnsi="Arial" w:cs="Arial"/>
          <w:sz w:val="24"/>
          <w:szCs w:val="24"/>
        </w:rPr>
        <w:t>, 27</w:t>
      </w:r>
      <w:r w:rsidR="00F050F1">
        <w:rPr>
          <w:rFonts w:ascii="Arial" w:hAnsi="Arial" w:cs="Arial"/>
          <w:sz w:val="24"/>
          <w:szCs w:val="24"/>
        </w:rPr>
        <w:t xml:space="preserve"> (Work and employment)</w:t>
      </w:r>
      <w:r>
        <w:rPr>
          <w:rFonts w:ascii="Arial" w:hAnsi="Arial" w:cs="Arial"/>
          <w:sz w:val="24"/>
          <w:szCs w:val="24"/>
        </w:rPr>
        <w:t>, 28</w:t>
      </w:r>
      <w:r w:rsidR="00F050F1">
        <w:rPr>
          <w:rFonts w:ascii="Arial" w:hAnsi="Arial" w:cs="Arial"/>
          <w:sz w:val="24"/>
          <w:szCs w:val="24"/>
        </w:rPr>
        <w:t xml:space="preserve"> (Adequate standard of living and social protection)</w:t>
      </w:r>
      <w:r w:rsidR="00461C98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30</w:t>
      </w:r>
      <w:r w:rsidR="00F050F1">
        <w:rPr>
          <w:rFonts w:ascii="Arial" w:hAnsi="Arial" w:cs="Arial"/>
          <w:sz w:val="24"/>
          <w:szCs w:val="24"/>
        </w:rPr>
        <w:t xml:space="preserve"> (Participation in cultural life, recreation and sport)</w:t>
      </w:r>
      <w:r>
        <w:rPr>
          <w:rFonts w:ascii="Arial" w:hAnsi="Arial" w:cs="Arial"/>
          <w:sz w:val="24"/>
          <w:szCs w:val="24"/>
        </w:rPr>
        <w:t>.</w:t>
      </w:r>
      <w:r w:rsidR="006C3149">
        <w:rPr>
          <w:rFonts w:ascii="Arial" w:hAnsi="Arial" w:cs="Arial"/>
          <w:sz w:val="24"/>
          <w:szCs w:val="24"/>
        </w:rPr>
        <w:t xml:space="preserve"> This submission has five parts.</w:t>
      </w:r>
      <w:r>
        <w:rPr>
          <w:rFonts w:ascii="Arial" w:hAnsi="Arial" w:cs="Arial"/>
          <w:sz w:val="24"/>
          <w:szCs w:val="24"/>
        </w:rPr>
        <w:t xml:space="preserve"> Part I discusses the impact of disbelief and lack of awareness on the everyday lives and employment opportunities of people with energy limiting conditions (ELCs), and the need for an awareness-raising campaign from the UK government to promote understanding of ELCs. Part II</w:t>
      </w:r>
      <w:r w:rsidR="00F050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reflects on the emergence of remote access and participation during the early stages of the COVID-19 pandemic and makes the case for remote participation in work and recreational activities as an accessibility measure for people with ELCs. Part III </w:t>
      </w:r>
      <w:r w:rsidR="00883A14">
        <w:rPr>
          <w:rFonts w:ascii="Arial" w:hAnsi="Arial" w:cs="Arial"/>
          <w:sz w:val="24"/>
          <w:szCs w:val="24"/>
        </w:rPr>
        <w:t xml:space="preserve">reports the experiences of people with ELCs during the COVID-19 pandemic, many of whom suffered from the UK government’s inadequate response. Part IV is the longest section of our submission, </w:t>
      </w:r>
      <w:r w:rsidR="006C3149">
        <w:rPr>
          <w:rFonts w:ascii="Arial" w:hAnsi="Arial" w:cs="Arial"/>
          <w:sz w:val="24"/>
          <w:szCs w:val="24"/>
        </w:rPr>
        <w:t>focusing on healthcare for people with ELCs, many of whom have uncertain or contested medical diagnoses, and experience harm as a result of inappropriate treatments and institutional disbelief. This section also discusses the difficulties for housebound people accessing healthcare and the impact of COVID-19 on healthcare for people with ELCs. Part V examines the eligibility and assessment criteria for a range of disability</w:t>
      </w:r>
      <w:r w:rsidR="00941873">
        <w:rPr>
          <w:rFonts w:ascii="Arial" w:hAnsi="Arial" w:cs="Arial"/>
          <w:sz w:val="24"/>
          <w:szCs w:val="24"/>
        </w:rPr>
        <w:t>-related</w:t>
      </w:r>
      <w:r w:rsidR="006C3149">
        <w:rPr>
          <w:rFonts w:ascii="Arial" w:hAnsi="Arial" w:cs="Arial"/>
          <w:sz w:val="24"/>
          <w:szCs w:val="24"/>
        </w:rPr>
        <w:t xml:space="preserve"> benefits in the UK, </w:t>
      </w:r>
      <w:r w:rsidR="00D4709C">
        <w:rPr>
          <w:rFonts w:ascii="Arial" w:hAnsi="Arial" w:cs="Arial"/>
          <w:sz w:val="24"/>
          <w:szCs w:val="24"/>
        </w:rPr>
        <w:t>arguing that these criteria do not adequately reflect the lived experiences of people with ELCs, and that</w:t>
      </w:r>
      <w:r w:rsidR="00F356A0">
        <w:rPr>
          <w:rFonts w:ascii="Arial" w:hAnsi="Arial" w:cs="Arial"/>
          <w:sz w:val="24"/>
          <w:szCs w:val="24"/>
        </w:rPr>
        <w:t xml:space="preserve"> they are based on the assumption that</w:t>
      </w:r>
      <w:r w:rsidR="00D4709C">
        <w:rPr>
          <w:rFonts w:ascii="Arial" w:hAnsi="Arial" w:cs="Arial"/>
          <w:sz w:val="24"/>
          <w:szCs w:val="24"/>
        </w:rPr>
        <w:t xml:space="preserve"> ELCs and the testimony of people with ELCs a</w:t>
      </w:r>
      <w:r w:rsidR="00F356A0">
        <w:rPr>
          <w:rFonts w:ascii="Arial" w:hAnsi="Arial" w:cs="Arial"/>
          <w:sz w:val="24"/>
          <w:szCs w:val="24"/>
        </w:rPr>
        <w:t>re</w:t>
      </w:r>
      <w:r w:rsidR="00D4709C">
        <w:rPr>
          <w:rFonts w:ascii="Arial" w:hAnsi="Arial" w:cs="Arial"/>
          <w:sz w:val="24"/>
          <w:szCs w:val="24"/>
        </w:rPr>
        <w:t xml:space="preserve"> contentious.</w:t>
      </w:r>
    </w:p>
    <w:p w14:paraId="05C538BE" w14:textId="77777777" w:rsidR="00CA117C" w:rsidRDefault="00CA117C" w:rsidP="00BB27AC">
      <w:pPr>
        <w:rPr>
          <w:rFonts w:ascii="Arial" w:hAnsi="Arial" w:cs="Arial"/>
          <w:sz w:val="24"/>
          <w:szCs w:val="24"/>
        </w:rPr>
      </w:pPr>
    </w:p>
    <w:p w14:paraId="11BE8881" w14:textId="77777777" w:rsidR="00CA117C" w:rsidRPr="00CA117C" w:rsidRDefault="00CA117C" w:rsidP="00BB27AC">
      <w:pPr>
        <w:rPr>
          <w:rFonts w:ascii="Arial" w:hAnsi="Arial" w:cs="Arial"/>
          <w:sz w:val="24"/>
          <w:szCs w:val="24"/>
        </w:rPr>
      </w:pPr>
    </w:p>
    <w:p w14:paraId="05463AB7" w14:textId="123C21BB" w:rsidR="001658B9" w:rsidRPr="00955DAC" w:rsidRDefault="00BB27AC" w:rsidP="00BB27AC">
      <w:pPr>
        <w:rPr>
          <w:rFonts w:ascii="Arial" w:hAnsi="Arial" w:cs="Arial"/>
          <w:sz w:val="40"/>
          <w:szCs w:val="40"/>
        </w:rPr>
      </w:pPr>
      <w:r w:rsidRPr="00955DAC">
        <w:rPr>
          <w:rFonts w:ascii="Arial" w:hAnsi="Arial" w:cs="Arial"/>
          <w:sz w:val="40"/>
          <w:szCs w:val="40"/>
        </w:rPr>
        <w:t>About C</w:t>
      </w:r>
      <w:r w:rsidR="001658B9" w:rsidRPr="00955DAC">
        <w:rPr>
          <w:rFonts w:ascii="Arial" w:hAnsi="Arial" w:cs="Arial"/>
          <w:sz w:val="40"/>
          <w:szCs w:val="40"/>
        </w:rPr>
        <w:t>II</w:t>
      </w:r>
    </w:p>
    <w:p w14:paraId="2562135B" w14:textId="77777777" w:rsidR="001658B9" w:rsidRDefault="001658B9" w:rsidP="00BB27AC">
      <w:pPr>
        <w:rPr>
          <w:rFonts w:ascii="Arial" w:hAnsi="Arial" w:cs="Arial"/>
          <w:b/>
          <w:bCs/>
          <w:sz w:val="36"/>
          <w:szCs w:val="36"/>
        </w:rPr>
      </w:pPr>
    </w:p>
    <w:p w14:paraId="4A493324" w14:textId="5DF7DC5B" w:rsidR="000B5EE3" w:rsidRDefault="00BB27AC" w:rsidP="000B5EE3">
      <w:pPr>
        <w:rPr>
          <w:rFonts w:ascii="Arial" w:hAnsi="Arial" w:cs="Arial"/>
          <w:sz w:val="24"/>
          <w:szCs w:val="24"/>
        </w:rPr>
      </w:pPr>
      <w:r w:rsidRPr="001658B9">
        <w:rPr>
          <w:rFonts w:ascii="Arial" w:hAnsi="Arial" w:cs="Arial"/>
          <w:sz w:val="24"/>
          <w:szCs w:val="24"/>
        </w:rPr>
        <w:t>C</w:t>
      </w:r>
      <w:r w:rsidR="001658B9">
        <w:rPr>
          <w:rFonts w:ascii="Arial" w:hAnsi="Arial" w:cs="Arial"/>
          <w:sz w:val="24"/>
          <w:szCs w:val="24"/>
        </w:rPr>
        <w:t>hronic Illness Inclusion (CII)</w:t>
      </w:r>
      <w:r w:rsidRPr="001658B9">
        <w:rPr>
          <w:rFonts w:ascii="Arial" w:hAnsi="Arial" w:cs="Arial"/>
          <w:sz w:val="24"/>
          <w:szCs w:val="24"/>
        </w:rPr>
        <w:t xml:space="preserve"> </w:t>
      </w:r>
      <w:r w:rsidR="00CA117C">
        <w:rPr>
          <w:rFonts w:ascii="Arial" w:hAnsi="Arial" w:cs="Arial"/>
          <w:sz w:val="24"/>
          <w:szCs w:val="24"/>
        </w:rPr>
        <w:t xml:space="preserve">was formed after the end of the Chronic Illness Inclusion Project, a DRILL-funded social action research project led by disabled people. CII </w:t>
      </w:r>
      <w:r w:rsidRPr="001658B9">
        <w:rPr>
          <w:rFonts w:ascii="Arial" w:hAnsi="Arial" w:cs="Arial"/>
          <w:sz w:val="24"/>
          <w:szCs w:val="24"/>
        </w:rPr>
        <w:t>is a Disabled People’s Organisation. This means we approach chronic illness from a social justice, rather than a medicalised, perspective. Rooted in the social model of disability, we challenge the oppressive attitudes and exclusionary practices that diminish the lives of people with energy limiting chronic illnesses (ELCI)</w:t>
      </w:r>
      <w:r w:rsidR="00CA117C">
        <w:rPr>
          <w:rFonts w:ascii="Arial" w:hAnsi="Arial" w:cs="Arial"/>
          <w:sz w:val="24"/>
          <w:szCs w:val="24"/>
        </w:rPr>
        <w:t>, energy impairment</w:t>
      </w:r>
      <w:r w:rsidRPr="001658B9">
        <w:rPr>
          <w:rFonts w:ascii="Arial" w:hAnsi="Arial" w:cs="Arial"/>
          <w:sz w:val="24"/>
          <w:szCs w:val="24"/>
        </w:rPr>
        <w:t xml:space="preserve"> and chronic pain over and above their symptoms. </w:t>
      </w:r>
      <w:r w:rsidR="000B5EE3">
        <w:rPr>
          <w:rFonts w:ascii="Arial" w:hAnsi="Arial" w:cs="Arial"/>
          <w:sz w:val="24"/>
          <w:szCs w:val="24"/>
        </w:rPr>
        <w:t xml:space="preserve">We refer to ELCIs, energy impairment and chronic pain collectively as energy limiting conditions (ELCs). </w:t>
      </w:r>
      <w:r w:rsidR="000B5EE3" w:rsidRPr="000B5EE3">
        <w:rPr>
          <w:rFonts w:ascii="Arial" w:hAnsi="Arial" w:cs="Arial"/>
          <w:sz w:val="24"/>
          <w:szCs w:val="24"/>
        </w:rPr>
        <w:t>CII exists to influence policies and perceptions around chronic illness, and to promote our rights as disabled people. Our vision is a world in which our experience of disability is heard, believed, and understood, our rights as disabled people are upheld, and our lives have equal value.</w:t>
      </w:r>
    </w:p>
    <w:p w14:paraId="08CD79FC" w14:textId="4DCD73BD" w:rsidR="00F356A0" w:rsidRDefault="00F356A0" w:rsidP="000B5EE3">
      <w:pPr>
        <w:rPr>
          <w:rFonts w:ascii="Arial" w:hAnsi="Arial" w:cs="Arial"/>
          <w:sz w:val="24"/>
          <w:szCs w:val="24"/>
        </w:rPr>
      </w:pPr>
    </w:p>
    <w:p w14:paraId="5DDE0688" w14:textId="29AD6653" w:rsidR="00F356A0" w:rsidRDefault="00F356A0" w:rsidP="000B5EE3">
      <w:pPr>
        <w:rPr>
          <w:rFonts w:ascii="Arial" w:hAnsi="Arial" w:cs="Arial"/>
          <w:sz w:val="24"/>
          <w:szCs w:val="24"/>
        </w:rPr>
      </w:pPr>
    </w:p>
    <w:p w14:paraId="608D6EAD" w14:textId="77777777" w:rsidR="00F356A0" w:rsidRDefault="00F356A0" w:rsidP="00941745">
      <w:pPr>
        <w:rPr>
          <w:rFonts w:ascii="Arial" w:hAnsi="Arial" w:cs="Arial"/>
          <w:sz w:val="24"/>
          <w:szCs w:val="24"/>
        </w:rPr>
      </w:pPr>
    </w:p>
    <w:p w14:paraId="08A5724A" w14:textId="77777777" w:rsidR="00F356A0" w:rsidRDefault="00F356A0" w:rsidP="00941745">
      <w:pPr>
        <w:rPr>
          <w:rFonts w:ascii="Arial" w:hAnsi="Arial" w:cs="Arial"/>
          <w:sz w:val="24"/>
          <w:szCs w:val="24"/>
        </w:rPr>
      </w:pPr>
    </w:p>
    <w:p w14:paraId="77CE5EF6" w14:textId="77777777" w:rsidR="00F356A0" w:rsidRDefault="00F356A0" w:rsidP="00941745">
      <w:pPr>
        <w:rPr>
          <w:rFonts w:ascii="Arial" w:hAnsi="Arial" w:cs="Arial"/>
          <w:sz w:val="24"/>
          <w:szCs w:val="24"/>
        </w:rPr>
      </w:pPr>
    </w:p>
    <w:p w14:paraId="07357B9D" w14:textId="77777777" w:rsidR="00F356A0" w:rsidRDefault="00F356A0" w:rsidP="00941745">
      <w:pPr>
        <w:rPr>
          <w:rFonts w:ascii="Arial" w:hAnsi="Arial" w:cs="Arial"/>
          <w:sz w:val="24"/>
          <w:szCs w:val="24"/>
        </w:rPr>
      </w:pPr>
    </w:p>
    <w:p w14:paraId="3991D01C" w14:textId="456678CF" w:rsidR="00B82586" w:rsidRDefault="000B5EE3" w:rsidP="00941745">
      <w:pPr>
        <w:rPr>
          <w:rFonts w:ascii="Arial" w:hAnsi="Arial" w:cs="Arial"/>
          <w:sz w:val="28"/>
          <w:szCs w:val="28"/>
        </w:rPr>
      </w:pPr>
      <w:r w:rsidRPr="00941745">
        <w:rPr>
          <w:rFonts w:ascii="Arial" w:hAnsi="Arial" w:cs="Arial"/>
          <w:sz w:val="32"/>
          <w:szCs w:val="32"/>
        </w:rPr>
        <w:t xml:space="preserve">About </w:t>
      </w:r>
      <w:r w:rsidR="00941745" w:rsidRPr="00941745">
        <w:rPr>
          <w:rFonts w:ascii="Arial" w:hAnsi="Arial" w:cs="Arial"/>
          <w:sz w:val="32"/>
          <w:szCs w:val="32"/>
        </w:rPr>
        <w:t>energy limiting conditions (ELCs)</w:t>
      </w:r>
    </w:p>
    <w:p w14:paraId="3373EC58" w14:textId="77777777" w:rsidR="00F356A0" w:rsidRDefault="00F356A0" w:rsidP="00941745">
      <w:pPr>
        <w:rPr>
          <w:rFonts w:ascii="Arial" w:hAnsi="Arial" w:cs="Arial"/>
          <w:sz w:val="24"/>
          <w:szCs w:val="24"/>
        </w:rPr>
      </w:pPr>
    </w:p>
    <w:p w14:paraId="5BC0D56A" w14:textId="2428E666" w:rsidR="00941745" w:rsidRPr="00B82586" w:rsidRDefault="00941745" w:rsidP="00941745">
      <w:pPr>
        <w:rPr>
          <w:rFonts w:ascii="Arial" w:hAnsi="Arial" w:cs="Arial"/>
          <w:sz w:val="28"/>
          <w:szCs w:val="28"/>
        </w:rPr>
      </w:pPr>
      <w:r w:rsidRPr="00941745">
        <w:rPr>
          <w:rFonts w:ascii="Arial" w:hAnsi="Arial" w:cs="Arial"/>
          <w:sz w:val="24"/>
          <w:szCs w:val="24"/>
        </w:rPr>
        <w:t>We estimate that ELCI, or energy impairment, affects as many as one in three disabled people in the UK.</w:t>
      </w:r>
      <w:r w:rsidRPr="00941745">
        <w:rPr>
          <w:rStyle w:val="FootnoteReference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ELC, ELCI and energy impairment are new terms, born out of participatory research by and with disabled people with physical chronic illness.</w:t>
      </w:r>
      <w:r w:rsidR="00461C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They reflect the lived experience and impact of many chronic illnesses. </w:t>
      </w:r>
    </w:p>
    <w:p w14:paraId="6471ACDF" w14:textId="0AC7BDE1" w:rsidR="00941745" w:rsidRDefault="00941745" w:rsidP="009417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people living with</w:t>
      </w:r>
      <w:r w:rsidRPr="00941745">
        <w:rPr>
          <w:rFonts w:ascii="Arial" w:hAnsi="Arial" w:cs="Arial"/>
          <w:sz w:val="24"/>
          <w:szCs w:val="24"/>
        </w:rPr>
        <w:t xml:space="preserve"> ELCs</w:t>
      </w:r>
      <w:r>
        <w:rPr>
          <w:rFonts w:ascii="Arial" w:hAnsi="Arial" w:cs="Arial"/>
          <w:sz w:val="24"/>
          <w:szCs w:val="24"/>
        </w:rPr>
        <w:t xml:space="preserve"> </w:t>
      </w:r>
      <w:r w:rsidRPr="00941745">
        <w:rPr>
          <w:rFonts w:ascii="Arial" w:hAnsi="Arial" w:cs="Arial"/>
          <w:sz w:val="24"/>
          <w:szCs w:val="24"/>
        </w:rPr>
        <w:t>identify simply as having ‘</w:t>
      </w:r>
      <w:r w:rsidRPr="00941745">
        <w:rPr>
          <w:rFonts w:ascii="Arial" w:hAnsi="Arial" w:cs="Arial"/>
          <w:i/>
          <w:iCs/>
          <w:sz w:val="24"/>
          <w:szCs w:val="24"/>
        </w:rPr>
        <w:t>chronic illness</w:t>
      </w:r>
      <w:r w:rsidRPr="00941745">
        <w:rPr>
          <w:rFonts w:ascii="Arial" w:hAnsi="Arial" w:cs="Arial"/>
          <w:sz w:val="24"/>
          <w:szCs w:val="24"/>
        </w:rPr>
        <w:t>’.</w:t>
      </w:r>
    </w:p>
    <w:p w14:paraId="0A4BBA52" w14:textId="77777777" w:rsidR="00941745" w:rsidRPr="00941745" w:rsidRDefault="00941745" w:rsidP="00941745">
      <w:pPr>
        <w:rPr>
          <w:rFonts w:ascii="Arial" w:hAnsi="Arial" w:cs="Arial"/>
          <w:sz w:val="24"/>
          <w:szCs w:val="24"/>
        </w:rPr>
      </w:pPr>
    </w:p>
    <w:p w14:paraId="7801D288" w14:textId="4E08122B" w:rsidR="00941745" w:rsidRDefault="00941745" w:rsidP="00941745">
      <w:pPr>
        <w:rPr>
          <w:rFonts w:ascii="Arial" w:hAnsi="Arial" w:cs="Arial"/>
          <w:sz w:val="24"/>
          <w:szCs w:val="24"/>
        </w:rPr>
      </w:pPr>
      <w:r w:rsidRPr="00941745">
        <w:rPr>
          <w:rFonts w:ascii="Arial" w:hAnsi="Arial" w:cs="Arial"/>
          <w:sz w:val="24"/>
          <w:szCs w:val="24"/>
        </w:rPr>
        <w:t xml:space="preserve">Examples of ELCs include fibromyalgia, Long Covid, ME/CFS, lupus, </w:t>
      </w:r>
      <w:bookmarkStart w:id="0" w:name="_Hlk96963903"/>
      <w:r w:rsidRPr="00941745">
        <w:rPr>
          <w:rFonts w:ascii="Arial" w:hAnsi="Arial" w:cs="Arial"/>
          <w:sz w:val="24"/>
          <w:szCs w:val="24"/>
        </w:rPr>
        <w:t>Ehlers Danlos Syndrome, inflammatory bowel disease,</w:t>
      </w:r>
      <w:r>
        <w:rPr>
          <w:rFonts w:ascii="Arial" w:hAnsi="Arial" w:cs="Arial"/>
          <w:sz w:val="24"/>
          <w:szCs w:val="24"/>
        </w:rPr>
        <w:t xml:space="preserve"> multiple sclerosis, lupus, thyroid problems</w:t>
      </w:r>
      <w:r w:rsidRPr="00941745">
        <w:rPr>
          <w:rFonts w:ascii="Arial" w:hAnsi="Arial" w:cs="Arial"/>
          <w:sz w:val="24"/>
          <w:szCs w:val="24"/>
        </w:rPr>
        <w:t xml:space="preserve"> and POTS, </w:t>
      </w:r>
      <w:bookmarkEnd w:id="0"/>
      <w:r w:rsidRPr="00941745">
        <w:rPr>
          <w:rFonts w:ascii="Arial" w:hAnsi="Arial" w:cs="Arial"/>
          <w:sz w:val="24"/>
          <w:szCs w:val="24"/>
        </w:rPr>
        <w:t>as well as many</w:t>
      </w:r>
      <w:r>
        <w:rPr>
          <w:rFonts w:ascii="Arial" w:hAnsi="Arial" w:cs="Arial"/>
          <w:sz w:val="24"/>
          <w:szCs w:val="24"/>
        </w:rPr>
        <w:t xml:space="preserve"> other</w:t>
      </w:r>
      <w:r w:rsidRPr="00941745">
        <w:rPr>
          <w:rFonts w:ascii="Arial" w:hAnsi="Arial" w:cs="Arial"/>
          <w:sz w:val="24"/>
          <w:szCs w:val="24"/>
        </w:rPr>
        <w:t xml:space="preserve"> neurological, musculoskeletal, endocrinological, respiratory</w:t>
      </w:r>
      <w:r w:rsidR="00B8258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autonomic</w:t>
      </w:r>
      <w:r w:rsidRPr="00941745">
        <w:rPr>
          <w:rFonts w:ascii="Arial" w:hAnsi="Arial" w:cs="Arial"/>
          <w:sz w:val="24"/>
          <w:szCs w:val="24"/>
        </w:rPr>
        <w:t xml:space="preserve"> and auto-immune </w:t>
      </w:r>
      <w:r w:rsidR="00B82586">
        <w:rPr>
          <w:rFonts w:ascii="Arial" w:hAnsi="Arial" w:cs="Arial"/>
          <w:sz w:val="24"/>
          <w:szCs w:val="24"/>
        </w:rPr>
        <w:t>conditions</w:t>
      </w:r>
      <w:r w:rsidRPr="00941745">
        <w:rPr>
          <w:rFonts w:ascii="Arial" w:hAnsi="Arial" w:cs="Arial"/>
          <w:sz w:val="24"/>
          <w:szCs w:val="24"/>
        </w:rPr>
        <w:t>.</w:t>
      </w:r>
      <w:r w:rsidR="00B82586">
        <w:rPr>
          <w:rFonts w:ascii="Arial" w:hAnsi="Arial" w:cs="Arial"/>
          <w:sz w:val="24"/>
          <w:szCs w:val="24"/>
        </w:rPr>
        <w:t xml:space="preserve"> Around 2 in 5 survey respondents with ELCs report a co-morbid mental health condition.</w:t>
      </w:r>
      <w:r w:rsidR="00B82586">
        <w:rPr>
          <w:rStyle w:val="FootnoteReference"/>
          <w:rFonts w:ascii="Arial" w:hAnsi="Arial" w:cs="Arial"/>
          <w:sz w:val="24"/>
          <w:szCs w:val="24"/>
        </w:rPr>
        <w:footnoteReference w:id="2"/>
      </w:r>
    </w:p>
    <w:p w14:paraId="26ADCA39" w14:textId="7433B4EF" w:rsidR="00B82586" w:rsidRDefault="00B82586" w:rsidP="00941745">
      <w:pPr>
        <w:rPr>
          <w:rFonts w:ascii="Arial" w:hAnsi="Arial" w:cs="Arial"/>
          <w:sz w:val="24"/>
          <w:szCs w:val="24"/>
        </w:rPr>
      </w:pPr>
    </w:p>
    <w:p w14:paraId="28258863" w14:textId="2B600115" w:rsidR="00941745" w:rsidRPr="00941745" w:rsidRDefault="00B82586" w:rsidP="009417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Key impairment features</w:t>
      </w:r>
      <w:r>
        <w:rPr>
          <w:rFonts w:ascii="Arial" w:hAnsi="Arial" w:cs="Arial"/>
          <w:sz w:val="24"/>
          <w:szCs w:val="24"/>
        </w:rPr>
        <w:br/>
      </w:r>
      <w:r w:rsidR="00941745" w:rsidRPr="00941745">
        <w:rPr>
          <w:rFonts w:ascii="Arial" w:hAnsi="Arial" w:cs="Arial"/>
          <w:sz w:val="24"/>
          <w:szCs w:val="24"/>
        </w:rPr>
        <w:t>CII research identified the four key work-limiting features of ELCs as:</w:t>
      </w:r>
      <w:r>
        <w:rPr>
          <w:rFonts w:ascii="Arial" w:hAnsi="Arial" w:cs="Arial"/>
          <w:sz w:val="24"/>
          <w:szCs w:val="24"/>
        </w:rPr>
        <w:br/>
      </w:r>
    </w:p>
    <w:p w14:paraId="42EDFF87" w14:textId="1D164B16" w:rsidR="00941745" w:rsidRPr="00941745" w:rsidRDefault="00941745" w:rsidP="0094174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941745">
        <w:rPr>
          <w:rFonts w:ascii="Arial" w:eastAsia="Times New Roman" w:hAnsi="Arial" w:cs="Arial"/>
          <w:b/>
          <w:bCs/>
          <w:sz w:val="24"/>
          <w:szCs w:val="24"/>
        </w:rPr>
        <w:t>Energy impairment</w:t>
      </w:r>
      <w:r w:rsidRPr="00941745">
        <w:rPr>
          <w:rFonts w:ascii="Arial" w:eastAsia="Times New Roman" w:hAnsi="Arial" w:cs="Arial"/>
          <w:sz w:val="24"/>
          <w:szCs w:val="24"/>
        </w:rPr>
        <w:t xml:space="preserve"> (an experience more profound and multi-dimensional than ‘tiredness’).</w:t>
      </w:r>
      <w:r w:rsidR="00B82586">
        <w:rPr>
          <w:rFonts w:ascii="Arial" w:eastAsia="Times New Roman" w:hAnsi="Arial" w:cs="Arial"/>
          <w:sz w:val="24"/>
          <w:szCs w:val="24"/>
        </w:rPr>
        <w:br/>
      </w:r>
    </w:p>
    <w:p w14:paraId="3F70B569" w14:textId="7B4B5744" w:rsidR="00941745" w:rsidRPr="00941745" w:rsidRDefault="00941745" w:rsidP="0094174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941745">
        <w:rPr>
          <w:rFonts w:ascii="Arial" w:eastAsia="Times New Roman" w:hAnsi="Arial" w:cs="Arial"/>
          <w:b/>
          <w:bCs/>
          <w:sz w:val="24"/>
          <w:szCs w:val="24"/>
        </w:rPr>
        <w:t>Cognitive fatigue and dysfunction</w:t>
      </w:r>
      <w:r w:rsidRPr="00941745">
        <w:rPr>
          <w:rFonts w:ascii="Arial" w:eastAsia="Times New Roman" w:hAnsi="Arial" w:cs="Arial"/>
          <w:sz w:val="24"/>
          <w:szCs w:val="24"/>
        </w:rPr>
        <w:t>.</w:t>
      </w:r>
      <w:r w:rsidR="00B82586">
        <w:rPr>
          <w:rFonts w:ascii="Arial" w:eastAsia="Times New Roman" w:hAnsi="Arial" w:cs="Arial"/>
          <w:sz w:val="24"/>
          <w:szCs w:val="24"/>
        </w:rPr>
        <w:br/>
      </w:r>
    </w:p>
    <w:p w14:paraId="61EC4F0A" w14:textId="145FC876" w:rsidR="00941745" w:rsidRPr="00941745" w:rsidRDefault="00941745" w:rsidP="0094174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941745">
        <w:rPr>
          <w:rFonts w:ascii="Arial" w:eastAsia="Times New Roman" w:hAnsi="Arial" w:cs="Arial"/>
          <w:b/>
          <w:bCs/>
          <w:sz w:val="24"/>
          <w:szCs w:val="24"/>
        </w:rPr>
        <w:t>Fluctuation</w:t>
      </w:r>
      <w:r w:rsidRPr="00941745">
        <w:rPr>
          <w:rFonts w:ascii="Arial" w:eastAsia="Times New Roman" w:hAnsi="Arial" w:cs="Arial"/>
          <w:sz w:val="24"/>
          <w:szCs w:val="24"/>
        </w:rPr>
        <w:t xml:space="preserve"> in symptoms and severity of impairment.</w:t>
      </w:r>
      <w:r w:rsidR="00B82586">
        <w:rPr>
          <w:rFonts w:ascii="Arial" w:eastAsia="Times New Roman" w:hAnsi="Arial" w:cs="Arial"/>
          <w:sz w:val="24"/>
          <w:szCs w:val="24"/>
        </w:rPr>
        <w:br/>
      </w:r>
    </w:p>
    <w:p w14:paraId="41A120ED" w14:textId="77777777" w:rsidR="00941745" w:rsidRPr="00941745" w:rsidRDefault="00941745" w:rsidP="0094174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941745">
        <w:rPr>
          <w:rFonts w:ascii="Arial" w:eastAsia="Times New Roman" w:hAnsi="Arial" w:cs="Arial"/>
          <w:b/>
          <w:bCs/>
          <w:sz w:val="24"/>
          <w:szCs w:val="24"/>
        </w:rPr>
        <w:t>‘Payback’</w:t>
      </w:r>
      <w:r w:rsidRPr="00941745">
        <w:rPr>
          <w:rFonts w:ascii="Arial" w:eastAsia="Times New Roman" w:hAnsi="Arial" w:cs="Arial"/>
          <w:sz w:val="24"/>
          <w:szCs w:val="24"/>
        </w:rPr>
        <w:t xml:space="preserve">, which refers to the increase in symptoms and incapacity that typically follows mental or physical activity (sometimes known as ‘post-exertional malaise’ or ‘post-exertional symptom exacerbation’). </w:t>
      </w:r>
    </w:p>
    <w:p w14:paraId="6809C6EE" w14:textId="77777777" w:rsidR="00B82586" w:rsidRDefault="00B82586" w:rsidP="00B82586">
      <w:pPr>
        <w:ind w:left="360"/>
        <w:rPr>
          <w:rFonts w:ascii="Arial" w:hAnsi="Arial" w:cs="Arial"/>
          <w:i/>
          <w:iCs/>
          <w:sz w:val="24"/>
          <w:szCs w:val="24"/>
        </w:rPr>
      </w:pPr>
    </w:p>
    <w:p w14:paraId="7896BD75" w14:textId="167F19A1" w:rsidR="00941745" w:rsidRDefault="00941745" w:rsidP="00B82586">
      <w:pPr>
        <w:ind w:left="360"/>
        <w:rPr>
          <w:rFonts w:ascii="Arial" w:hAnsi="Arial" w:cs="Arial"/>
          <w:sz w:val="24"/>
          <w:szCs w:val="24"/>
        </w:rPr>
      </w:pPr>
      <w:r w:rsidRPr="00941745">
        <w:rPr>
          <w:rFonts w:ascii="Arial" w:hAnsi="Arial" w:cs="Arial"/>
          <w:i/>
          <w:iCs/>
          <w:sz w:val="24"/>
          <w:szCs w:val="24"/>
        </w:rPr>
        <w:t xml:space="preserve">“With ME, you're so limited on energy. And that doesn't only just affect walking and physical things - that's mental ability, that's cognitive, and all of those things.” </w:t>
      </w:r>
      <w:r w:rsidRPr="00941745">
        <w:rPr>
          <w:rFonts w:ascii="Arial" w:hAnsi="Arial" w:cs="Arial"/>
          <w:sz w:val="24"/>
          <w:szCs w:val="24"/>
        </w:rPr>
        <w:t>(</w:t>
      </w:r>
      <w:r w:rsidR="003F43DC">
        <w:rPr>
          <w:rFonts w:ascii="Arial" w:hAnsi="Arial" w:cs="Arial"/>
          <w:sz w:val="24"/>
          <w:szCs w:val="24"/>
        </w:rPr>
        <w:t>F</w:t>
      </w:r>
      <w:r w:rsidR="00B82586">
        <w:rPr>
          <w:rFonts w:ascii="Arial" w:hAnsi="Arial" w:cs="Arial"/>
          <w:sz w:val="24"/>
          <w:szCs w:val="24"/>
        </w:rPr>
        <w:t xml:space="preserve">ocus group </w:t>
      </w:r>
      <w:r w:rsidRPr="00941745">
        <w:rPr>
          <w:rFonts w:ascii="Arial" w:hAnsi="Arial" w:cs="Arial"/>
          <w:sz w:val="24"/>
          <w:szCs w:val="24"/>
        </w:rPr>
        <w:t>participant)</w:t>
      </w:r>
    </w:p>
    <w:p w14:paraId="71FBA50D" w14:textId="77777777" w:rsidR="00F356A0" w:rsidRDefault="00F356A0" w:rsidP="00B82586">
      <w:pPr>
        <w:ind w:left="360"/>
        <w:rPr>
          <w:rFonts w:ascii="Arial" w:hAnsi="Arial" w:cs="Arial"/>
          <w:sz w:val="24"/>
          <w:szCs w:val="24"/>
        </w:rPr>
      </w:pPr>
    </w:p>
    <w:p w14:paraId="6E1CCAD0" w14:textId="77777777" w:rsidR="00F356A0" w:rsidRDefault="00F356A0"/>
    <w:p w14:paraId="2CFC05E8" w14:textId="74D25945" w:rsidR="005D42AB" w:rsidRDefault="005D42AB"/>
    <w:p w14:paraId="44B7B230" w14:textId="563BBAAC" w:rsidR="003F43DC" w:rsidRDefault="003F43DC"/>
    <w:p w14:paraId="4C752D27" w14:textId="465214BF" w:rsidR="003F43DC" w:rsidRDefault="003F43DC"/>
    <w:p w14:paraId="55F2CC96" w14:textId="5E9F713B" w:rsidR="003F43DC" w:rsidRDefault="003F43DC"/>
    <w:p w14:paraId="25C7BD00" w14:textId="7AAA774C" w:rsidR="003F43DC" w:rsidRDefault="003F43DC"/>
    <w:p w14:paraId="78AF97B1" w14:textId="035B4F86" w:rsidR="003F43DC" w:rsidRDefault="003F43DC"/>
    <w:p w14:paraId="610682A6" w14:textId="51CEF245" w:rsidR="003F43DC" w:rsidRDefault="003F43DC"/>
    <w:p w14:paraId="0B31245A" w14:textId="774C37A8" w:rsidR="003F43DC" w:rsidRDefault="003F43DC"/>
    <w:p w14:paraId="42001341" w14:textId="17EF7BC2" w:rsidR="003F43DC" w:rsidRDefault="003F43DC"/>
    <w:p w14:paraId="596B7E78" w14:textId="0BDF95E4" w:rsidR="003F43DC" w:rsidRDefault="003F43DC"/>
    <w:p w14:paraId="1B860C92" w14:textId="77777777" w:rsidR="003F43DC" w:rsidRDefault="003F43DC"/>
    <w:p w14:paraId="6225BAEB" w14:textId="3948C04B" w:rsidR="005D42AB" w:rsidRPr="00955DAC" w:rsidRDefault="005D42AB" w:rsidP="005D42AB">
      <w:pPr>
        <w:rPr>
          <w:rFonts w:ascii="Arial" w:hAnsi="Arial" w:cs="Arial"/>
          <w:sz w:val="40"/>
          <w:szCs w:val="40"/>
        </w:rPr>
      </w:pPr>
      <w:r w:rsidRPr="00955DAC">
        <w:rPr>
          <w:rFonts w:ascii="Arial" w:hAnsi="Arial" w:cs="Arial"/>
          <w:sz w:val="40"/>
          <w:szCs w:val="40"/>
        </w:rPr>
        <w:t xml:space="preserve">Index: </w:t>
      </w:r>
    </w:p>
    <w:p w14:paraId="3705D2E4" w14:textId="75783FE7" w:rsidR="00261D7F" w:rsidRPr="00955DAC" w:rsidRDefault="00261D7F" w:rsidP="005D42AB">
      <w:pPr>
        <w:rPr>
          <w:rFonts w:ascii="Arial" w:hAnsi="Arial" w:cs="Arial"/>
        </w:rPr>
      </w:pPr>
    </w:p>
    <w:p w14:paraId="21388146" w14:textId="3961B7BB" w:rsidR="00261D7F" w:rsidRPr="00955DAC" w:rsidRDefault="003F43DC" w:rsidP="00261D7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43DC">
        <w:rPr>
          <w:rFonts w:ascii="Arial" w:hAnsi="Arial" w:cs="Arial"/>
          <w:b/>
          <w:bCs/>
          <w:sz w:val="24"/>
          <w:szCs w:val="24"/>
        </w:rPr>
        <w:t xml:space="preserve">Part </w:t>
      </w:r>
      <w:r w:rsidR="00092D25" w:rsidRPr="003F43DC">
        <w:rPr>
          <w:rFonts w:ascii="Arial" w:hAnsi="Arial" w:cs="Arial"/>
          <w:b/>
          <w:bCs/>
          <w:sz w:val="24"/>
          <w:szCs w:val="24"/>
        </w:rPr>
        <w:t>I</w:t>
      </w:r>
      <w:r w:rsidR="00092D25">
        <w:rPr>
          <w:rFonts w:ascii="Arial" w:hAnsi="Arial" w:cs="Arial"/>
          <w:sz w:val="24"/>
          <w:szCs w:val="24"/>
        </w:rPr>
        <w:t xml:space="preserve">: </w:t>
      </w:r>
      <w:r w:rsidR="00261D7F" w:rsidRPr="00955DAC">
        <w:rPr>
          <w:rFonts w:ascii="Arial" w:hAnsi="Arial" w:cs="Arial"/>
          <w:sz w:val="24"/>
          <w:szCs w:val="24"/>
        </w:rPr>
        <w:t>Disbelief and Lack of Awareness: Articles 8</w:t>
      </w:r>
      <w:r>
        <w:rPr>
          <w:rFonts w:ascii="Arial" w:hAnsi="Arial" w:cs="Arial"/>
          <w:sz w:val="24"/>
          <w:szCs w:val="24"/>
        </w:rPr>
        <w:t xml:space="preserve"> (Awareness-raising)</w:t>
      </w:r>
      <w:r w:rsidR="00261D7F" w:rsidRPr="00955DAC">
        <w:rPr>
          <w:rFonts w:ascii="Arial" w:hAnsi="Arial" w:cs="Arial"/>
          <w:sz w:val="24"/>
          <w:szCs w:val="24"/>
        </w:rPr>
        <w:t xml:space="preserve"> and 27</w:t>
      </w:r>
      <w:r>
        <w:rPr>
          <w:rFonts w:ascii="Arial" w:hAnsi="Arial" w:cs="Arial"/>
          <w:sz w:val="24"/>
          <w:szCs w:val="24"/>
        </w:rPr>
        <w:t xml:space="preserve"> (Work and employment)</w:t>
      </w:r>
      <w:r w:rsidR="00261D7F" w:rsidRPr="00955DAC">
        <w:rPr>
          <w:rFonts w:ascii="Arial" w:hAnsi="Arial" w:cs="Arial"/>
          <w:sz w:val="24"/>
          <w:szCs w:val="24"/>
        </w:rPr>
        <w:br/>
      </w:r>
    </w:p>
    <w:p w14:paraId="52FB86FF" w14:textId="0612190C" w:rsidR="005D42AB" w:rsidRPr="00955DAC" w:rsidRDefault="003F43DC" w:rsidP="00261D7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43DC">
        <w:rPr>
          <w:rFonts w:ascii="Arial" w:hAnsi="Arial" w:cs="Arial"/>
          <w:b/>
          <w:bCs/>
          <w:sz w:val="24"/>
          <w:szCs w:val="24"/>
        </w:rPr>
        <w:t xml:space="preserve">Part </w:t>
      </w:r>
      <w:r w:rsidR="00092D25" w:rsidRPr="003F43DC">
        <w:rPr>
          <w:rFonts w:ascii="Arial" w:hAnsi="Arial" w:cs="Arial"/>
          <w:b/>
          <w:bCs/>
          <w:sz w:val="24"/>
          <w:szCs w:val="24"/>
        </w:rPr>
        <w:t>II</w:t>
      </w:r>
      <w:r w:rsidR="00092D25">
        <w:rPr>
          <w:rFonts w:ascii="Arial" w:hAnsi="Arial" w:cs="Arial"/>
          <w:sz w:val="24"/>
          <w:szCs w:val="24"/>
        </w:rPr>
        <w:t xml:space="preserve">: </w:t>
      </w:r>
      <w:r w:rsidR="00261D7F" w:rsidRPr="00955DAC">
        <w:rPr>
          <w:rFonts w:ascii="Arial" w:hAnsi="Arial" w:cs="Arial"/>
          <w:sz w:val="24"/>
          <w:szCs w:val="24"/>
        </w:rPr>
        <w:t xml:space="preserve">Remote Access and Participation: </w:t>
      </w:r>
      <w:r w:rsidR="005D42AB" w:rsidRPr="00955DAC">
        <w:rPr>
          <w:rFonts w:ascii="Arial" w:hAnsi="Arial" w:cs="Arial"/>
          <w:sz w:val="24"/>
          <w:szCs w:val="24"/>
        </w:rPr>
        <w:t>Article</w:t>
      </w:r>
      <w:r w:rsidR="00261D7F" w:rsidRPr="00955DAC">
        <w:rPr>
          <w:rFonts w:ascii="Arial" w:hAnsi="Arial" w:cs="Arial"/>
          <w:sz w:val="24"/>
          <w:szCs w:val="24"/>
        </w:rPr>
        <w:t>s</w:t>
      </w:r>
      <w:r w:rsidR="005D42AB" w:rsidRPr="00955DAC">
        <w:rPr>
          <w:rFonts w:ascii="Arial" w:hAnsi="Arial" w:cs="Arial"/>
          <w:sz w:val="24"/>
          <w:szCs w:val="24"/>
        </w:rPr>
        <w:t xml:space="preserve"> 9</w:t>
      </w:r>
      <w:r w:rsidR="00261D7F" w:rsidRPr="00955DAC">
        <w:rPr>
          <w:rFonts w:ascii="Arial" w:hAnsi="Arial" w:cs="Arial"/>
          <w:sz w:val="24"/>
          <w:szCs w:val="24"/>
        </w:rPr>
        <w:t xml:space="preserve"> (Accessibility)</w:t>
      </w:r>
      <w:r w:rsidR="005D42AB" w:rsidRPr="00955DAC">
        <w:rPr>
          <w:rFonts w:ascii="Arial" w:hAnsi="Arial" w:cs="Arial"/>
          <w:sz w:val="24"/>
          <w:szCs w:val="24"/>
        </w:rPr>
        <w:t>, 27</w:t>
      </w:r>
      <w:r w:rsidR="00261D7F" w:rsidRPr="00955DAC">
        <w:rPr>
          <w:rFonts w:ascii="Arial" w:hAnsi="Arial" w:cs="Arial"/>
          <w:sz w:val="24"/>
          <w:szCs w:val="24"/>
        </w:rPr>
        <w:t xml:space="preserve"> (Work and </w:t>
      </w:r>
      <w:r w:rsidR="0038173F">
        <w:rPr>
          <w:rFonts w:ascii="Arial" w:hAnsi="Arial" w:cs="Arial"/>
          <w:sz w:val="24"/>
          <w:szCs w:val="24"/>
        </w:rPr>
        <w:t>e</w:t>
      </w:r>
      <w:r w:rsidR="00261D7F" w:rsidRPr="00955DAC">
        <w:rPr>
          <w:rFonts w:ascii="Arial" w:hAnsi="Arial" w:cs="Arial"/>
          <w:sz w:val="24"/>
          <w:szCs w:val="24"/>
        </w:rPr>
        <w:t>mployment)</w:t>
      </w:r>
      <w:r w:rsidR="005D42AB" w:rsidRPr="00955DAC">
        <w:rPr>
          <w:rFonts w:ascii="Arial" w:hAnsi="Arial" w:cs="Arial"/>
          <w:sz w:val="24"/>
          <w:szCs w:val="24"/>
        </w:rPr>
        <w:t xml:space="preserve"> and </w:t>
      </w:r>
      <w:r w:rsidR="00261D7F" w:rsidRPr="00955DAC">
        <w:rPr>
          <w:rFonts w:ascii="Arial" w:hAnsi="Arial" w:cs="Arial"/>
          <w:sz w:val="24"/>
          <w:szCs w:val="24"/>
        </w:rPr>
        <w:t>30 (Participation in cultural life, recreation and sport)</w:t>
      </w:r>
      <w:r w:rsidR="00261D7F" w:rsidRPr="00955DAC">
        <w:rPr>
          <w:rFonts w:ascii="Arial" w:hAnsi="Arial" w:cs="Arial"/>
          <w:sz w:val="24"/>
          <w:szCs w:val="24"/>
        </w:rPr>
        <w:br/>
      </w:r>
    </w:p>
    <w:p w14:paraId="1676CDD7" w14:textId="4A56B404" w:rsidR="005D42AB" w:rsidRPr="00955DAC" w:rsidRDefault="003F43DC" w:rsidP="00261D7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43DC">
        <w:rPr>
          <w:rFonts w:ascii="Arial" w:hAnsi="Arial" w:cs="Arial"/>
          <w:b/>
          <w:bCs/>
          <w:sz w:val="24"/>
          <w:szCs w:val="24"/>
        </w:rPr>
        <w:t xml:space="preserve">Part </w:t>
      </w:r>
      <w:r w:rsidR="00092D25" w:rsidRPr="003F43DC">
        <w:rPr>
          <w:rFonts w:ascii="Arial" w:hAnsi="Arial" w:cs="Arial"/>
          <w:b/>
          <w:bCs/>
          <w:sz w:val="24"/>
          <w:szCs w:val="24"/>
        </w:rPr>
        <w:t>III</w:t>
      </w:r>
      <w:r w:rsidR="00092D25">
        <w:rPr>
          <w:rFonts w:ascii="Arial" w:hAnsi="Arial" w:cs="Arial"/>
          <w:sz w:val="24"/>
          <w:szCs w:val="24"/>
        </w:rPr>
        <w:t xml:space="preserve">: </w:t>
      </w:r>
      <w:r w:rsidR="00261D7F" w:rsidRPr="00955DAC">
        <w:rPr>
          <w:rFonts w:ascii="Arial" w:hAnsi="Arial" w:cs="Arial"/>
          <w:sz w:val="24"/>
          <w:szCs w:val="24"/>
        </w:rPr>
        <w:t xml:space="preserve">The Impact of COVID-19: </w:t>
      </w:r>
      <w:r w:rsidR="005D42AB" w:rsidRPr="00955DAC">
        <w:rPr>
          <w:rFonts w:ascii="Arial" w:hAnsi="Arial" w:cs="Arial"/>
          <w:sz w:val="24"/>
          <w:szCs w:val="24"/>
        </w:rPr>
        <w:t>Article 11</w:t>
      </w:r>
      <w:r w:rsidR="00261D7F" w:rsidRPr="00955DAC">
        <w:rPr>
          <w:rFonts w:ascii="Arial" w:hAnsi="Arial" w:cs="Arial"/>
          <w:sz w:val="24"/>
          <w:szCs w:val="24"/>
        </w:rPr>
        <w:t xml:space="preserve"> (Situations of risk and humanitarian emergencies)</w:t>
      </w:r>
      <w:r w:rsidR="00261D7F" w:rsidRPr="00955DAC">
        <w:rPr>
          <w:rFonts w:ascii="Arial" w:hAnsi="Arial" w:cs="Arial"/>
          <w:sz w:val="24"/>
          <w:szCs w:val="24"/>
        </w:rPr>
        <w:br/>
      </w:r>
    </w:p>
    <w:p w14:paraId="4D0E3EAB" w14:textId="32B91821" w:rsidR="00261D7F" w:rsidRPr="00955DAC" w:rsidRDefault="003F43DC" w:rsidP="00261D7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43DC">
        <w:rPr>
          <w:rFonts w:ascii="Arial" w:hAnsi="Arial" w:cs="Arial"/>
          <w:b/>
          <w:bCs/>
          <w:sz w:val="24"/>
          <w:szCs w:val="24"/>
        </w:rPr>
        <w:t xml:space="preserve">Part </w:t>
      </w:r>
      <w:r w:rsidR="00092D25" w:rsidRPr="003F43DC">
        <w:rPr>
          <w:rFonts w:ascii="Arial" w:hAnsi="Arial" w:cs="Arial"/>
          <w:b/>
          <w:bCs/>
          <w:sz w:val="24"/>
          <w:szCs w:val="24"/>
        </w:rPr>
        <w:t>IV</w:t>
      </w:r>
      <w:r w:rsidR="00092D25">
        <w:rPr>
          <w:rFonts w:ascii="Arial" w:hAnsi="Arial" w:cs="Arial"/>
          <w:sz w:val="24"/>
          <w:szCs w:val="24"/>
        </w:rPr>
        <w:t xml:space="preserve">: </w:t>
      </w:r>
      <w:r w:rsidR="00C55E7C">
        <w:rPr>
          <w:rFonts w:ascii="Arial" w:hAnsi="Arial" w:cs="Arial"/>
          <w:sz w:val="24"/>
          <w:szCs w:val="24"/>
        </w:rPr>
        <w:t xml:space="preserve">ELCs and </w:t>
      </w:r>
      <w:r w:rsidR="00900DF7">
        <w:rPr>
          <w:rFonts w:ascii="Arial" w:hAnsi="Arial" w:cs="Arial"/>
          <w:sz w:val="24"/>
          <w:szCs w:val="24"/>
        </w:rPr>
        <w:t>Experiences of</w:t>
      </w:r>
      <w:r w:rsidR="00C55E7C">
        <w:rPr>
          <w:rFonts w:ascii="Arial" w:hAnsi="Arial" w:cs="Arial"/>
          <w:sz w:val="24"/>
          <w:szCs w:val="24"/>
        </w:rPr>
        <w:t xml:space="preserve"> Healthcare: </w:t>
      </w:r>
      <w:r w:rsidR="005D42AB" w:rsidRPr="00955DAC">
        <w:rPr>
          <w:rFonts w:ascii="Arial" w:hAnsi="Arial" w:cs="Arial"/>
          <w:sz w:val="24"/>
          <w:szCs w:val="24"/>
        </w:rPr>
        <w:t>Article 25</w:t>
      </w:r>
      <w:r w:rsidR="00261D7F" w:rsidRPr="00955DAC">
        <w:rPr>
          <w:rFonts w:ascii="Arial" w:hAnsi="Arial" w:cs="Arial"/>
          <w:sz w:val="24"/>
          <w:szCs w:val="24"/>
        </w:rPr>
        <w:t xml:space="preserve"> (Health)</w:t>
      </w:r>
      <w:r w:rsidR="00261D7F" w:rsidRPr="00955DAC">
        <w:rPr>
          <w:rFonts w:ascii="Arial" w:hAnsi="Arial" w:cs="Arial"/>
          <w:sz w:val="24"/>
          <w:szCs w:val="24"/>
        </w:rPr>
        <w:br/>
      </w:r>
    </w:p>
    <w:p w14:paraId="7118F83F" w14:textId="4141DF7B" w:rsidR="005D42AB" w:rsidRDefault="003F43DC" w:rsidP="00261D7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43DC">
        <w:rPr>
          <w:rFonts w:ascii="Arial" w:hAnsi="Arial" w:cs="Arial"/>
          <w:b/>
          <w:bCs/>
          <w:sz w:val="24"/>
          <w:szCs w:val="24"/>
        </w:rPr>
        <w:t xml:space="preserve">Part </w:t>
      </w:r>
      <w:r w:rsidR="00092D25" w:rsidRPr="003F43DC">
        <w:rPr>
          <w:rFonts w:ascii="Arial" w:hAnsi="Arial" w:cs="Arial"/>
          <w:b/>
          <w:bCs/>
          <w:sz w:val="24"/>
          <w:szCs w:val="24"/>
        </w:rPr>
        <w:t>V</w:t>
      </w:r>
      <w:r w:rsidR="00092D25">
        <w:rPr>
          <w:rFonts w:ascii="Arial" w:hAnsi="Arial" w:cs="Arial"/>
          <w:sz w:val="24"/>
          <w:szCs w:val="24"/>
        </w:rPr>
        <w:t xml:space="preserve">: </w:t>
      </w:r>
      <w:r w:rsidR="00C55E7C">
        <w:rPr>
          <w:rFonts w:ascii="Arial" w:hAnsi="Arial" w:cs="Arial"/>
          <w:sz w:val="24"/>
          <w:szCs w:val="24"/>
        </w:rPr>
        <w:t xml:space="preserve">Failures of Benefits Assessments: </w:t>
      </w:r>
      <w:r w:rsidR="005D42AB" w:rsidRPr="00955DAC">
        <w:rPr>
          <w:rFonts w:ascii="Arial" w:hAnsi="Arial" w:cs="Arial"/>
          <w:sz w:val="24"/>
          <w:szCs w:val="24"/>
        </w:rPr>
        <w:t>Article 28</w:t>
      </w:r>
      <w:r w:rsidR="00261D7F" w:rsidRPr="00955DAC">
        <w:rPr>
          <w:rFonts w:ascii="Arial" w:hAnsi="Arial" w:cs="Arial"/>
          <w:sz w:val="24"/>
          <w:szCs w:val="24"/>
        </w:rPr>
        <w:t xml:space="preserve"> (Adequate standard of living and social protection)</w:t>
      </w:r>
      <w:r w:rsidR="00F050F1">
        <w:rPr>
          <w:rFonts w:ascii="Arial" w:hAnsi="Arial" w:cs="Arial"/>
          <w:sz w:val="24"/>
          <w:szCs w:val="24"/>
        </w:rPr>
        <w:br/>
      </w:r>
    </w:p>
    <w:p w14:paraId="2ADAAAE5" w14:textId="048CEAEA" w:rsidR="00F050F1" w:rsidRPr="00955DAC" w:rsidRDefault="00F050F1" w:rsidP="00261D7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Conclusion</w:t>
      </w:r>
    </w:p>
    <w:p w14:paraId="26212F71" w14:textId="77777777" w:rsidR="005D42AB" w:rsidRDefault="005D42AB"/>
    <w:sectPr w:rsidR="005D42A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7EC51" w14:textId="77777777" w:rsidR="001E26B3" w:rsidRDefault="001E26B3" w:rsidP="00BB27AC">
      <w:r>
        <w:separator/>
      </w:r>
    </w:p>
  </w:endnote>
  <w:endnote w:type="continuationSeparator" w:id="0">
    <w:p w14:paraId="4E848D5C" w14:textId="77777777" w:rsidR="001E26B3" w:rsidRDefault="001E26B3" w:rsidP="00BB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1C21E" w14:textId="77777777" w:rsidR="001E26B3" w:rsidRDefault="001E26B3" w:rsidP="00BB27AC">
      <w:r>
        <w:separator/>
      </w:r>
    </w:p>
  </w:footnote>
  <w:footnote w:type="continuationSeparator" w:id="0">
    <w:p w14:paraId="2928FE7C" w14:textId="77777777" w:rsidR="001E26B3" w:rsidRDefault="001E26B3" w:rsidP="00BB27AC">
      <w:r>
        <w:continuationSeparator/>
      </w:r>
    </w:p>
  </w:footnote>
  <w:footnote w:id="1">
    <w:p w14:paraId="35F9D838" w14:textId="10BE228D" w:rsidR="00941745" w:rsidRPr="00B82586" w:rsidRDefault="00941745" w:rsidP="00941745">
      <w:pPr>
        <w:rPr>
          <w:rFonts w:ascii="Arial" w:hAnsi="Arial" w:cs="Arial"/>
          <w:sz w:val="20"/>
          <w:szCs w:val="20"/>
        </w:rPr>
      </w:pPr>
      <w:r w:rsidRPr="00B82586">
        <w:rPr>
          <w:rStyle w:val="FootnoteReference"/>
          <w:rFonts w:ascii="Arial" w:hAnsi="Arial" w:cs="Arial"/>
          <w:sz w:val="20"/>
          <w:szCs w:val="20"/>
        </w:rPr>
        <w:footnoteRef/>
      </w:r>
      <w:r w:rsidR="00B82586" w:rsidRPr="00B82586">
        <w:rPr>
          <w:rFonts w:ascii="Arial" w:hAnsi="Arial" w:cs="Arial"/>
          <w:sz w:val="20"/>
          <w:szCs w:val="20"/>
        </w:rPr>
        <w:t xml:space="preserve"> </w:t>
      </w:r>
      <w:r w:rsidRPr="00B82586">
        <w:rPr>
          <w:rFonts w:ascii="Arial" w:hAnsi="Arial" w:cs="Arial"/>
          <w:sz w:val="20"/>
          <w:szCs w:val="20"/>
        </w:rPr>
        <w:t xml:space="preserve">This is based on the </w:t>
      </w:r>
      <w:r w:rsidR="00B82586">
        <w:rPr>
          <w:rFonts w:ascii="Arial" w:hAnsi="Arial" w:cs="Arial"/>
          <w:sz w:val="20"/>
          <w:szCs w:val="20"/>
        </w:rPr>
        <w:t>report</w:t>
      </w:r>
      <w:r w:rsidRPr="00B82586">
        <w:rPr>
          <w:rFonts w:ascii="Arial" w:hAnsi="Arial" w:cs="Arial"/>
          <w:sz w:val="20"/>
          <w:szCs w:val="20"/>
        </w:rPr>
        <w:t xml:space="preserve"> by the DWP that 1 in 3 of the 14 million disabled people of working age in the UK lives with ‘impairment of stamina breathing or fatigue’. Department for Work and Pensions (2017/18). </w:t>
      </w:r>
      <w:r w:rsidRPr="00B82586">
        <w:rPr>
          <w:rFonts w:ascii="Arial" w:hAnsi="Arial" w:cs="Arial"/>
          <w:i/>
          <w:iCs/>
          <w:sz w:val="20"/>
          <w:szCs w:val="20"/>
        </w:rPr>
        <w:t>Family Resources Survey</w:t>
      </w:r>
      <w:r w:rsidRPr="00B82586">
        <w:rPr>
          <w:rFonts w:ascii="Arial" w:hAnsi="Arial" w:cs="Arial"/>
          <w:sz w:val="20"/>
          <w:szCs w:val="20"/>
        </w:rPr>
        <w:t xml:space="preserve">. </w:t>
      </w:r>
    </w:p>
  </w:footnote>
  <w:footnote w:id="2">
    <w:p w14:paraId="0F1B37FC" w14:textId="5BDE8D88" w:rsidR="00B82586" w:rsidRPr="00B82586" w:rsidRDefault="00B82586">
      <w:pPr>
        <w:pStyle w:val="FootnoteText"/>
        <w:rPr>
          <w:rFonts w:ascii="Arial" w:hAnsi="Arial" w:cs="Arial"/>
        </w:rPr>
      </w:pPr>
      <w:r w:rsidRPr="00B82586">
        <w:rPr>
          <w:rStyle w:val="FootnoteReference"/>
          <w:rFonts w:ascii="Arial" w:hAnsi="Arial" w:cs="Arial"/>
        </w:rPr>
        <w:footnoteRef/>
      </w:r>
      <w:r w:rsidRPr="00B82586">
        <w:rPr>
          <w:rFonts w:ascii="Arial" w:hAnsi="Arial" w:cs="Arial"/>
        </w:rPr>
        <w:t xml:space="preserve"> </w:t>
      </w:r>
      <w:r w:rsidRPr="00B82586">
        <w:rPr>
          <w:rFonts w:ascii="Arial" w:hAnsi="Arial" w:cs="Arial"/>
          <w:color w:val="000000"/>
        </w:rPr>
        <w:t xml:space="preserve">Hale, C., Benstead, S., Lyus, J., Odell, E. &amp; Ruddock, A. (2020) </w:t>
      </w:r>
      <w:r w:rsidRPr="00B82586">
        <w:rPr>
          <w:rFonts w:ascii="Arial" w:hAnsi="Arial" w:cs="Arial"/>
          <w:i/>
          <w:iCs/>
          <w:color w:val="000000"/>
        </w:rPr>
        <w:t>Energy impairment and disability inclusion</w:t>
      </w:r>
      <w:r w:rsidRPr="00B82586">
        <w:rPr>
          <w:rFonts w:ascii="Arial" w:hAnsi="Arial" w:cs="Arial"/>
          <w:color w:val="000000"/>
        </w:rPr>
        <w:t xml:space="preserve">. Centre for Welfare Reform. </w:t>
      </w:r>
      <w:hyperlink r:id="rId1" w:history="1">
        <w:r w:rsidRPr="00B82586">
          <w:rPr>
            <w:rStyle w:val="Hyperlink"/>
            <w:rFonts w:ascii="Arial" w:hAnsi="Arial" w:cs="Arial"/>
            <w:color w:val="1155CC"/>
          </w:rPr>
          <w:t>https://chronicillnessinclusion.org.uk/wp-content/uploads/2021/04/energy-impairment-and-disability-inclusion.pdf</w:t>
        </w:r>
      </w:hyperlink>
      <w:r w:rsidRPr="00B82586">
        <w:rPr>
          <w:rFonts w:ascii="Arial" w:hAnsi="Arial" w:cs="Arial"/>
          <w:color w:val="000000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97CF" w14:textId="47A9B264" w:rsidR="003F43DC" w:rsidRPr="003F43DC" w:rsidRDefault="003F43DC">
    <w:pPr>
      <w:pStyle w:val="Header"/>
      <w:rPr>
        <w:rFonts w:ascii="Arial" w:hAnsi="Arial" w:cs="Arial"/>
      </w:rPr>
    </w:pPr>
    <w:r w:rsidRPr="003F43DC">
      <w:rPr>
        <w:rFonts w:ascii="Arial" w:hAnsi="Arial" w:cs="Arial"/>
      </w:rPr>
      <w:t>Chronic Illness Inclusion’s Submission to the UNCRPD Shadow Report Introduction</w:t>
    </w:r>
  </w:p>
  <w:p w14:paraId="3F7BE84C" w14:textId="77777777" w:rsidR="003F43DC" w:rsidRDefault="003F43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951EC"/>
    <w:multiLevelType w:val="hybridMultilevel"/>
    <w:tmpl w:val="D37A9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56D17"/>
    <w:multiLevelType w:val="hybridMultilevel"/>
    <w:tmpl w:val="E39C8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AC"/>
    <w:rsid w:val="00036795"/>
    <w:rsid w:val="00092D25"/>
    <w:rsid w:val="000B5EE3"/>
    <w:rsid w:val="000F689A"/>
    <w:rsid w:val="001658B9"/>
    <w:rsid w:val="001E26B3"/>
    <w:rsid w:val="002418D5"/>
    <w:rsid w:val="00261D7F"/>
    <w:rsid w:val="0038173F"/>
    <w:rsid w:val="003F19BB"/>
    <w:rsid w:val="003F43DC"/>
    <w:rsid w:val="004542C4"/>
    <w:rsid w:val="00461C98"/>
    <w:rsid w:val="005D42AB"/>
    <w:rsid w:val="00665861"/>
    <w:rsid w:val="0067035A"/>
    <w:rsid w:val="006C3149"/>
    <w:rsid w:val="00745ADC"/>
    <w:rsid w:val="00883A14"/>
    <w:rsid w:val="008F6932"/>
    <w:rsid w:val="00900DF7"/>
    <w:rsid w:val="00941745"/>
    <w:rsid w:val="00941873"/>
    <w:rsid w:val="00955DAC"/>
    <w:rsid w:val="00A860D2"/>
    <w:rsid w:val="00B82586"/>
    <w:rsid w:val="00BB27AC"/>
    <w:rsid w:val="00C55E7C"/>
    <w:rsid w:val="00CA117C"/>
    <w:rsid w:val="00D4709C"/>
    <w:rsid w:val="00D96BE5"/>
    <w:rsid w:val="00E34A08"/>
    <w:rsid w:val="00EF1F2D"/>
    <w:rsid w:val="00F050F1"/>
    <w:rsid w:val="00F3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691E95"/>
  <w15:chartTrackingRefBased/>
  <w15:docId w15:val="{C4C8ADE2-EE9F-4524-89B3-B4EA4D9B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7AC"/>
    <w:pPr>
      <w:spacing w:after="0" w:line="240" w:lineRule="auto"/>
    </w:pPr>
    <w:rPr>
      <w:rFonts w:eastAsiaTheme="minorEastAsia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B27AC"/>
    <w:pPr>
      <w:keepNext/>
      <w:spacing w:before="40"/>
      <w:outlineLvl w:val="1"/>
    </w:pPr>
    <w:rPr>
      <w:rFonts w:ascii="Calibri Light" w:eastAsia="Times New Roman" w:hAnsi="Calibri Light" w:cs="Calibri Light"/>
      <w:b/>
      <w:bCs/>
      <w:color w:val="C45911"/>
      <w:sz w:val="28"/>
      <w:szCs w:val="28"/>
      <w:lang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B27AC"/>
    <w:pPr>
      <w:keepNext/>
      <w:spacing w:before="40"/>
      <w:outlineLvl w:val="2"/>
    </w:pPr>
    <w:rPr>
      <w:rFonts w:ascii="Calibri Light" w:eastAsia="Times New Roman" w:hAnsi="Calibri Light" w:cs="Calibri Light"/>
      <w:b/>
      <w:bCs/>
      <w:color w:val="538135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B27AC"/>
    <w:rPr>
      <w:rFonts w:ascii="Calibri Light" w:eastAsia="Times New Roman" w:hAnsi="Calibri Light" w:cs="Calibri Light"/>
      <w:b/>
      <w:bCs/>
      <w:color w:val="C4591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27AC"/>
    <w:rPr>
      <w:rFonts w:ascii="Calibri Light" w:eastAsia="Times New Roman" w:hAnsi="Calibri Light" w:cs="Calibri Light"/>
      <w:b/>
      <w:bCs/>
      <w:color w:val="538135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7AC"/>
    <w:pPr>
      <w:spacing w:after="160" w:line="252" w:lineRule="auto"/>
      <w:ind w:left="720"/>
      <w:contextualSpacing/>
    </w:pPr>
    <w:rPr>
      <w:rFonts w:ascii="Calibri" w:hAnsi="Calibri" w:cs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B27A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03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035A"/>
    <w:rPr>
      <w:rFonts w:eastAsiaTheme="minorEastAsia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6703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3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43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3D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F43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3DC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hronicillnessinclusion.org.uk/wp-content/uploads/2021/04/energy-impairment-and-disability-inclus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F59D1-D29B-48E0-A0B7-03D0BB3D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Leonora Gunn</dc:creator>
  <cp:keywords/>
  <dc:description/>
  <cp:lastModifiedBy>Leonora Gunn</cp:lastModifiedBy>
  <cp:revision>10</cp:revision>
  <dcterms:created xsi:type="dcterms:W3CDTF">2022-02-28T17:56:00Z</dcterms:created>
  <dcterms:modified xsi:type="dcterms:W3CDTF">2022-03-01T15:20:00Z</dcterms:modified>
</cp:coreProperties>
</file>