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789F" w14:textId="2DA01B7F" w:rsidR="00312F61" w:rsidRPr="00C3607E" w:rsidRDefault="00C3607E">
      <w:pPr>
        <w:rPr>
          <w:rFonts w:eastAsia="Calibri"/>
          <w:sz w:val="52"/>
          <w:szCs w:val="52"/>
        </w:rPr>
      </w:pPr>
      <w:r>
        <w:rPr>
          <w:rFonts w:eastAsia="Calibri"/>
          <w:sz w:val="52"/>
          <w:szCs w:val="52"/>
        </w:rPr>
        <w:t xml:space="preserve">Remote Access and Participation: </w:t>
      </w:r>
      <w:r w:rsidR="00312F61" w:rsidRPr="00C3607E">
        <w:rPr>
          <w:rFonts w:eastAsia="Calibri"/>
          <w:sz w:val="52"/>
          <w:szCs w:val="52"/>
        </w:rPr>
        <w:t>Articles 9 (Accessibility)</w:t>
      </w:r>
      <w:r w:rsidR="0058512F" w:rsidRPr="00C3607E">
        <w:rPr>
          <w:rFonts w:eastAsia="Calibri"/>
          <w:sz w:val="52"/>
          <w:szCs w:val="52"/>
        </w:rPr>
        <w:t xml:space="preserve">, </w:t>
      </w:r>
      <w:r w:rsidR="00312F61" w:rsidRPr="00C3607E">
        <w:rPr>
          <w:rFonts w:eastAsia="Calibri"/>
          <w:sz w:val="52"/>
          <w:szCs w:val="52"/>
        </w:rPr>
        <w:t xml:space="preserve">27 (Work and Employment) </w:t>
      </w:r>
      <w:r w:rsidR="0058512F" w:rsidRPr="00C3607E">
        <w:rPr>
          <w:rFonts w:eastAsia="Calibri"/>
          <w:sz w:val="52"/>
          <w:szCs w:val="52"/>
        </w:rPr>
        <w:t xml:space="preserve">and 30 (Participation in cultural life, </w:t>
      </w:r>
      <w:proofErr w:type="gramStart"/>
      <w:r w:rsidR="0058512F" w:rsidRPr="00C3607E">
        <w:rPr>
          <w:rFonts w:eastAsia="Calibri"/>
          <w:sz w:val="52"/>
          <w:szCs w:val="52"/>
        </w:rPr>
        <w:t>recreation</w:t>
      </w:r>
      <w:proofErr w:type="gramEnd"/>
      <w:r w:rsidR="0058512F" w:rsidRPr="00C3607E">
        <w:rPr>
          <w:rFonts w:eastAsia="Calibri"/>
          <w:sz w:val="52"/>
          <w:szCs w:val="52"/>
        </w:rPr>
        <w:t xml:space="preserve"> and sport)</w:t>
      </w:r>
    </w:p>
    <w:p w14:paraId="36393C16" w14:textId="77777777" w:rsidR="00BE6BE5" w:rsidRDefault="00BE6BE5">
      <w:pPr>
        <w:rPr>
          <w:rFonts w:ascii="Calibri" w:eastAsia="Calibri" w:hAnsi="Calibri" w:cs="Calibri"/>
          <w:u w:val="single"/>
        </w:rPr>
      </w:pPr>
    </w:p>
    <w:p w14:paraId="1C6E58CB" w14:textId="05CBB2F5" w:rsidR="00973078" w:rsidRDefault="00312F61">
      <w:pPr>
        <w:rPr>
          <w:rFonts w:eastAsia="Calibri"/>
          <w:sz w:val="24"/>
          <w:szCs w:val="24"/>
        </w:rPr>
      </w:pPr>
      <w:r>
        <w:rPr>
          <w:rFonts w:eastAsia="Calibri"/>
          <w:sz w:val="24"/>
          <w:szCs w:val="24"/>
        </w:rPr>
        <w:t>During the pandemic, the government and many private businesses adapted to enable remote participatio</w:t>
      </w:r>
      <w:r w:rsidR="0058512F">
        <w:rPr>
          <w:rFonts w:eastAsia="Calibri"/>
          <w:sz w:val="24"/>
          <w:szCs w:val="24"/>
        </w:rPr>
        <w:t>n</w:t>
      </w:r>
      <w:r>
        <w:rPr>
          <w:rFonts w:eastAsia="Calibri"/>
          <w:sz w:val="24"/>
          <w:szCs w:val="24"/>
        </w:rPr>
        <w:t xml:space="preserve">. </w:t>
      </w:r>
      <w:r w:rsidR="000564F3">
        <w:rPr>
          <w:rFonts w:eastAsia="Calibri"/>
          <w:sz w:val="24"/>
          <w:szCs w:val="24"/>
        </w:rPr>
        <w:t>Many p</w:t>
      </w:r>
      <w:r w:rsidR="0058512F">
        <w:rPr>
          <w:rFonts w:eastAsia="Calibri"/>
          <w:sz w:val="24"/>
          <w:szCs w:val="24"/>
        </w:rPr>
        <w:t>eople with energy limiting c</w:t>
      </w:r>
      <w:r w:rsidR="00A36E9C">
        <w:rPr>
          <w:rFonts w:eastAsia="Calibri"/>
          <w:sz w:val="24"/>
          <w:szCs w:val="24"/>
        </w:rPr>
        <w:t>onditions</w:t>
      </w:r>
      <w:r w:rsidR="0058512F">
        <w:rPr>
          <w:rFonts w:eastAsia="Calibri"/>
          <w:sz w:val="24"/>
          <w:szCs w:val="24"/>
        </w:rPr>
        <w:t xml:space="preserve"> (ELCs), many of whom are at least partially housebound,</w:t>
      </w:r>
      <w:r w:rsidR="0058512F">
        <w:rPr>
          <w:rStyle w:val="FootnoteReference"/>
          <w:rFonts w:eastAsia="Calibri"/>
          <w:sz w:val="24"/>
          <w:szCs w:val="24"/>
        </w:rPr>
        <w:footnoteReference w:id="1"/>
      </w:r>
      <w:r w:rsidR="00E478FC">
        <w:rPr>
          <w:rFonts w:eastAsia="Calibri"/>
          <w:sz w:val="24"/>
          <w:szCs w:val="24"/>
          <w:vertAlign w:val="superscript"/>
        </w:rPr>
        <w:t xml:space="preserve">, </w:t>
      </w:r>
      <w:r w:rsidR="00E478FC">
        <w:rPr>
          <w:rStyle w:val="FootnoteReference"/>
          <w:rFonts w:eastAsia="Calibri"/>
          <w:sz w:val="24"/>
          <w:szCs w:val="24"/>
        </w:rPr>
        <w:footnoteReference w:id="2"/>
      </w:r>
      <w:r w:rsidR="0058512F">
        <w:rPr>
          <w:rFonts w:eastAsia="Calibri"/>
          <w:sz w:val="24"/>
          <w:szCs w:val="24"/>
        </w:rPr>
        <w:t xml:space="preserve"> were frustrated that it took such extreme circumstances to facilitate the remote access to work and cultural life that they had been demanding for so long</w:t>
      </w:r>
      <w:r w:rsidR="00C3607E">
        <w:rPr>
          <w:rFonts w:eastAsia="Calibri"/>
          <w:sz w:val="24"/>
          <w:szCs w:val="24"/>
        </w:rPr>
        <w:t>,</w:t>
      </w:r>
      <w:r w:rsidR="0058512F">
        <w:rPr>
          <w:rFonts w:eastAsia="Calibri"/>
          <w:sz w:val="24"/>
          <w:szCs w:val="24"/>
        </w:rPr>
        <w:t xml:space="preserve"> and were</w:t>
      </w:r>
      <w:r w:rsidR="00E478FC">
        <w:rPr>
          <w:rFonts w:eastAsia="Calibri"/>
          <w:sz w:val="24"/>
          <w:szCs w:val="24"/>
        </w:rPr>
        <w:t xml:space="preserve"> </w:t>
      </w:r>
      <w:r w:rsidR="0058512F">
        <w:rPr>
          <w:rFonts w:eastAsia="Calibri"/>
          <w:sz w:val="24"/>
          <w:szCs w:val="24"/>
        </w:rPr>
        <w:t>rightly concerned that this access might evaporate</w:t>
      </w:r>
      <w:r w:rsidR="00A64670">
        <w:rPr>
          <w:rFonts w:eastAsia="Calibri"/>
          <w:sz w:val="24"/>
          <w:szCs w:val="24"/>
        </w:rPr>
        <w:t xml:space="preserve"> as soon as able-bodied people did not need it.</w:t>
      </w:r>
      <w:r w:rsidR="009A1BE9">
        <w:rPr>
          <w:rStyle w:val="FootnoteReference"/>
          <w:rFonts w:eastAsia="Calibri"/>
          <w:sz w:val="24"/>
          <w:szCs w:val="24"/>
        </w:rPr>
        <w:footnoteReference w:id="3"/>
      </w:r>
      <w:r w:rsidR="000564F3">
        <w:rPr>
          <w:rFonts w:eastAsia="Calibri"/>
          <w:sz w:val="24"/>
          <w:szCs w:val="24"/>
        </w:rPr>
        <w:t xml:space="preserve"> In this section we discuss the importance of remote participation as an accessibility measure in regard to both employment and recreational activities.</w:t>
      </w:r>
    </w:p>
    <w:p w14:paraId="1D0C14FF" w14:textId="738E42DD" w:rsidR="00BC3242" w:rsidRDefault="00BC3242">
      <w:pPr>
        <w:rPr>
          <w:rFonts w:eastAsia="Calibri"/>
          <w:sz w:val="24"/>
          <w:szCs w:val="24"/>
        </w:rPr>
      </w:pPr>
    </w:p>
    <w:p w14:paraId="33A81C63" w14:textId="3E48F75A" w:rsidR="00BC3242" w:rsidRPr="00C3607E" w:rsidRDefault="00566F1E">
      <w:pPr>
        <w:rPr>
          <w:rFonts w:eastAsia="Calibri"/>
          <w:sz w:val="40"/>
          <w:szCs w:val="40"/>
        </w:rPr>
      </w:pPr>
      <w:r w:rsidRPr="00C3607E">
        <w:rPr>
          <w:rFonts w:eastAsia="Calibri"/>
          <w:sz w:val="40"/>
          <w:szCs w:val="40"/>
        </w:rPr>
        <w:t xml:space="preserve">Remote </w:t>
      </w:r>
      <w:r w:rsidR="007027D1" w:rsidRPr="00C3607E">
        <w:rPr>
          <w:rFonts w:eastAsia="Calibri"/>
          <w:sz w:val="40"/>
          <w:szCs w:val="40"/>
        </w:rPr>
        <w:t>a</w:t>
      </w:r>
      <w:r w:rsidRPr="00C3607E">
        <w:rPr>
          <w:rFonts w:eastAsia="Calibri"/>
          <w:sz w:val="40"/>
          <w:szCs w:val="40"/>
        </w:rPr>
        <w:t>ccess</w:t>
      </w:r>
      <w:r w:rsidR="005212A9" w:rsidRPr="00C3607E">
        <w:rPr>
          <w:rFonts w:eastAsia="Calibri"/>
          <w:sz w:val="40"/>
          <w:szCs w:val="40"/>
        </w:rPr>
        <w:t xml:space="preserve"> and </w:t>
      </w:r>
      <w:r w:rsidR="007027D1" w:rsidRPr="00C3607E">
        <w:rPr>
          <w:rFonts w:eastAsia="Calibri"/>
          <w:sz w:val="40"/>
          <w:szCs w:val="40"/>
        </w:rPr>
        <w:t>w</w:t>
      </w:r>
      <w:r w:rsidR="005212A9" w:rsidRPr="00C3607E">
        <w:rPr>
          <w:rFonts w:eastAsia="Calibri"/>
          <w:sz w:val="40"/>
          <w:szCs w:val="40"/>
        </w:rPr>
        <w:t>ork</w:t>
      </w:r>
    </w:p>
    <w:p w14:paraId="57BE26F4" w14:textId="335037FF" w:rsidR="00973078" w:rsidRDefault="00973078">
      <w:pPr>
        <w:rPr>
          <w:rFonts w:eastAsia="Calibri"/>
          <w:sz w:val="24"/>
          <w:szCs w:val="24"/>
        </w:rPr>
      </w:pPr>
    </w:p>
    <w:p w14:paraId="4FD2DA23" w14:textId="69C582F0" w:rsidR="007027D1" w:rsidRDefault="005212A9">
      <w:pPr>
        <w:rPr>
          <w:rFonts w:eastAsia="Calibri"/>
          <w:sz w:val="24"/>
          <w:szCs w:val="24"/>
        </w:rPr>
      </w:pPr>
      <w:r>
        <w:rPr>
          <w:rFonts w:eastAsia="Calibri"/>
          <w:sz w:val="24"/>
          <w:szCs w:val="24"/>
        </w:rPr>
        <w:t>A</w:t>
      </w:r>
      <w:r w:rsidR="00844DCB">
        <w:rPr>
          <w:rFonts w:eastAsia="Calibri"/>
          <w:sz w:val="24"/>
          <w:szCs w:val="24"/>
        </w:rPr>
        <w:t xml:space="preserve"> survey</w:t>
      </w:r>
      <w:r>
        <w:rPr>
          <w:rFonts w:eastAsia="Calibri"/>
          <w:sz w:val="24"/>
          <w:szCs w:val="24"/>
        </w:rPr>
        <w:t xml:space="preserve"> conducted</w:t>
      </w:r>
      <w:r w:rsidR="00844DCB">
        <w:rPr>
          <w:rFonts w:eastAsia="Calibri"/>
          <w:sz w:val="24"/>
          <w:szCs w:val="24"/>
        </w:rPr>
        <w:t xml:space="preserve"> by the Chronic Illness Inclusion Project</w:t>
      </w:r>
      <w:r>
        <w:rPr>
          <w:rFonts w:eastAsia="Calibri"/>
          <w:sz w:val="24"/>
          <w:szCs w:val="24"/>
        </w:rPr>
        <w:t xml:space="preserve"> before the pandemic</w:t>
      </w:r>
      <w:r w:rsidR="00844DCB">
        <w:rPr>
          <w:rFonts w:eastAsia="Calibri"/>
          <w:sz w:val="24"/>
          <w:szCs w:val="24"/>
        </w:rPr>
        <w:t xml:space="preserve"> found that 72% of respondents </w:t>
      </w:r>
      <w:r w:rsidR="00844DCB" w:rsidRPr="00844DCB">
        <w:rPr>
          <w:rFonts w:eastAsia="Calibri"/>
          <w:sz w:val="24"/>
          <w:szCs w:val="24"/>
        </w:rPr>
        <w:t>who had requested remote access were denied this adjustment.</w:t>
      </w:r>
      <w:r w:rsidR="004520FD" w:rsidRPr="00844DCB">
        <w:rPr>
          <w:rFonts w:eastAsia="Calibri"/>
          <w:sz w:val="24"/>
          <w:szCs w:val="24"/>
          <w:vertAlign w:val="superscript"/>
        </w:rPr>
        <w:footnoteReference w:id="4"/>
      </w:r>
      <w:r w:rsidR="00844DCB">
        <w:rPr>
          <w:rFonts w:eastAsia="Calibri"/>
          <w:sz w:val="24"/>
          <w:szCs w:val="24"/>
        </w:rPr>
        <w:t xml:space="preserve"> </w:t>
      </w:r>
      <w:r w:rsidR="00BC3242">
        <w:rPr>
          <w:rFonts w:eastAsia="Calibri"/>
          <w:sz w:val="24"/>
          <w:szCs w:val="24"/>
        </w:rPr>
        <w:t>This survey also found</w:t>
      </w:r>
      <w:r w:rsidR="004520FD" w:rsidRPr="00BC3242">
        <w:rPr>
          <w:rFonts w:eastAsia="Calibri"/>
          <w:sz w:val="24"/>
          <w:szCs w:val="24"/>
        </w:rPr>
        <w:t xml:space="preserve"> that there were three main barriers experienced by </w:t>
      </w:r>
      <w:r w:rsidR="00BC3242">
        <w:rPr>
          <w:rFonts w:eastAsia="Calibri"/>
          <w:sz w:val="24"/>
          <w:szCs w:val="24"/>
        </w:rPr>
        <w:t>people</w:t>
      </w:r>
      <w:r w:rsidR="004520FD" w:rsidRPr="00BC3242">
        <w:rPr>
          <w:rFonts w:eastAsia="Calibri"/>
          <w:sz w:val="24"/>
          <w:szCs w:val="24"/>
        </w:rPr>
        <w:t xml:space="preserve"> with ELCs when requesting and using remote access: attitudinal barriers, organisational barriers, and technological barriers. </w:t>
      </w:r>
      <w:r>
        <w:rPr>
          <w:rFonts w:eastAsia="Calibri"/>
          <w:sz w:val="24"/>
          <w:szCs w:val="24"/>
        </w:rPr>
        <w:t xml:space="preserve">Many people with ELCs encountered disbelief about their impairment, leading them to doubt their legal status as disabled people and </w:t>
      </w:r>
      <w:r w:rsidR="00C3607E">
        <w:rPr>
          <w:rFonts w:eastAsia="Calibri"/>
          <w:sz w:val="24"/>
          <w:szCs w:val="24"/>
        </w:rPr>
        <w:t xml:space="preserve">consequently </w:t>
      </w:r>
      <w:r>
        <w:rPr>
          <w:rFonts w:eastAsia="Calibri"/>
          <w:sz w:val="24"/>
          <w:szCs w:val="24"/>
        </w:rPr>
        <w:t xml:space="preserve">their right to accessibility. </w:t>
      </w:r>
      <w:r w:rsidRPr="00BC3242">
        <w:rPr>
          <w:rFonts w:eastAsia="Calibri"/>
          <w:sz w:val="24"/>
          <w:szCs w:val="24"/>
        </w:rPr>
        <w:t xml:space="preserve">These attitudinal beliefs often seep into organisational barriers, as participants </w:t>
      </w:r>
      <w:r>
        <w:rPr>
          <w:rFonts w:eastAsia="Calibri"/>
          <w:sz w:val="24"/>
          <w:szCs w:val="24"/>
        </w:rPr>
        <w:t>reported</w:t>
      </w:r>
      <w:r w:rsidRPr="00BC3242">
        <w:rPr>
          <w:rFonts w:eastAsia="Calibri"/>
          <w:sz w:val="24"/>
          <w:szCs w:val="24"/>
        </w:rPr>
        <w:t xml:space="preserve"> that “feeling like a minority makes it harder to be heard or get my points acros</w:t>
      </w:r>
      <w:r w:rsidR="00566F1E">
        <w:rPr>
          <w:rFonts w:eastAsia="Calibri"/>
          <w:sz w:val="24"/>
          <w:szCs w:val="24"/>
        </w:rPr>
        <w:t>s”.</w:t>
      </w:r>
      <w:r w:rsidR="008D4527">
        <w:rPr>
          <w:rStyle w:val="FootnoteReference"/>
          <w:rFonts w:eastAsia="Calibri"/>
          <w:sz w:val="24"/>
          <w:szCs w:val="24"/>
        </w:rPr>
        <w:footnoteReference w:id="5"/>
      </w:r>
      <w:r w:rsidR="00566F1E">
        <w:rPr>
          <w:rFonts w:eastAsia="Calibri"/>
          <w:sz w:val="24"/>
          <w:szCs w:val="24"/>
        </w:rPr>
        <w:t xml:space="preserve"> Another </w:t>
      </w:r>
      <w:r w:rsidR="00566F1E">
        <w:rPr>
          <w:rFonts w:eastAsia="Calibri"/>
          <w:sz w:val="24"/>
          <w:szCs w:val="24"/>
        </w:rPr>
        <w:lastRenderedPageBreak/>
        <w:t xml:space="preserve">organisational barrier is the size of meetings, as it is harder to hear and see what is going on over video conferencing in a large meeting. </w:t>
      </w:r>
      <w:r w:rsidRPr="00BC3242">
        <w:rPr>
          <w:rFonts w:eastAsia="Calibri"/>
          <w:sz w:val="24"/>
          <w:szCs w:val="24"/>
        </w:rPr>
        <w:t xml:space="preserve">Technological access was also a major issue, with participants regularly having their requests dismissed due to vague bureaucratic reasons, poor internet connections at venues, and an unwillingness from organisers to make an event accessible, with one participant being told </w:t>
      </w:r>
      <w:r>
        <w:rPr>
          <w:rFonts w:eastAsia="Calibri"/>
          <w:sz w:val="24"/>
          <w:szCs w:val="24"/>
        </w:rPr>
        <w:t>“</w:t>
      </w:r>
      <w:r w:rsidRPr="00BC3242">
        <w:rPr>
          <w:rFonts w:eastAsia="Calibri"/>
          <w:sz w:val="24"/>
          <w:szCs w:val="24"/>
        </w:rPr>
        <w:t>it’s too disruptive to have mixed methods</w:t>
      </w:r>
      <w:r>
        <w:rPr>
          <w:rFonts w:eastAsia="Calibri"/>
          <w:sz w:val="24"/>
          <w:szCs w:val="24"/>
        </w:rPr>
        <w:t>”</w:t>
      </w:r>
      <w:r w:rsidR="00C3607E">
        <w:rPr>
          <w:rFonts w:eastAsia="Calibri"/>
          <w:sz w:val="24"/>
          <w:szCs w:val="24"/>
        </w:rPr>
        <w:t xml:space="preserve"> of both remote</w:t>
      </w:r>
      <w:r w:rsidRPr="00BC3242">
        <w:rPr>
          <w:rFonts w:eastAsia="Calibri"/>
          <w:sz w:val="24"/>
          <w:szCs w:val="24"/>
        </w:rPr>
        <w:t xml:space="preserve"> and face to face</w:t>
      </w:r>
      <w:r w:rsidR="00C3607E">
        <w:rPr>
          <w:rFonts w:eastAsia="Calibri"/>
          <w:sz w:val="24"/>
          <w:szCs w:val="24"/>
        </w:rPr>
        <w:t xml:space="preserve"> participation.</w:t>
      </w:r>
      <w:r w:rsidR="008D4527">
        <w:rPr>
          <w:rStyle w:val="FootnoteReference"/>
          <w:rFonts w:eastAsia="Calibri"/>
          <w:sz w:val="24"/>
          <w:szCs w:val="24"/>
        </w:rPr>
        <w:footnoteReference w:id="6"/>
      </w:r>
    </w:p>
    <w:p w14:paraId="20A0FA48" w14:textId="77777777" w:rsidR="007027D1" w:rsidRDefault="007027D1">
      <w:pPr>
        <w:rPr>
          <w:rFonts w:eastAsia="Calibri"/>
          <w:sz w:val="24"/>
          <w:szCs w:val="24"/>
        </w:rPr>
      </w:pPr>
    </w:p>
    <w:p w14:paraId="68FC3EE2" w14:textId="54CE6048" w:rsidR="00716638" w:rsidRDefault="00566F1E">
      <w:pPr>
        <w:rPr>
          <w:rFonts w:eastAsia="Calibri"/>
          <w:sz w:val="24"/>
          <w:szCs w:val="24"/>
        </w:rPr>
      </w:pPr>
      <w:r>
        <w:rPr>
          <w:rFonts w:eastAsia="Calibri"/>
          <w:sz w:val="24"/>
          <w:szCs w:val="24"/>
        </w:rPr>
        <w:t xml:space="preserve">The widespread rollout of remote participation in both the public and private sector demonstrates that these adjustments could have been put in place all along. </w:t>
      </w:r>
      <w:r w:rsidR="007027D1">
        <w:rPr>
          <w:rFonts w:eastAsia="Calibri"/>
          <w:sz w:val="24"/>
          <w:szCs w:val="24"/>
        </w:rPr>
        <w:t xml:space="preserve">Rather than pushing to return to life as ‘normal’ with work in the office, remote access in the workplace should be understood as an issue of </w:t>
      </w:r>
      <w:r w:rsidR="00C3607E">
        <w:rPr>
          <w:rFonts w:eastAsia="Calibri"/>
          <w:sz w:val="24"/>
          <w:szCs w:val="24"/>
        </w:rPr>
        <w:t>accessibility</w:t>
      </w:r>
      <w:r w:rsidR="007027D1">
        <w:rPr>
          <w:rFonts w:eastAsia="Calibri"/>
          <w:sz w:val="24"/>
          <w:szCs w:val="24"/>
        </w:rPr>
        <w:t xml:space="preserve"> for people w</w:t>
      </w:r>
      <w:r w:rsidR="008D4527">
        <w:rPr>
          <w:rFonts w:eastAsia="Calibri"/>
          <w:sz w:val="24"/>
          <w:szCs w:val="24"/>
        </w:rPr>
        <w:t>ith ELCs</w:t>
      </w:r>
      <w:r w:rsidR="007027D1">
        <w:rPr>
          <w:rFonts w:eastAsia="Calibri"/>
          <w:sz w:val="24"/>
          <w:szCs w:val="24"/>
        </w:rPr>
        <w:t>.</w:t>
      </w:r>
    </w:p>
    <w:p w14:paraId="750DF0F7" w14:textId="32E231C3" w:rsidR="00C3607E" w:rsidRDefault="00C3607E">
      <w:pPr>
        <w:rPr>
          <w:rFonts w:eastAsia="Calibri"/>
          <w:sz w:val="24"/>
          <w:szCs w:val="24"/>
        </w:rPr>
      </w:pPr>
    </w:p>
    <w:p w14:paraId="2A9BCD66" w14:textId="77777777" w:rsidR="00C3607E" w:rsidRDefault="00C3607E">
      <w:pPr>
        <w:rPr>
          <w:rFonts w:eastAsia="Calibri"/>
          <w:sz w:val="24"/>
          <w:szCs w:val="24"/>
        </w:rPr>
      </w:pPr>
    </w:p>
    <w:p w14:paraId="55D264F4" w14:textId="2808ECAF" w:rsidR="00716638" w:rsidRPr="00C3607E" w:rsidRDefault="00716638">
      <w:pPr>
        <w:rPr>
          <w:rFonts w:eastAsia="Calibri"/>
          <w:sz w:val="40"/>
          <w:szCs w:val="40"/>
        </w:rPr>
      </w:pPr>
      <w:r w:rsidRPr="00C3607E">
        <w:rPr>
          <w:rFonts w:eastAsia="Calibri"/>
          <w:sz w:val="40"/>
          <w:szCs w:val="40"/>
        </w:rPr>
        <w:t xml:space="preserve">Remote access and participation in culture, </w:t>
      </w:r>
      <w:proofErr w:type="gramStart"/>
      <w:r w:rsidRPr="00C3607E">
        <w:rPr>
          <w:rFonts w:eastAsia="Calibri"/>
          <w:sz w:val="40"/>
          <w:szCs w:val="40"/>
        </w:rPr>
        <w:t>recreation</w:t>
      </w:r>
      <w:proofErr w:type="gramEnd"/>
      <w:r w:rsidRPr="00C3607E">
        <w:rPr>
          <w:rFonts w:eastAsia="Calibri"/>
          <w:sz w:val="40"/>
          <w:szCs w:val="40"/>
        </w:rPr>
        <w:t xml:space="preserve"> and sport</w:t>
      </w:r>
    </w:p>
    <w:p w14:paraId="53DF24D1" w14:textId="329445E9" w:rsidR="00716638" w:rsidRDefault="00716638">
      <w:pPr>
        <w:rPr>
          <w:rFonts w:eastAsia="Calibri"/>
          <w:sz w:val="24"/>
          <w:szCs w:val="24"/>
        </w:rPr>
      </w:pPr>
    </w:p>
    <w:p w14:paraId="01903894" w14:textId="722297D8" w:rsidR="006D3D4A" w:rsidRDefault="004520FD" w:rsidP="00E74ADB">
      <w:pPr>
        <w:rPr>
          <w:rFonts w:eastAsia="Calibri"/>
          <w:sz w:val="24"/>
          <w:szCs w:val="24"/>
        </w:rPr>
      </w:pPr>
      <w:r w:rsidRPr="00716638">
        <w:rPr>
          <w:rFonts w:eastAsia="Calibri"/>
          <w:sz w:val="24"/>
          <w:szCs w:val="24"/>
        </w:rPr>
        <w:t>As part</w:t>
      </w:r>
      <w:r w:rsidR="00525D7A">
        <w:rPr>
          <w:rFonts w:eastAsia="Calibri"/>
          <w:sz w:val="24"/>
          <w:szCs w:val="24"/>
        </w:rPr>
        <w:t xml:space="preserve"> of</w:t>
      </w:r>
      <w:r w:rsidRPr="00716638">
        <w:rPr>
          <w:rFonts w:eastAsia="Calibri"/>
          <w:sz w:val="24"/>
          <w:szCs w:val="24"/>
        </w:rPr>
        <w:t xml:space="preserve"> th</w:t>
      </w:r>
      <w:r w:rsidR="00525D7A">
        <w:rPr>
          <w:rFonts w:eastAsia="Calibri"/>
          <w:sz w:val="24"/>
          <w:szCs w:val="24"/>
        </w:rPr>
        <w:t>eir</w:t>
      </w:r>
      <w:r w:rsidRPr="00716638">
        <w:rPr>
          <w:rFonts w:eastAsia="Calibri"/>
          <w:sz w:val="24"/>
          <w:szCs w:val="24"/>
        </w:rPr>
        <w:t xml:space="preserve"> ratification of the UNCRPD and its National Disability Strategy</w:t>
      </w:r>
      <w:r w:rsidR="00525D7A">
        <w:rPr>
          <w:rFonts w:eastAsia="Calibri"/>
          <w:sz w:val="24"/>
          <w:szCs w:val="24"/>
        </w:rPr>
        <w:t>,</w:t>
      </w:r>
      <w:r w:rsidRPr="00716638">
        <w:rPr>
          <w:rFonts w:eastAsia="Calibri"/>
          <w:sz w:val="24"/>
          <w:szCs w:val="24"/>
        </w:rPr>
        <w:t xml:space="preserve"> the UK Government promised to widen </w:t>
      </w:r>
      <w:r w:rsidR="00525D7A">
        <w:rPr>
          <w:rFonts w:eastAsia="Calibri"/>
          <w:sz w:val="24"/>
          <w:szCs w:val="24"/>
        </w:rPr>
        <w:t xml:space="preserve">disabled people’s </w:t>
      </w:r>
      <w:r w:rsidRPr="00716638">
        <w:rPr>
          <w:rFonts w:eastAsia="Calibri"/>
          <w:sz w:val="24"/>
          <w:szCs w:val="24"/>
        </w:rPr>
        <w:t>participation in arts, culture and sport, recognising that, “</w:t>
      </w:r>
      <w:r w:rsidR="00E74ADB">
        <w:rPr>
          <w:rFonts w:eastAsia="Calibri"/>
          <w:sz w:val="24"/>
          <w:szCs w:val="24"/>
        </w:rPr>
        <w:t>[d]</w:t>
      </w:r>
      <w:proofErr w:type="spellStart"/>
      <w:r w:rsidRPr="00716638">
        <w:rPr>
          <w:rFonts w:eastAsia="Calibri"/>
          <w:sz w:val="24"/>
          <w:szCs w:val="24"/>
        </w:rPr>
        <w:t>isability</w:t>
      </w:r>
      <w:proofErr w:type="spellEnd"/>
      <w:r w:rsidRPr="00716638">
        <w:rPr>
          <w:rFonts w:eastAsia="Calibri"/>
          <w:sz w:val="24"/>
          <w:szCs w:val="24"/>
        </w:rPr>
        <w:t xml:space="preserve"> is one of the main barriers people give for not attending art and cultural events, and disabled people are nearly twice as likely to be physically inactive.”</w:t>
      </w:r>
      <w:r w:rsidR="00E74ADB" w:rsidRPr="00716638">
        <w:rPr>
          <w:rFonts w:eastAsia="Calibri"/>
          <w:sz w:val="24"/>
          <w:szCs w:val="24"/>
          <w:vertAlign w:val="superscript"/>
        </w:rPr>
        <w:footnoteReference w:id="7"/>
      </w:r>
      <w:r w:rsidRPr="00716638">
        <w:rPr>
          <w:rFonts w:eastAsia="Calibri"/>
          <w:sz w:val="24"/>
          <w:szCs w:val="24"/>
        </w:rPr>
        <w:t xml:space="preserve"> </w:t>
      </w:r>
      <w:r w:rsidR="001C108D">
        <w:rPr>
          <w:rFonts w:eastAsia="Calibri"/>
          <w:sz w:val="24"/>
          <w:szCs w:val="24"/>
        </w:rPr>
        <w:t>However, this has not been reflected in any commitment to remote participation in culture, recreation or sport. A</w:t>
      </w:r>
      <w:r w:rsidR="00E74ADB">
        <w:rPr>
          <w:rFonts w:eastAsia="Calibri"/>
          <w:sz w:val="24"/>
          <w:szCs w:val="24"/>
        </w:rPr>
        <w:t xml:space="preserve">lthough remote access </w:t>
      </w:r>
      <w:r w:rsidR="001C108D">
        <w:rPr>
          <w:rFonts w:eastAsia="Calibri"/>
          <w:sz w:val="24"/>
          <w:szCs w:val="24"/>
        </w:rPr>
        <w:t>to leisure activities</w:t>
      </w:r>
      <w:r w:rsidR="00E74ADB">
        <w:rPr>
          <w:rFonts w:eastAsia="Calibri"/>
          <w:sz w:val="24"/>
          <w:szCs w:val="24"/>
        </w:rPr>
        <w:t xml:space="preserve"> emerged during </w:t>
      </w:r>
      <w:r w:rsidR="00452DF1">
        <w:rPr>
          <w:rFonts w:eastAsia="Calibri"/>
          <w:sz w:val="24"/>
          <w:szCs w:val="24"/>
        </w:rPr>
        <w:t xml:space="preserve">the </w:t>
      </w:r>
      <w:r w:rsidR="00E74ADB">
        <w:rPr>
          <w:rFonts w:eastAsia="Calibri"/>
          <w:sz w:val="24"/>
          <w:szCs w:val="24"/>
        </w:rPr>
        <w:t xml:space="preserve">lockdown, </w:t>
      </w:r>
      <w:r w:rsidR="00452DF1">
        <w:rPr>
          <w:rFonts w:eastAsia="Calibri"/>
          <w:sz w:val="24"/>
          <w:szCs w:val="24"/>
        </w:rPr>
        <w:t>much of this</w:t>
      </w:r>
      <w:r w:rsidR="00E74ADB">
        <w:rPr>
          <w:rFonts w:eastAsia="Calibri"/>
          <w:sz w:val="24"/>
          <w:szCs w:val="24"/>
        </w:rPr>
        <w:t xml:space="preserve"> disappeared when lockdown was lifted. </w:t>
      </w:r>
      <w:r w:rsidR="00E74ADB" w:rsidRPr="00716638">
        <w:rPr>
          <w:rFonts w:eastAsia="Calibri"/>
          <w:sz w:val="24"/>
          <w:szCs w:val="24"/>
        </w:rPr>
        <w:t>For instance, while “56% of publicly subsidised theatres had at least one online performance during the first 18 months of the pandemic</w:t>
      </w:r>
      <w:r w:rsidR="00452DF1">
        <w:rPr>
          <w:rFonts w:eastAsia="Calibri"/>
          <w:sz w:val="24"/>
          <w:szCs w:val="24"/>
        </w:rPr>
        <w:t>,</w:t>
      </w:r>
      <w:r w:rsidR="00E74ADB" w:rsidRPr="00716638">
        <w:rPr>
          <w:rFonts w:eastAsia="Calibri"/>
          <w:sz w:val="24"/>
          <w:szCs w:val="24"/>
        </w:rPr>
        <w:t>” the same theatres had no</w:t>
      </w:r>
      <w:r w:rsidR="009D7C7E">
        <w:rPr>
          <w:rFonts w:eastAsia="Calibri"/>
          <w:sz w:val="24"/>
          <w:szCs w:val="24"/>
        </w:rPr>
        <w:t xml:space="preserve"> online performances </w:t>
      </w:r>
      <w:r w:rsidR="00E74ADB" w:rsidRPr="00716638">
        <w:rPr>
          <w:rFonts w:eastAsia="Calibri"/>
          <w:sz w:val="24"/>
          <w:szCs w:val="24"/>
        </w:rPr>
        <w:t>scheduled for the autumn season of 2021, offering in-person shows only</w:t>
      </w:r>
      <w:r w:rsidR="00E74ADB">
        <w:rPr>
          <w:rFonts w:eastAsia="Calibri"/>
          <w:sz w:val="24"/>
          <w:szCs w:val="24"/>
        </w:rPr>
        <w:t>.</w:t>
      </w:r>
      <w:r w:rsidR="00E74ADB" w:rsidRPr="00716638">
        <w:rPr>
          <w:rFonts w:eastAsia="Calibri"/>
          <w:sz w:val="24"/>
          <w:szCs w:val="24"/>
          <w:vertAlign w:val="superscript"/>
        </w:rPr>
        <w:footnoteReference w:id="8"/>
      </w:r>
      <w:r w:rsidR="00452DF1">
        <w:rPr>
          <w:rFonts w:eastAsia="Calibri"/>
          <w:sz w:val="24"/>
          <w:szCs w:val="24"/>
        </w:rPr>
        <w:t xml:space="preserve"> </w:t>
      </w:r>
      <w:r w:rsidR="006D3D4A">
        <w:rPr>
          <w:rFonts w:eastAsia="Calibri"/>
          <w:sz w:val="24"/>
          <w:szCs w:val="24"/>
        </w:rPr>
        <w:t>This is especially egregious considering the number of theatres that</w:t>
      </w:r>
      <w:r w:rsidR="00E74ADB" w:rsidRPr="00716638">
        <w:rPr>
          <w:rFonts w:eastAsia="Calibri"/>
          <w:sz w:val="24"/>
          <w:szCs w:val="24"/>
        </w:rPr>
        <w:t xml:space="preserve"> are publicly subsidised by Arts Council England</w:t>
      </w:r>
      <w:r w:rsidR="006D3D4A">
        <w:rPr>
          <w:rFonts w:eastAsia="Calibri"/>
          <w:sz w:val="24"/>
          <w:szCs w:val="24"/>
        </w:rPr>
        <w:t>.</w:t>
      </w:r>
      <w:r w:rsidR="00E74ADB" w:rsidRPr="00716638">
        <w:rPr>
          <w:rFonts w:eastAsia="Calibri"/>
          <w:sz w:val="24"/>
          <w:szCs w:val="24"/>
          <w:vertAlign w:val="superscript"/>
        </w:rPr>
        <w:footnoteReference w:id="9"/>
      </w:r>
    </w:p>
    <w:p w14:paraId="20BE858F" w14:textId="77777777" w:rsidR="006D3D4A" w:rsidRDefault="006D3D4A" w:rsidP="00E74ADB">
      <w:pPr>
        <w:rPr>
          <w:rFonts w:eastAsia="Calibri"/>
          <w:sz w:val="24"/>
          <w:szCs w:val="24"/>
        </w:rPr>
      </w:pPr>
    </w:p>
    <w:p w14:paraId="054F9A2B" w14:textId="2B34CCF4" w:rsidR="007027D1" w:rsidRPr="00521BD0" w:rsidRDefault="003B63F4" w:rsidP="00973078">
      <w:pPr>
        <w:rPr>
          <w:rFonts w:eastAsia="Calibri"/>
          <w:sz w:val="24"/>
          <w:szCs w:val="24"/>
        </w:rPr>
      </w:pPr>
      <w:r>
        <w:rPr>
          <w:rFonts w:eastAsia="Calibri"/>
          <w:sz w:val="24"/>
          <w:szCs w:val="24"/>
        </w:rPr>
        <w:t>Access to leisure is just as important to people with ELCs as access to work,</w:t>
      </w:r>
      <w:r w:rsidR="00521BD0">
        <w:rPr>
          <w:rFonts w:eastAsia="Calibri"/>
          <w:sz w:val="24"/>
          <w:szCs w:val="24"/>
        </w:rPr>
        <w:t xml:space="preserve"> because “disabled people deserve the right to have a life like everyone else.”</w:t>
      </w:r>
      <w:r w:rsidR="00521BD0">
        <w:rPr>
          <w:rStyle w:val="FootnoteReference"/>
          <w:rFonts w:eastAsia="Calibri"/>
          <w:sz w:val="24"/>
          <w:szCs w:val="24"/>
        </w:rPr>
        <w:footnoteReference w:id="10"/>
      </w:r>
      <w:r w:rsidR="00521BD0">
        <w:rPr>
          <w:rFonts w:eastAsia="Calibri"/>
          <w:sz w:val="24"/>
          <w:szCs w:val="24"/>
        </w:rPr>
        <w:t xml:space="preserve"> It </w:t>
      </w:r>
      <w:r w:rsidR="00521BD0">
        <w:rPr>
          <w:rFonts w:eastAsia="Calibri"/>
          <w:sz w:val="24"/>
          <w:szCs w:val="24"/>
        </w:rPr>
        <w:lastRenderedPageBreak/>
        <w:t>may even be more important,</w:t>
      </w:r>
      <w:r>
        <w:rPr>
          <w:rFonts w:eastAsia="Calibri"/>
          <w:sz w:val="24"/>
          <w:szCs w:val="24"/>
        </w:rPr>
        <w:t xml:space="preserve"> given that many people with ELCs would be unable to work even if remote participation were a widely recognised reasonable accommodation.</w:t>
      </w:r>
      <w:r>
        <w:rPr>
          <w:rStyle w:val="FootnoteReference"/>
          <w:rFonts w:eastAsia="Calibri"/>
          <w:sz w:val="24"/>
          <w:szCs w:val="24"/>
        </w:rPr>
        <w:footnoteReference w:id="11"/>
      </w:r>
      <w:r w:rsidR="004520FD" w:rsidRPr="00716638">
        <w:rPr>
          <w:rFonts w:eastAsia="Calibri"/>
          <w:sz w:val="24"/>
          <w:szCs w:val="24"/>
        </w:rPr>
        <w:t xml:space="preserve"> While remote access is not, and should never be, an alternative to accessible venues, </w:t>
      </w:r>
      <w:r w:rsidR="00521BD0">
        <w:rPr>
          <w:rFonts w:eastAsia="Calibri"/>
          <w:sz w:val="24"/>
          <w:szCs w:val="24"/>
        </w:rPr>
        <w:t>remote access provisions should be continued so that people who are housebound are not</w:t>
      </w:r>
      <w:r w:rsidR="002B5980">
        <w:rPr>
          <w:rFonts w:eastAsia="Calibri"/>
          <w:sz w:val="24"/>
          <w:szCs w:val="24"/>
        </w:rPr>
        <w:t xml:space="preserve"> entirely</w:t>
      </w:r>
      <w:r w:rsidR="00521BD0">
        <w:rPr>
          <w:rFonts w:eastAsia="Calibri"/>
          <w:sz w:val="24"/>
          <w:szCs w:val="24"/>
        </w:rPr>
        <w:t xml:space="preserve"> </w:t>
      </w:r>
      <w:r w:rsidR="002B5980">
        <w:rPr>
          <w:rFonts w:eastAsia="Calibri"/>
          <w:sz w:val="24"/>
          <w:szCs w:val="24"/>
        </w:rPr>
        <w:t>cut off from recreation and cultural life.</w:t>
      </w:r>
    </w:p>
    <w:p w14:paraId="4B360417" w14:textId="0E6ABB19" w:rsidR="007027D1" w:rsidRDefault="007027D1" w:rsidP="00973078">
      <w:pPr>
        <w:rPr>
          <w:rFonts w:eastAsia="Calibri"/>
          <w:sz w:val="28"/>
          <w:szCs w:val="28"/>
        </w:rPr>
      </w:pPr>
    </w:p>
    <w:p w14:paraId="2F986C46" w14:textId="77777777" w:rsidR="002B5980" w:rsidRDefault="002B5980" w:rsidP="00973078">
      <w:pPr>
        <w:rPr>
          <w:rFonts w:eastAsia="Calibri"/>
          <w:sz w:val="28"/>
          <w:szCs w:val="28"/>
        </w:rPr>
      </w:pPr>
    </w:p>
    <w:p w14:paraId="7222C6BF" w14:textId="6DA1EBEA" w:rsidR="00973078" w:rsidRPr="00C3607E" w:rsidRDefault="00973078" w:rsidP="00973078">
      <w:pPr>
        <w:rPr>
          <w:rFonts w:eastAsia="Calibri"/>
          <w:sz w:val="40"/>
          <w:szCs w:val="40"/>
        </w:rPr>
      </w:pPr>
      <w:r w:rsidRPr="00C3607E">
        <w:rPr>
          <w:rFonts w:eastAsia="Calibri"/>
          <w:sz w:val="40"/>
          <w:szCs w:val="40"/>
        </w:rPr>
        <w:t xml:space="preserve">A note about terminology: </w:t>
      </w:r>
      <w:r w:rsidR="007027D1" w:rsidRPr="00C3607E">
        <w:rPr>
          <w:rFonts w:eastAsia="Calibri"/>
          <w:sz w:val="40"/>
          <w:szCs w:val="40"/>
        </w:rPr>
        <w:t xml:space="preserve">what we mean by </w:t>
      </w:r>
      <w:r w:rsidRPr="00C3607E">
        <w:rPr>
          <w:rFonts w:eastAsia="Calibri"/>
          <w:sz w:val="40"/>
          <w:szCs w:val="40"/>
        </w:rPr>
        <w:t>‘housebound’</w:t>
      </w:r>
    </w:p>
    <w:p w14:paraId="43CAC52D" w14:textId="77777777" w:rsidR="007027D1" w:rsidRDefault="007027D1" w:rsidP="00973078">
      <w:pPr>
        <w:rPr>
          <w:rFonts w:eastAsia="Calibri"/>
          <w:sz w:val="24"/>
          <w:szCs w:val="24"/>
        </w:rPr>
      </w:pPr>
    </w:p>
    <w:p w14:paraId="3B2F7BE8" w14:textId="23A778FF" w:rsidR="00973078" w:rsidRDefault="00973078" w:rsidP="00973078">
      <w:pPr>
        <w:rPr>
          <w:rFonts w:eastAsia="Calibri"/>
          <w:sz w:val="24"/>
          <w:szCs w:val="24"/>
        </w:rPr>
      </w:pPr>
      <w:r>
        <w:rPr>
          <w:rFonts w:eastAsia="Calibri"/>
          <w:sz w:val="24"/>
          <w:szCs w:val="24"/>
        </w:rPr>
        <w:t>Chronic Illness Inclusion</w:t>
      </w:r>
      <w:r w:rsidR="00E42397">
        <w:rPr>
          <w:rFonts w:eastAsia="Calibri"/>
          <w:sz w:val="24"/>
          <w:szCs w:val="24"/>
        </w:rPr>
        <w:t xml:space="preserve"> (CII)</w:t>
      </w:r>
      <w:r>
        <w:rPr>
          <w:rFonts w:eastAsia="Calibri"/>
          <w:sz w:val="24"/>
          <w:szCs w:val="24"/>
        </w:rPr>
        <w:t xml:space="preserve"> recognises that ‘housebound’ is a contentious term in disability activism because it has been used to naturalise the confinement of people with impairments to their homes or to institutions, when these people can </w:t>
      </w:r>
      <w:r w:rsidR="002B5980">
        <w:rPr>
          <w:rFonts w:eastAsia="Calibri"/>
          <w:sz w:val="24"/>
          <w:szCs w:val="24"/>
        </w:rPr>
        <w:t>in fact leave their homes</w:t>
      </w:r>
      <w:r>
        <w:rPr>
          <w:rFonts w:eastAsia="Calibri"/>
          <w:sz w:val="24"/>
          <w:szCs w:val="24"/>
        </w:rPr>
        <w:t xml:space="preserve"> if provided with appropriate, self-directed support. However, this is a term that many people with ELCs feel describes their lived experience, as there are often not support or accommodations that can enable people with energy impairment to leave their homes</w:t>
      </w:r>
      <w:r w:rsidR="00C3607E">
        <w:rPr>
          <w:rFonts w:eastAsia="Calibri"/>
          <w:sz w:val="24"/>
          <w:szCs w:val="24"/>
        </w:rPr>
        <w:t xml:space="preserve"> safely</w:t>
      </w:r>
      <w:r>
        <w:rPr>
          <w:rFonts w:eastAsia="Calibri"/>
          <w:sz w:val="24"/>
          <w:szCs w:val="24"/>
        </w:rPr>
        <w:t xml:space="preserve">. </w:t>
      </w:r>
    </w:p>
    <w:p w14:paraId="27B14A20" w14:textId="77777777" w:rsidR="00973078" w:rsidRDefault="00973078" w:rsidP="00973078">
      <w:pPr>
        <w:rPr>
          <w:rFonts w:eastAsia="Calibri"/>
          <w:sz w:val="24"/>
          <w:szCs w:val="24"/>
        </w:rPr>
      </w:pPr>
    </w:p>
    <w:p w14:paraId="441D9667" w14:textId="625D3578" w:rsidR="00C3607E" w:rsidRDefault="00973078" w:rsidP="00973078">
      <w:pPr>
        <w:rPr>
          <w:rFonts w:eastAsia="Calibri"/>
          <w:sz w:val="24"/>
          <w:szCs w:val="24"/>
        </w:rPr>
      </w:pPr>
      <w:r>
        <w:rPr>
          <w:rFonts w:eastAsia="Calibri"/>
          <w:sz w:val="24"/>
          <w:szCs w:val="24"/>
        </w:rPr>
        <w:t xml:space="preserve">In our survey on women’s health, CII defined </w:t>
      </w:r>
      <w:r w:rsidR="00C3607E">
        <w:rPr>
          <w:rFonts w:eastAsia="Calibri"/>
          <w:sz w:val="24"/>
          <w:szCs w:val="24"/>
        </w:rPr>
        <w:t xml:space="preserve">being </w:t>
      </w:r>
      <w:r>
        <w:rPr>
          <w:rFonts w:eastAsia="Calibri"/>
          <w:sz w:val="24"/>
          <w:szCs w:val="24"/>
        </w:rPr>
        <w:t xml:space="preserve">‘housebound’ as: </w:t>
      </w:r>
    </w:p>
    <w:p w14:paraId="2CD9214D" w14:textId="77777777" w:rsidR="00C3607E" w:rsidRDefault="00C3607E" w:rsidP="00973078">
      <w:pPr>
        <w:rPr>
          <w:rFonts w:eastAsia="Calibri"/>
          <w:sz w:val="24"/>
          <w:szCs w:val="24"/>
        </w:rPr>
      </w:pPr>
    </w:p>
    <w:p w14:paraId="1861EB8B" w14:textId="66A79F10" w:rsidR="00BE6BE5" w:rsidRDefault="00973078" w:rsidP="007027D1">
      <w:pPr>
        <w:ind w:left="720"/>
        <w:rPr>
          <w:sz w:val="24"/>
          <w:szCs w:val="24"/>
        </w:rPr>
      </w:pPr>
      <w:r>
        <w:rPr>
          <w:rFonts w:eastAsia="Calibri"/>
          <w:sz w:val="24"/>
          <w:szCs w:val="24"/>
        </w:rPr>
        <w:t>“</w:t>
      </w:r>
      <w:proofErr w:type="gramStart"/>
      <w:r>
        <w:rPr>
          <w:rFonts w:eastAsia="Calibri"/>
          <w:sz w:val="24"/>
          <w:szCs w:val="24"/>
        </w:rPr>
        <w:t>either</w:t>
      </w:r>
      <w:proofErr w:type="gramEnd"/>
      <w:r>
        <w:rPr>
          <w:rFonts w:eastAsia="Calibri"/>
          <w:sz w:val="24"/>
          <w:szCs w:val="24"/>
        </w:rPr>
        <w:t xml:space="preserve"> 1) being always o</w:t>
      </w:r>
      <w:r w:rsidR="002B5980">
        <w:rPr>
          <w:rFonts w:eastAsia="Calibri"/>
          <w:sz w:val="24"/>
          <w:szCs w:val="24"/>
        </w:rPr>
        <w:t>r</w:t>
      </w:r>
      <w:r>
        <w:rPr>
          <w:rFonts w:eastAsia="Calibri"/>
          <w:sz w:val="24"/>
          <w:szCs w:val="24"/>
        </w:rPr>
        <w:t xml:space="preserve"> sometimes </w:t>
      </w:r>
      <w:r w:rsidRPr="00973078">
        <w:rPr>
          <w:sz w:val="24"/>
          <w:szCs w:val="24"/>
        </w:rPr>
        <w:t>unable to leave the home to get to a medical appointment even with support or assistance, or 2) the exertion from leaving the home to attend a medical appointment would result in significant worsening of symptoms, flareup, relapse, or setback as a consequence, e.g., for days or weeks.</w:t>
      </w:r>
      <w:r>
        <w:rPr>
          <w:sz w:val="24"/>
          <w:szCs w:val="24"/>
        </w:rPr>
        <w:t>”</w:t>
      </w:r>
      <w:r w:rsidR="00912695">
        <w:rPr>
          <w:rStyle w:val="FootnoteReference"/>
          <w:sz w:val="24"/>
          <w:szCs w:val="24"/>
        </w:rPr>
        <w:footnoteReference w:id="12"/>
      </w:r>
    </w:p>
    <w:p w14:paraId="12BD2323" w14:textId="7CF9BDDE" w:rsidR="007027D1" w:rsidRDefault="007027D1" w:rsidP="007027D1">
      <w:pPr>
        <w:rPr>
          <w:sz w:val="24"/>
          <w:szCs w:val="24"/>
        </w:rPr>
      </w:pPr>
    </w:p>
    <w:p w14:paraId="5C473447" w14:textId="0C508D97" w:rsidR="00911998" w:rsidRPr="008D4527" w:rsidRDefault="007027D1">
      <w:pPr>
        <w:rPr>
          <w:sz w:val="24"/>
          <w:szCs w:val="24"/>
        </w:rPr>
      </w:pPr>
      <w:r>
        <w:rPr>
          <w:sz w:val="24"/>
          <w:szCs w:val="24"/>
        </w:rPr>
        <w:t xml:space="preserve">Remote access </w:t>
      </w:r>
      <w:r w:rsidR="002B5980">
        <w:rPr>
          <w:sz w:val="24"/>
          <w:szCs w:val="24"/>
        </w:rPr>
        <w:t xml:space="preserve">thus </w:t>
      </w:r>
      <w:r>
        <w:rPr>
          <w:sz w:val="24"/>
          <w:szCs w:val="24"/>
        </w:rPr>
        <w:t xml:space="preserve">allows many people to engage in aspects of work and social life from which they will otherwise be </w:t>
      </w:r>
      <w:r w:rsidR="002B5980">
        <w:rPr>
          <w:sz w:val="24"/>
          <w:szCs w:val="24"/>
        </w:rPr>
        <w:t>barred</w:t>
      </w:r>
      <w:r>
        <w:rPr>
          <w:sz w:val="24"/>
          <w:szCs w:val="24"/>
        </w:rPr>
        <w:t>, either because it is not physically possible for them to leave their homes, or because the cost of doing so in pain and fatigue is intolerable.</w:t>
      </w:r>
    </w:p>
    <w:sectPr w:rsidR="00911998" w:rsidRPr="008D4527">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8CD2" w14:textId="77777777" w:rsidR="00481CC9" w:rsidRDefault="00481CC9">
      <w:pPr>
        <w:spacing w:line="240" w:lineRule="auto"/>
      </w:pPr>
      <w:r>
        <w:separator/>
      </w:r>
    </w:p>
  </w:endnote>
  <w:endnote w:type="continuationSeparator" w:id="0">
    <w:p w14:paraId="03443A54" w14:textId="77777777" w:rsidR="00481CC9" w:rsidRDefault="00481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287C" w14:textId="77777777" w:rsidR="00481CC9" w:rsidRDefault="00481CC9">
      <w:pPr>
        <w:spacing w:line="240" w:lineRule="auto"/>
      </w:pPr>
      <w:r>
        <w:separator/>
      </w:r>
    </w:p>
  </w:footnote>
  <w:footnote w:type="continuationSeparator" w:id="0">
    <w:p w14:paraId="5FE96D0A" w14:textId="77777777" w:rsidR="00481CC9" w:rsidRDefault="00481CC9">
      <w:pPr>
        <w:spacing w:line="240" w:lineRule="auto"/>
      </w:pPr>
      <w:r>
        <w:continuationSeparator/>
      </w:r>
    </w:p>
  </w:footnote>
  <w:footnote w:id="1">
    <w:p w14:paraId="23EC2CB6" w14:textId="5F02196B" w:rsidR="0058512F" w:rsidRDefault="0058512F">
      <w:pPr>
        <w:pStyle w:val="FootnoteText"/>
      </w:pPr>
      <w:r>
        <w:rPr>
          <w:rStyle w:val="FootnoteReference"/>
        </w:rPr>
        <w:footnoteRef/>
      </w:r>
      <w:r>
        <w:t xml:space="preserve"> </w:t>
      </w:r>
      <w:r w:rsidR="00E478FC" w:rsidRPr="00B06BEF">
        <w:rPr>
          <w:color w:val="000000"/>
        </w:rPr>
        <w:t>Hale,</w:t>
      </w:r>
      <w:r w:rsidR="00E478FC">
        <w:rPr>
          <w:color w:val="000000"/>
        </w:rPr>
        <w:t xml:space="preserve"> C.,</w:t>
      </w:r>
      <w:r w:rsidR="00E478FC" w:rsidRPr="00B06BEF">
        <w:rPr>
          <w:color w:val="000000"/>
        </w:rPr>
        <w:t xml:space="preserve"> Benstead, </w:t>
      </w:r>
      <w:proofErr w:type="gramStart"/>
      <w:r w:rsidR="00E478FC">
        <w:rPr>
          <w:color w:val="000000"/>
        </w:rPr>
        <w:t>S..</w:t>
      </w:r>
      <w:proofErr w:type="gramEnd"/>
      <w:r w:rsidR="00E478FC">
        <w:rPr>
          <w:color w:val="000000"/>
        </w:rPr>
        <w:t xml:space="preserve"> </w:t>
      </w:r>
      <w:proofErr w:type="spellStart"/>
      <w:r w:rsidR="00E478FC" w:rsidRPr="00B06BEF">
        <w:rPr>
          <w:color w:val="000000"/>
        </w:rPr>
        <w:t>Lyus</w:t>
      </w:r>
      <w:proofErr w:type="spellEnd"/>
      <w:r w:rsidR="00E478FC" w:rsidRPr="00B06BEF">
        <w:rPr>
          <w:color w:val="000000"/>
        </w:rPr>
        <w:t xml:space="preserve">, </w:t>
      </w:r>
      <w:r w:rsidR="00E478FC">
        <w:rPr>
          <w:color w:val="000000"/>
        </w:rPr>
        <w:t xml:space="preserve">J., </w:t>
      </w:r>
      <w:r w:rsidR="00E478FC" w:rsidRPr="00B06BEF">
        <w:rPr>
          <w:color w:val="000000"/>
        </w:rPr>
        <w:t>Odell</w:t>
      </w:r>
      <w:r w:rsidR="00E478FC">
        <w:rPr>
          <w:color w:val="000000"/>
        </w:rPr>
        <w:t>, E.</w:t>
      </w:r>
      <w:r w:rsidR="00E478FC" w:rsidRPr="00B06BEF">
        <w:rPr>
          <w:color w:val="000000"/>
        </w:rPr>
        <w:t xml:space="preserve"> &amp; Ruddock,</w:t>
      </w:r>
      <w:r w:rsidR="00E478FC">
        <w:rPr>
          <w:color w:val="000000"/>
        </w:rPr>
        <w:t xml:space="preserve"> A.</w:t>
      </w:r>
      <w:r w:rsidR="00E478FC" w:rsidRPr="00B06BEF">
        <w:rPr>
          <w:color w:val="000000"/>
        </w:rPr>
        <w:t xml:space="preserve"> (2020) </w:t>
      </w:r>
      <w:r w:rsidR="00E478FC" w:rsidRPr="00B06BEF">
        <w:rPr>
          <w:i/>
          <w:iCs/>
          <w:color w:val="000000"/>
        </w:rPr>
        <w:t>Energy impairment and disability inclusion</w:t>
      </w:r>
      <w:r w:rsidR="00E478FC" w:rsidRPr="00B06BEF">
        <w:rPr>
          <w:color w:val="000000"/>
        </w:rPr>
        <w:t>. Centre for Welfare Reform</w:t>
      </w:r>
      <w:r w:rsidR="00E478FC">
        <w:rPr>
          <w:color w:val="000000"/>
        </w:rPr>
        <w:t>, p.61</w:t>
      </w:r>
      <w:r w:rsidR="00E478FC" w:rsidRPr="00B06BEF">
        <w:rPr>
          <w:color w:val="000000"/>
        </w:rPr>
        <w:t xml:space="preserve">. </w:t>
      </w:r>
      <w:hyperlink r:id="rId1" w:history="1">
        <w:r w:rsidR="00E478FC" w:rsidRPr="00B06BEF">
          <w:rPr>
            <w:rStyle w:val="Hyperlink"/>
            <w:color w:val="1155CC"/>
          </w:rPr>
          <w:t>https://chronicillnessinclusion.org.uk/wp-content/uploads/2021/04/energy-impairment-and-disability-inclusion.pdf</w:t>
        </w:r>
      </w:hyperlink>
      <w:r w:rsidR="00E478FC" w:rsidRPr="00B06BEF">
        <w:rPr>
          <w:color w:val="000000"/>
        </w:rPr>
        <w:t> </w:t>
      </w:r>
    </w:p>
  </w:footnote>
  <w:footnote w:id="2">
    <w:p w14:paraId="5CCF69C7" w14:textId="531B9A05" w:rsidR="00A64670" w:rsidRDefault="00E478FC">
      <w:pPr>
        <w:pStyle w:val="FootnoteText"/>
      </w:pPr>
      <w:r>
        <w:rPr>
          <w:rStyle w:val="FootnoteReference"/>
        </w:rPr>
        <w:footnoteRef/>
      </w:r>
      <w:r>
        <w:t xml:space="preserve"> Hale, C., Brough, J., Allam, A., Lydiard, S., Springfield, F., </w:t>
      </w:r>
      <w:proofErr w:type="spellStart"/>
      <w:r>
        <w:t>Fixter</w:t>
      </w:r>
      <w:proofErr w:type="spellEnd"/>
      <w:r>
        <w:t xml:space="preserve">, A., Wright, N., </w:t>
      </w:r>
      <w:proofErr w:type="spellStart"/>
      <w:r>
        <w:t>Clutton</w:t>
      </w:r>
      <w:proofErr w:type="spellEnd"/>
      <w:r>
        <w:t xml:space="preserve">, V. and Bole, K. </w:t>
      </w:r>
      <w:r w:rsidR="009A1BE9">
        <w:t>(</w:t>
      </w:r>
      <w:r>
        <w:t>2021</w:t>
      </w:r>
      <w:r w:rsidR="009A1BE9">
        <w:t>)</w:t>
      </w:r>
      <w:r>
        <w:t xml:space="preserve"> </w:t>
      </w:r>
      <w:r>
        <w:rPr>
          <w:i/>
          <w:iCs/>
        </w:rPr>
        <w:t>Submission to the Department of Health and Social Care’s Inquiry into Women’s Health and Wellbeing in England</w:t>
      </w:r>
      <w:r>
        <w:t xml:space="preserve">. </w:t>
      </w:r>
      <w:r w:rsidR="00A64670">
        <w:t xml:space="preserve">Chronic Illness Inclusion, p.8. Available from: </w:t>
      </w:r>
      <w:hyperlink r:id="rId2" w:history="1">
        <w:r w:rsidR="00A64670" w:rsidRPr="00B75FC8">
          <w:rPr>
            <w:rStyle w:val="Hyperlink"/>
          </w:rPr>
          <w:t>https://chronicillnessinclusion.org.uk/wp-content/uploads/2021/06/CII.DHSC-Womens-Health-England-June-2021.pdf</w:t>
        </w:r>
      </w:hyperlink>
    </w:p>
  </w:footnote>
  <w:footnote w:id="3">
    <w:p w14:paraId="2B7762B1" w14:textId="27F2D35C" w:rsidR="009A1BE9" w:rsidRDefault="009A1BE9">
      <w:pPr>
        <w:pStyle w:val="FootnoteText"/>
      </w:pPr>
      <w:r>
        <w:rPr>
          <w:rStyle w:val="FootnoteReference"/>
        </w:rPr>
        <w:footnoteRef/>
      </w:r>
      <w:r>
        <w:t xml:space="preserve"> Hale, C. with Allam, A., </w:t>
      </w:r>
      <w:proofErr w:type="spellStart"/>
      <w:r>
        <w:t>Clutton</w:t>
      </w:r>
      <w:proofErr w:type="spellEnd"/>
      <w:r>
        <w:t xml:space="preserve">, V. and Gunn, L. (2020) ‘What does Covid-19 mean for the chronic illness community?’ </w:t>
      </w:r>
      <w:r>
        <w:rPr>
          <w:i/>
          <w:iCs/>
        </w:rPr>
        <w:t>Disability Wales</w:t>
      </w:r>
      <w:r>
        <w:t>. Available from: https://</w:t>
      </w:r>
      <w:r w:rsidRPr="009A1BE9">
        <w:t xml:space="preserve"> </w:t>
      </w:r>
      <w:hyperlink r:id="rId3" w:history="1">
        <w:r w:rsidRPr="00B75FC8">
          <w:rPr>
            <w:rStyle w:val="Hyperlink"/>
          </w:rPr>
          <w:t>www.disabilitywales.org/coronavirus-and-chronic-illness/?fbclid=IwAR27SZ8O2-td8fRQ99wJ0_S37A6pTNaqVc_XURQFcJYFV14SFT9KMQ5dX20</w:t>
        </w:r>
      </w:hyperlink>
      <w:r w:rsidRPr="009A1BE9">
        <w:t xml:space="preserve"> </w:t>
      </w:r>
    </w:p>
  </w:footnote>
  <w:footnote w:id="4">
    <w:p w14:paraId="7FF50242" w14:textId="77777777" w:rsidR="00BE6BE5" w:rsidRDefault="004520FD">
      <w:pPr>
        <w:spacing w:line="240" w:lineRule="auto"/>
        <w:rPr>
          <w:i/>
          <w:sz w:val="20"/>
          <w:szCs w:val="20"/>
        </w:rPr>
      </w:pPr>
      <w:r>
        <w:rPr>
          <w:vertAlign w:val="superscript"/>
        </w:rPr>
        <w:footnoteRef/>
      </w:r>
      <w:r>
        <w:rPr>
          <w:sz w:val="20"/>
          <w:szCs w:val="20"/>
        </w:rPr>
        <w:t xml:space="preserve"> Hale, C., Allam, A., Meyer, P., and Springfield, F. (2020). </w:t>
      </w:r>
      <w:r>
        <w:rPr>
          <w:i/>
          <w:sz w:val="20"/>
          <w:szCs w:val="20"/>
        </w:rPr>
        <w:t>Turning the Remote Access Revolution</w:t>
      </w:r>
    </w:p>
    <w:p w14:paraId="7564AA17" w14:textId="5F3DDE4B" w:rsidR="00BE6BE5" w:rsidRDefault="004520FD">
      <w:pPr>
        <w:spacing w:line="240" w:lineRule="auto"/>
        <w:rPr>
          <w:sz w:val="20"/>
          <w:szCs w:val="20"/>
        </w:rPr>
      </w:pPr>
      <w:r>
        <w:rPr>
          <w:i/>
          <w:sz w:val="20"/>
          <w:szCs w:val="20"/>
        </w:rPr>
        <w:t>into Reasonable Adjustments</w:t>
      </w:r>
      <w:r w:rsidR="008D4527">
        <w:rPr>
          <w:sz w:val="20"/>
          <w:szCs w:val="20"/>
        </w:rPr>
        <w:t>, p.8.</w:t>
      </w:r>
      <w:r>
        <w:rPr>
          <w:sz w:val="20"/>
          <w:szCs w:val="20"/>
        </w:rPr>
        <w:br/>
      </w:r>
      <w:hyperlink r:id="rId4">
        <w:r>
          <w:rPr>
            <w:color w:val="1155CC"/>
            <w:sz w:val="20"/>
            <w:szCs w:val="20"/>
            <w:u w:val="single"/>
          </w:rPr>
          <w:t>https://chronicillnessinclusion.org.uk/wp-content/uploads/2021/04/remote-revolution-to-reasonable-adjustments.pdf</w:t>
        </w:r>
      </w:hyperlink>
      <w:r>
        <w:rPr>
          <w:sz w:val="20"/>
          <w:szCs w:val="20"/>
        </w:rPr>
        <w:t xml:space="preserve"> </w:t>
      </w:r>
    </w:p>
  </w:footnote>
  <w:footnote w:id="5">
    <w:p w14:paraId="1E5773C9" w14:textId="6A94CE91" w:rsidR="008D4527" w:rsidRDefault="008D4527">
      <w:pPr>
        <w:pStyle w:val="FootnoteText"/>
      </w:pPr>
      <w:r>
        <w:rPr>
          <w:rStyle w:val="FootnoteReference"/>
        </w:rPr>
        <w:footnoteRef/>
      </w:r>
      <w:r>
        <w:t xml:space="preserve"> Hale, Allam et al (2020), p.11.</w:t>
      </w:r>
    </w:p>
  </w:footnote>
  <w:footnote w:id="6">
    <w:p w14:paraId="593D3177" w14:textId="365CAAD9" w:rsidR="008D4527" w:rsidRDefault="008D4527">
      <w:pPr>
        <w:pStyle w:val="FootnoteText"/>
      </w:pPr>
      <w:r>
        <w:rPr>
          <w:rStyle w:val="FootnoteReference"/>
        </w:rPr>
        <w:footnoteRef/>
      </w:r>
      <w:r>
        <w:t xml:space="preserve"> Hale, Allam, et al (2020), p.9.</w:t>
      </w:r>
    </w:p>
  </w:footnote>
  <w:footnote w:id="7">
    <w:p w14:paraId="2FFDC3F0" w14:textId="77777777" w:rsidR="00E74ADB" w:rsidRDefault="00E74ADB" w:rsidP="00E74ADB">
      <w:pPr>
        <w:spacing w:line="240" w:lineRule="auto"/>
        <w:rPr>
          <w:sz w:val="20"/>
          <w:szCs w:val="20"/>
        </w:rPr>
      </w:pPr>
      <w:r>
        <w:rPr>
          <w:vertAlign w:val="superscript"/>
        </w:rPr>
        <w:footnoteRef/>
      </w:r>
      <w:r>
        <w:rPr>
          <w:sz w:val="20"/>
          <w:szCs w:val="20"/>
        </w:rPr>
        <w:t xml:space="preserve"> Disability Unit, UK Government. (2021) </w:t>
      </w:r>
      <w:r w:rsidRPr="00525D7A">
        <w:rPr>
          <w:i/>
          <w:iCs/>
          <w:sz w:val="20"/>
          <w:szCs w:val="20"/>
        </w:rPr>
        <w:t>Leisure: National Disability Strategy explained</w:t>
      </w:r>
      <w:r>
        <w:rPr>
          <w:i/>
          <w:iCs/>
          <w:sz w:val="20"/>
          <w:szCs w:val="20"/>
        </w:rPr>
        <w:t xml:space="preserve">. </w:t>
      </w:r>
      <w:r>
        <w:rPr>
          <w:sz w:val="20"/>
          <w:szCs w:val="20"/>
        </w:rPr>
        <w:t xml:space="preserve">Available from: </w:t>
      </w:r>
      <w:hyperlink r:id="rId5">
        <w:r>
          <w:rPr>
            <w:color w:val="1155CC"/>
            <w:sz w:val="20"/>
            <w:szCs w:val="20"/>
            <w:u w:val="single"/>
          </w:rPr>
          <w:t>https://disabilityunit.blog.gov.uk/2021/07/28/leisure-national-disability-strategy-explained/</w:t>
        </w:r>
      </w:hyperlink>
    </w:p>
  </w:footnote>
  <w:footnote w:id="8">
    <w:p w14:paraId="5112C636" w14:textId="77777777" w:rsidR="00E74ADB" w:rsidRDefault="00E74ADB" w:rsidP="00E74ADB">
      <w:pPr>
        <w:spacing w:line="240" w:lineRule="auto"/>
        <w:rPr>
          <w:sz w:val="20"/>
          <w:szCs w:val="20"/>
        </w:rPr>
      </w:pPr>
      <w:r>
        <w:rPr>
          <w:vertAlign w:val="superscript"/>
        </w:rPr>
        <w:footnoteRef/>
      </w:r>
      <w:r>
        <w:rPr>
          <w:sz w:val="20"/>
          <w:szCs w:val="20"/>
        </w:rPr>
        <w:t xml:space="preserve"> Sherwood, H. (2021) ‘50% of UK theatres streaming shows online during Covid revert to in-person only’. </w:t>
      </w:r>
      <w:r w:rsidRPr="00525D7A">
        <w:rPr>
          <w:i/>
          <w:iCs/>
          <w:sz w:val="20"/>
          <w:szCs w:val="20"/>
        </w:rPr>
        <w:t>The Guardian</w:t>
      </w:r>
      <w:r>
        <w:rPr>
          <w:sz w:val="20"/>
          <w:szCs w:val="20"/>
        </w:rPr>
        <w:t xml:space="preserve">. 10 October 2021. Available from: </w:t>
      </w:r>
      <w:hyperlink r:id="rId6">
        <w:r>
          <w:rPr>
            <w:color w:val="1155CC"/>
            <w:sz w:val="20"/>
            <w:szCs w:val="20"/>
            <w:u w:val="single"/>
          </w:rPr>
          <w:t>https://www.theguardian.com/stage/2021/oct/10/50-of-uk-theatres-streaming-shows-online-during-covid-revert-to-in-person-only</w:t>
        </w:r>
      </w:hyperlink>
    </w:p>
  </w:footnote>
  <w:footnote w:id="9">
    <w:p w14:paraId="584AE1A1" w14:textId="77777777" w:rsidR="00E74ADB" w:rsidRDefault="00E74ADB" w:rsidP="00E74ADB">
      <w:pPr>
        <w:spacing w:line="240" w:lineRule="auto"/>
        <w:rPr>
          <w:sz w:val="20"/>
          <w:szCs w:val="20"/>
        </w:rPr>
      </w:pPr>
      <w:r>
        <w:rPr>
          <w:vertAlign w:val="superscript"/>
        </w:rPr>
        <w:footnoteRef/>
      </w:r>
      <w:r>
        <w:rPr>
          <w:sz w:val="20"/>
          <w:szCs w:val="20"/>
        </w:rPr>
        <w:t xml:space="preserve"> Statistica.com. (2021) </w:t>
      </w:r>
      <w:r w:rsidRPr="00525D7A">
        <w:rPr>
          <w:i/>
          <w:iCs/>
          <w:sz w:val="20"/>
          <w:szCs w:val="20"/>
        </w:rPr>
        <w:t>Leading subsidized theatres ranked by amount of funding received from Arts Council England from 2018/19 to 2021/22*</w:t>
      </w:r>
      <w:r>
        <w:rPr>
          <w:sz w:val="20"/>
          <w:szCs w:val="20"/>
        </w:rPr>
        <w:t xml:space="preserve"> Available from: </w:t>
      </w:r>
      <w:hyperlink r:id="rId7">
        <w:r>
          <w:rPr>
            <w:color w:val="1155CC"/>
            <w:sz w:val="20"/>
            <w:szCs w:val="20"/>
            <w:u w:val="single"/>
          </w:rPr>
          <w:t>https://www.statista.com/statistics/510623/most-subsidized-theaters-by-funding-amount-in-england-uk/</w:t>
        </w:r>
      </w:hyperlink>
    </w:p>
  </w:footnote>
  <w:footnote w:id="10">
    <w:p w14:paraId="0874F768" w14:textId="42239727" w:rsidR="00521BD0" w:rsidRPr="00521BD0" w:rsidRDefault="00521BD0">
      <w:pPr>
        <w:pStyle w:val="FootnoteText"/>
      </w:pPr>
      <w:r>
        <w:rPr>
          <w:rStyle w:val="FootnoteReference"/>
        </w:rPr>
        <w:footnoteRef/>
      </w:r>
      <w:r>
        <w:t xml:space="preserve"> Ryan, F. (2021) ‘Remote working has been life-changing for disabled people, don’t take it away now’. </w:t>
      </w:r>
      <w:r>
        <w:rPr>
          <w:i/>
          <w:iCs/>
        </w:rPr>
        <w:t xml:space="preserve">The Guardian. </w:t>
      </w:r>
      <w:r>
        <w:t xml:space="preserve">2 June 2021. Available from: </w:t>
      </w:r>
      <w:hyperlink r:id="rId8" w:history="1">
        <w:r w:rsidRPr="00B75FC8">
          <w:rPr>
            <w:rStyle w:val="Hyperlink"/>
          </w:rPr>
          <w:t>https://www.theguardian.com/commentisfree/2021/jun/02/remote-working-disabled-people-back-to-normal-disability-inclusion</w:t>
        </w:r>
      </w:hyperlink>
    </w:p>
  </w:footnote>
  <w:footnote w:id="11">
    <w:p w14:paraId="5C3FFDB8" w14:textId="09FFFD3C" w:rsidR="00521BD0" w:rsidRPr="003B63F4" w:rsidRDefault="003B63F4">
      <w:pPr>
        <w:pStyle w:val="FootnoteText"/>
      </w:pPr>
      <w:r>
        <w:rPr>
          <w:rStyle w:val="FootnoteReference"/>
        </w:rPr>
        <w:footnoteRef/>
      </w:r>
      <w:r>
        <w:t xml:space="preserve"> Hale, C., Benstead, S., Hardy, K. and Ingold, J. (2021) </w:t>
      </w:r>
      <w:r>
        <w:rPr>
          <w:i/>
          <w:iCs/>
        </w:rPr>
        <w:t>I already have a job… getting through the day: Energy Limiting Chronic Illness (ELCI), Social Inclusion, Employment and Social Security</w:t>
      </w:r>
      <w:r>
        <w:t xml:space="preserve">. </w:t>
      </w:r>
      <w:r w:rsidR="00521BD0">
        <w:t xml:space="preserve">Centre for Welfare Reform. Available from: </w:t>
      </w:r>
      <w:hyperlink r:id="rId9" w:history="1">
        <w:r w:rsidR="00521BD0" w:rsidRPr="00B75FC8">
          <w:rPr>
            <w:rStyle w:val="Hyperlink"/>
          </w:rPr>
          <w:t>https://chronicillnessinclusion.org.uk/wp-content/uploads/2021/04/CfWR-ELCI-and-Work-b.pdf</w:t>
        </w:r>
      </w:hyperlink>
    </w:p>
  </w:footnote>
  <w:footnote w:id="12">
    <w:p w14:paraId="1D7EDADC" w14:textId="7D504DB2" w:rsidR="00912695" w:rsidRDefault="00912695">
      <w:pPr>
        <w:pStyle w:val="FootnoteText"/>
      </w:pPr>
      <w:r>
        <w:rPr>
          <w:rStyle w:val="FootnoteReference"/>
        </w:rPr>
        <w:footnoteRef/>
      </w:r>
      <w:r>
        <w:t xml:space="preserve"> Hale, C., Brough, J., Allam, A., Lydiard, S., Springfield, F., </w:t>
      </w:r>
      <w:proofErr w:type="spellStart"/>
      <w:r>
        <w:t>Fixter</w:t>
      </w:r>
      <w:proofErr w:type="spellEnd"/>
      <w:r>
        <w:t xml:space="preserve">, A., Wright, N., </w:t>
      </w:r>
      <w:proofErr w:type="spellStart"/>
      <w:r>
        <w:t>Clutton</w:t>
      </w:r>
      <w:proofErr w:type="spellEnd"/>
      <w:r>
        <w:t xml:space="preserve">, V. and Bole, K. (2021) </w:t>
      </w:r>
      <w:r>
        <w:rPr>
          <w:i/>
          <w:iCs/>
        </w:rPr>
        <w:t>Submission to the Department of Health and Social Care’s Inquiry into Women’s Health and Wellbeing in England</w:t>
      </w:r>
      <w:r>
        <w:t xml:space="preserve">. Chronic Illness Inclusion, p.8. Available from: </w:t>
      </w:r>
      <w:hyperlink r:id="rId10" w:history="1">
        <w:r w:rsidRPr="00B75FC8">
          <w:rPr>
            <w:rStyle w:val="Hyperlink"/>
          </w:rPr>
          <w:t>https://chronicillnessinclusion.org.uk/wp-content/uploads/2021/06/CII.DHSC-Womens-Health-England-June-2021.pdf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7D1D" w14:textId="4A3E9BCC" w:rsidR="000564F3" w:rsidRPr="000564F3" w:rsidRDefault="000564F3">
    <w:pPr>
      <w:pStyle w:val="Header"/>
    </w:pPr>
    <w:r w:rsidRPr="000564F3">
      <w:t>Chronic Illness Inclusion’s Submission to the UNCRPD Shadow Report Part II</w:t>
    </w:r>
  </w:p>
  <w:p w14:paraId="2A1294E3" w14:textId="77777777" w:rsidR="000564F3" w:rsidRDefault="00056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E5"/>
    <w:rsid w:val="000564F3"/>
    <w:rsid w:val="001C108D"/>
    <w:rsid w:val="002B5980"/>
    <w:rsid w:val="00312F61"/>
    <w:rsid w:val="0035168E"/>
    <w:rsid w:val="003B63F4"/>
    <w:rsid w:val="004520FD"/>
    <w:rsid w:val="00452DF1"/>
    <w:rsid w:val="0046606F"/>
    <w:rsid w:val="00481CC9"/>
    <w:rsid w:val="004A4DC8"/>
    <w:rsid w:val="005212A9"/>
    <w:rsid w:val="00521BD0"/>
    <w:rsid w:val="00525D7A"/>
    <w:rsid w:val="00566F1E"/>
    <w:rsid w:val="0058512F"/>
    <w:rsid w:val="005F1707"/>
    <w:rsid w:val="006D3D4A"/>
    <w:rsid w:val="007027D1"/>
    <w:rsid w:val="00711006"/>
    <w:rsid w:val="00716638"/>
    <w:rsid w:val="00844DCB"/>
    <w:rsid w:val="008D4527"/>
    <w:rsid w:val="00911998"/>
    <w:rsid w:val="00912695"/>
    <w:rsid w:val="00973078"/>
    <w:rsid w:val="009A1BE9"/>
    <w:rsid w:val="009D7C7E"/>
    <w:rsid w:val="009F538E"/>
    <w:rsid w:val="00A36E9C"/>
    <w:rsid w:val="00A64670"/>
    <w:rsid w:val="00AF648C"/>
    <w:rsid w:val="00BC3242"/>
    <w:rsid w:val="00BE6BE5"/>
    <w:rsid w:val="00C3607E"/>
    <w:rsid w:val="00E42397"/>
    <w:rsid w:val="00E478FC"/>
    <w:rsid w:val="00E74ADB"/>
    <w:rsid w:val="00FC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7E151"/>
  <w15:docId w15:val="{4B238367-5E99-4F39-B33E-AEAFADB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paragraph" w:styleId="FootnoteText">
    <w:name w:val="footnote text"/>
    <w:basedOn w:val="Normal"/>
    <w:link w:val="FootnoteTextChar"/>
    <w:uiPriority w:val="99"/>
    <w:semiHidden/>
    <w:unhideWhenUsed/>
    <w:rsid w:val="0058512F"/>
    <w:pPr>
      <w:spacing w:line="240" w:lineRule="auto"/>
    </w:pPr>
    <w:rPr>
      <w:sz w:val="20"/>
      <w:szCs w:val="20"/>
    </w:rPr>
  </w:style>
  <w:style w:type="character" w:customStyle="1" w:styleId="FootnoteTextChar">
    <w:name w:val="Footnote Text Char"/>
    <w:basedOn w:val="DefaultParagraphFont"/>
    <w:link w:val="FootnoteText"/>
    <w:uiPriority w:val="99"/>
    <w:semiHidden/>
    <w:rsid w:val="0058512F"/>
    <w:rPr>
      <w:sz w:val="20"/>
      <w:szCs w:val="20"/>
    </w:rPr>
  </w:style>
  <w:style w:type="character" w:styleId="FootnoteReference">
    <w:name w:val="footnote reference"/>
    <w:basedOn w:val="DefaultParagraphFont"/>
    <w:uiPriority w:val="99"/>
    <w:semiHidden/>
    <w:unhideWhenUsed/>
    <w:rsid w:val="0058512F"/>
    <w:rPr>
      <w:vertAlign w:val="superscript"/>
    </w:rPr>
  </w:style>
  <w:style w:type="character" w:styleId="Hyperlink">
    <w:name w:val="Hyperlink"/>
    <w:basedOn w:val="DefaultParagraphFont"/>
    <w:uiPriority w:val="99"/>
    <w:unhideWhenUsed/>
    <w:rsid w:val="00E478FC"/>
    <w:rPr>
      <w:color w:val="0000FF" w:themeColor="hyperlink"/>
      <w:u w:val="single"/>
    </w:rPr>
  </w:style>
  <w:style w:type="character" w:styleId="UnresolvedMention">
    <w:name w:val="Unresolved Mention"/>
    <w:basedOn w:val="DefaultParagraphFont"/>
    <w:uiPriority w:val="99"/>
    <w:semiHidden/>
    <w:unhideWhenUsed/>
    <w:rsid w:val="00A64670"/>
    <w:rPr>
      <w:color w:val="605E5C"/>
      <w:shd w:val="clear" w:color="auto" w:fill="E1DFDD"/>
    </w:rPr>
  </w:style>
  <w:style w:type="character" w:styleId="CommentReference">
    <w:name w:val="annotation reference"/>
    <w:basedOn w:val="DefaultParagraphFont"/>
    <w:uiPriority w:val="99"/>
    <w:semiHidden/>
    <w:unhideWhenUsed/>
    <w:rsid w:val="009F538E"/>
    <w:rPr>
      <w:sz w:val="16"/>
      <w:szCs w:val="16"/>
    </w:rPr>
  </w:style>
  <w:style w:type="paragraph" w:styleId="CommentText">
    <w:name w:val="annotation text"/>
    <w:basedOn w:val="Normal"/>
    <w:link w:val="CommentTextChar"/>
    <w:uiPriority w:val="99"/>
    <w:semiHidden/>
    <w:unhideWhenUsed/>
    <w:rsid w:val="009F538E"/>
    <w:pPr>
      <w:spacing w:line="240" w:lineRule="auto"/>
    </w:pPr>
    <w:rPr>
      <w:sz w:val="20"/>
      <w:szCs w:val="20"/>
    </w:rPr>
  </w:style>
  <w:style w:type="character" w:customStyle="1" w:styleId="CommentTextChar">
    <w:name w:val="Comment Text Char"/>
    <w:basedOn w:val="DefaultParagraphFont"/>
    <w:link w:val="CommentText"/>
    <w:uiPriority w:val="99"/>
    <w:semiHidden/>
    <w:rsid w:val="009F538E"/>
    <w:rPr>
      <w:sz w:val="20"/>
      <w:szCs w:val="20"/>
    </w:rPr>
  </w:style>
  <w:style w:type="paragraph" w:styleId="CommentSubject">
    <w:name w:val="annotation subject"/>
    <w:basedOn w:val="CommentText"/>
    <w:next w:val="CommentText"/>
    <w:link w:val="CommentSubjectChar"/>
    <w:uiPriority w:val="99"/>
    <w:semiHidden/>
    <w:unhideWhenUsed/>
    <w:rsid w:val="009F538E"/>
    <w:rPr>
      <w:b/>
      <w:bCs/>
    </w:rPr>
  </w:style>
  <w:style w:type="character" w:customStyle="1" w:styleId="CommentSubjectChar">
    <w:name w:val="Comment Subject Char"/>
    <w:basedOn w:val="CommentTextChar"/>
    <w:link w:val="CommentSubject"/>
    <w:uiPriority w:val="99"/>
    <w:semiHidden/>
    <w:rsid w:val="009F538E"/>
    <w:rPr>
      <w:b/>
      <w:bCs/>
      <w:sz w:val="20"/>
      <w:szCs w:val="20"/>
    </w:rPr>
  </w:style>
  <w:style w:type="paragraph" w:styleId="Header">
    <w:name w:val="header"/>
    <w:basedOn w:val="Normal"/>
    <w:link w:val="HeaderChar"/>
    <w:uiPriority w:val="99"/>
    <w:unhideWhenUsed/>
    <w:rsid w:val="000564F3"/>
    <w:pPr>
      <w:tabs>
        <w:tab w:val="center" w:pos="4513"/>
        <w:tab w:val="right" w:pos="9026"/>
      </w:tabs>
      <w:spacing w:line="240" w:lineRule="auto"/>
    </w:pPr>
  </w:style>
  <w:style w:type="character" w:customStyle="1" w:styleId="HeaderChar">
    <w:name w:val="Header Char"/>
    <w:basedOn w:val="DefaultParagraphFont"/>
    <w:link w:val="Header"/>
    <w:uiPriority w:val="99"/>
    <w:rsid w:val="000564F3"/>
  </w:style>
  <w:style w:type="paragraph" w:styleId="Footer">
    <w:name w:val="footer"/>
    <w:basedOn w:val="Normal"/>
    <w:link w:val="FooterChar"/>
    <w:uiPriority w:val="99"/>
    <w:unhideWhenUsed/>
    <w:rsid w:val="000564F3"/>
    <w:pPr>
      <w:tabs>
        <w:tab w:val="center" w:pos="4513"/>
        <w:tab w:val="right" w:pos="9026"/>
      </w:tabs>
      <w:spacing w:line="240" w:lineRule="auto"/>
    </w:pPr>
  </w:style>
  <w:style w:type="character" w:customStyle="1" w:styleId="FooterChar">
    <w:name w:val="Footer Char"/>
    <w:basedOn w:val="DefaultParagraphFont"/>
    <w:link w:val="Footer"/>
    <w:uiPriority w:val="99"/>
    <w:rsid w:val="0005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commentisfree/2021/jun/02/remote-working-disabled-people-back-to-normal-disability-inclusion" TargetMode="External"/><Relationship Id="rId3" Type="http://schemas.openxmlformats.org/officeDocument/2006/relationships/hyperlink" Target="http://www.disabilitywales.org/coronavirus-and-chronic-illness/?fbclid=IwAR27SZ8O2-td8fRQ99wJ0_S37A6pTNaqVc_XURQFcJYFV14SFT9KMQ5dX20" TargetMode="External"/><Relationship Id="rId7" Type="http://schemas.openxmlformats.org/officeDocument/2006/relationships/hyperlink" Target="https://www.statista.com/statistics/510623/most-subsidized-theaters-by-funding-amount-in-england-uk/" TargetMode="External"/><Relationship Id="rId2" Type="http://schemas.openxmlformats.org/officeDocument/2006/relationships/hyperlink" Target="https://chronicillnessinclusion.org.uk/wp-content/uploads/2021/06/CII.DHSC-Womens-Health-England-June-2021.pdf" TargetMode="External"/><Relationship Id="rId1" Type="http://schemas.openxmlformats.org/officeDocument/2006/relationships/hyperlink" Target="https://chronicillnessinclusion.org.uk/wp-content/uploads/2021/04/energy-impairment-and-disability-inclusion.pdf" TargetMode="External"/><Relationship Id="rId6" Type="http://schemas.openxmlformats.org/officeDocument/2006/relationships/hyperlink" Target="https://www.theguardian.com/stage/2021/oct/10/50-of-uk-theatres-streaming-shows-online-during-covid-revert-to-in-person-only" TargetMode="External"/><Relationship Id="rId5" Type="http://schemas.openxmlformats.org/officeDocument/2006/relationships/hyperlink" Target="https://disabilityunit.blog.gov.uk/2021/07/28/leisure-national-disability-strategy-explained/" TargetMode="External"/><Relationship Id="rId10" Type="http://schemas.openxmlformats.org/officeDocument/2006/relationships/hyperlink" Target="https://chronicillnessinclusion.org.uk/wp-content/uploads/2021/06/CII.DHSC-Womens-Health-England-June-2021.pdf" TargetMode="External"/><Relationship Id="rId4" Type="http://schemas.openxmlformats.org/officeDocument/2006/relationships/hyperlink" Target="https://chronicillnessinclusion.org.uk/wp-content/uploads/2021/04/remote-revolution-to-reasonable-adjustments.pdf" TargetMode="External"/><Relationship Id="rId9" Type="http://schemas.openxmlformats.org/officeDocument/2006/relationships/hyperlink" Target="https://chronicillnessinclusion.org.uk/wp-content/uploads/2021/04/CfWR-ELCI-and-Work-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11CF-E8EC-4A5E-95D8-9302EC47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 Gunn</dc:creator>
  <cp:lastModifiedBy>Leonora Gunn</cp:lastModifiedBy>
  <cp:revision>12</cp:revision>
  <dcterms:created xsi:type="dcterms:W3CDTF">2021-12-18T13:50:00Z</dcterms:created>
  <dcterms:modified xsi:type="dcterms:W3CDTF">2022-03-01T12:28:00Z</dcterms:modified>
</cp:coreProperties>
</file>