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BBDF" w14:textId="77777777" w:rsidR="007F092B" w:rsidRPr="007F092B" w:rsidRDefault="007F092B" w:rsidP="007F092B">
      <w:pPr>
        <w:pStyle w:val="HChG"/>
        <w:rPr>
          <w:rFonts w:ascii="Calibri" w:hAnsi="Calibri" w:cs="Calibri"/>
          <w:szCs w:val="28"/>
        </w:rPr>
      </w:pPr>
      <w:r w:rsidRPr="007F092B">
        <w:rPr>
          <w:rFonts w:ascii="Calibri" w:hAnsi="Calibri" w:cs="Calibri"/>
          <w:szCs w:val="28"/>
        </w:rPr>
        <w:t>Recommendations</w:t>
      </w:r>
    </w:p>
    <w:p w14:paraId="043E4610"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sz w:val="28"/>
          <w:szCs w:val="28"/>
        </w:rPr>
        <w:t>114.</w:t>
      </w:r>
      <w:r w:rsidRPr="007F092B">
        <w:rPr>
          <w:rFonts w:ascii="Calibri" w:eastAsia="Calibri" w:hAnsi="Calibri" w:cs="Calibri"/>
          <w:sz w:val="28"/>
          <w:szCs w:val="28"/>
        </w:rPr>
        <w:tab/>
      </w:r>
      <w:r w:rsidRPr="007F092B">
        <w:rPr>
          <w:rFonts w:ascii="Calibri" w:eastAsia="Calibri" w:hAnsi="Calibri" w:cs="Calibri"/>
          <w:b/>
          <w:bCs/>
          <w:sz w:val="28"/>
          <w:szCs w:val="28"/>
        </w:rPr>
        <w:t>The Committee recommends that the State party:</w:t>
      </w:r>
    </w:p>
    <w:p w14:paraId="64128470"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(a)</w:t>
      </w:r>
      <w:r w:rsidRPr="007F092B">
        <w:rPr>
          <w:rFonts w:ascii="Calibri" w:eastAsia="Calibri" w:hAnsi="Calibri" w:cs="Calibri"/>
          <w:b/>
          <w:bCs/>
          <w:sz w:val="28"/>
          <w:szCs w:val="28"/>
        </w:rPr>
        <w:tab/>
        <w:t xml:space="preserve">Conduct a cumulative impact assessment of the measures adopted since 2010, referred to in the present report, on the rights to independent living and to be included in the community, social protection and employment of persons with disabilities. The State party should ensure that such assessment is rights-based and meaningfully involves persons with disabilities and their representative organizations; </w:t>
      </w:r>
    </w:p>
    <w:p w14:paraId="356FB878"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(b)</w:t>
      </w:r>
      <w:r w:rsidRPr="007F092B">
        <w:rPr>
          <w:rFonts w:ascii="Calibri" w:eastAsia="Calibri" w:hAnsi="Calibri" w:cs="Calibri"/>
          <w:b/>
          <w:bCs/>
          <w:sz w:val="28"/>
          <w:szCs w:val="28"/>
        </w:rPr>
        <w:tab/>
        <w:t>Ensure that any intended measure of the welfare reform is rights-based, upholds the human rights model of disability and does not disproportionately and/or adversely affect the rights of persons with disabilities to independent living, an adequate standard of living and employment. To prevent adverse consequences, the States party should carry out human rights-based cumulative impact assessments of the whole range of intended measures that would have an impact on the rights of persons with disabilities;</w:t>
      </w:r>
    </w:p>
    <w:p w14:paraId="1A04B022"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(c)</w:t>
      </w:r>
      <w:r w:rsidRPr="007F092B">
        <w:rPr>
          <w:rFonts w:ascii="Calibri" w:eastAsia="Calibri" w:hAnsi="Calibri" w:cs="Calibri"/>
          <w:b/>
          <w:bCs/>
          <w:sz w:val="28"/>
          <w:szCs w:val="28"/>
        </w:rPr>
        <w:tab/>
        <w:t>Ensure that: any intended legislation and/or policy measure respects the core elements of the rights analysed in the present report; persons with disabilities retain their autonomy, choice and control over their place of residence and with whom they live; they receive appropriate and individualized support, including through personal assistance, and have access to community-based services on an equal basis with others; they have access to security social schemes that ensure income protection, including in relation to the extra cost of disability, that is compatible with an adequate standard of living and ensure their full inclusion and participation in society; and they have access and are supported in gaining employment in the open labour market on an equal basis with others;</w:t>
      </w:r>
    </w:p>
    <w:p w14:paraId="40E5C857"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(d)</w:t>
      </w:r>
      <w:r w:rsidRPr="007F092B">
        <w:rPr>
          <w:rFonts w:ascii="Calibri" w:eastAsia="Calibri" w:hAnsi="Calibri" w:cs="Calibri"/>
          <w:b/>
          <w:bCs/>
          <w:sz w:val="28"/>
          <w:szCs w:val="28"/>
        </w:rPr>
        <w:tab/>
        <w:t xml:space="preserve">Ensure that public budgets take into account the rights of persons with disabilities, that sufficient budget allocations are made available to cover extra costs </w:t>
      </w:r>
      <w:r w:rsidRPr="007F092B">
        <w:rPr>
          <w:rFonts w:ascii="Calibri" w:eastAsia="Calibri" w:hAnsi="Calibri" w:cs="Calibri"/>
          <w:b/>
          <w:bCs/>
          <w:sz w:val="28"/>
          <w:szCs w:val="28"/>
        </w:rPr>
        <w:lastRenderedPageBreak/>
        <w:t>associated with living with a disability and that appropriate mitigation measures, with appropriate budget allocations, are in place for persons with disabilities affected by austerity measures;</w:t>
      </w:r>
    </w:p>
    <w:p w14:paraId="4A439017" w14:textId="77777777" w:rsidR="007F092B" w:rsidRPr="007F092B" w:rsidRDefault="007F092B" w:rsidP="007F092B">
      <w:pPr>
        <w:pStyle w:val="SingleTxtG"/>
        <w:rPr>
          <w:rFonts w:ascii="Calibri" w:hAnsi="Calibri" w:cs="Calibri"/>
          <w:b/>
          <w:bCs/>
          <w:sz w:val="28"/>
          <w:szCs w:val="28"/>
        </w:rPr>
      </w:pPr>
      <w:r w:rsidRPr="007F092B">
        <w:rPr>
          <w:rFonts w:ascii="Calibri" w:hAnsi="Calibri" w:cs="Calibri"/>
          <w:b/>
          <w:bCs/>
          <w:sz w:val="28"/>
          <w:szCs w:val="28"/>
        </w:rPr>
        <w:tab/>
      </w:r>
      <w:r w:rsidRPr="007F092B">
        <w:rPr>
          <w:rFonts w:ascii="Calibri" w:hAnsi="Calibri" w:cs="Calibri"/>
          <w:sz w:val="28"/>
          <w:szCs w:val="28"/>
        </w:rPr>
        <w:t>(e)</w:t>
      </w:r>
      <w:r w:rsidRPr="007F092B">
        <w:rPr>
          <w:rFonts w:ascii="Calibri" w:hAnsi="Calibri" w:cs="Calibri"/>
          <w:b/>
          <w:bCs/>
          <w:sz w:val="28"/>
          <w:szCs w:val="28"/>
        </w:rPr>
        <w:tab/>
        <w:t xml:space="preserve">Introduce </w:t>
      </w:r>
      <w:r w:rsidRPr="007F092B">
        <w:rPr>
          <w:rFonts w:ascii="Calibri" w:eastAsia="Calibri" w:hAnsi="Calibri" w:cs="Calibri"/>
          <w:b/>
          <w:bCs/>
          <w:sz w:val="28"/>
          <w:szCs w:val="28"/>
        </w:rPr>
        <w:t>all</w:t>
      </w:r>
      <w:r w:rsidRPr="007F092B">
        <w:rPr>
          <w:rFonts w:ascii="Calibri" w:hAnsi="Calibri" w:cs="Calibri"/>
          <w:b/>
          <w:bCs/>
          <w:sz w:val="28"/>
          <w:szCs w:val="28"/>
        </w:rPr>
        <w:t xml:space="preserve"> adjustments necessary to make all information, communications, administrative and legal procedures in relation to social security entitlements, independent living schemes and employment/unemployment-related support services fully accessible to all persons with disabilities;</w:t>
      </w:r>
    </w:p>
    <w:p w14:paraId="1CFB9E12"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(f)</w:t>
      </w:r>
      <w:r w:rsidRPr="007F092B">
        <w:rPr>
          <w:rFonts w:ascii="Calibri" w:eastAsia="Calibri" w:hAnsi="Calibri" w:cs="Calibri"/>
          <w:b/>
          <w:bCs/>
          <w:sz w:val="28"/>
          <w:szCs w:val="28"/>
        </w:rPr>
        <w:tab/>
        <w:t>Ensure access to justice, by providing appropriate legal advice and support, including through reasonable and procedural accommodation for persons with disabilities seeking redress and reparation for the alleged violation of their rights, as covered in the present report;</w:t>
      </w:r>
    </w:p>
    <w:p w14:paraId="7BEBD899"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(g)</w:t>
      </w:r>
      <w:r w:rsidRPr="007F092B">
        <w:rPr>
          <w:rFonts w:ascii="Calibri" w:eastAsia="Calibri" w:hAnsi="Calibri" w:cs="Calibri"/>
          <w:b/>
          <w:bCs/>
          <w:sz w:val="28"/>
          <w:szCs w:val="28"/>
        </w:rPr>
        <w:tab/>
        <w:t>Actively consult and engage with persons with disabilities through their representative organizations and give due consideration to their views in the design, implementation, monitoring and evaluation of any legislation, policy or programme action related to the rights addressed in the present report;</w:t>
      </w:r>
    </w:p>
    <w:p w14:paraId="21E17167"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(h)</w:t>
      </w:r>
      <w:r w:rsidRPr="007F092B">
        <w:rPr>
          <w:rFonts w:ascii="Calibri" w:eastAsia="Calibri" w:hAnsi="Calibri" w:cs="Calibri"/>
          <w:b/>
          <w:bCs/>
          <w:sz w:val="28"/>
          <w:szCs w:val="28"/>
        </w:rPr>
        <w:tab/>
        <w:t>Take appropriate measures to combat any negative and discriminatory stereotypes or prejudice against persons with disabilities in public and the media, including that dependency on benefits is in itself a disincentive of employment;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p w14:paraId="60C82DCB"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w:t>
      </w:r>
      <w:proofErr w:type="spellStart"/>
      <w:r w:rsidRPr="007F092B">
        <w:rPr>
          <w:rFonts w:ascii="Calibri" w:eastAsia="Calibri" w:hAnsi="Calibri" w:cs="Calibri"/>
          <w:sz w:val="28"/>
          <w:szCs w:val="28"/>
        </w:rPr>
        <w:t>i</w:t>
      </w:r>
      <w:proofErr w:type="spellEnd"/>
      <w:r w:rsidRPr="007F092B">
        <w:rPr>
          <w:rFonts w:ascii="Calibri" w:eastAsia="Calibri" w:hAnsi="Calibri" w:cs="Calibri"/>
          <w:sz w:val="28"/>
          <w:szCs w:val="28"/>
        </w:rPr>
        <w:t>)</w:t>
      </w:r>
      <w:r w:rsidRPr="007F092B">
        <w:rPr>
          <w:rFonts w:ascii="Calibri" w:eastAsia="Calibri" w:hAnsi="Calibri" w:cs="Calibri"/>
          <w:b/>
          <w:bCs/>
          <w:sz w:val="28"/>
          <w:szCs w:val="28"/>
        </w:rPr>
        <w:tab/>
        <w:t xml:space="preserve">Ensure that, in the implementation of legislation, policies and programmes, special attention is paid to persons with disabilities living with a low income or in poverty and persons with disabilities at higher risk of </w:t>
      </w:r>
      <w:r w:rsidRPr="007F092B">
        <w:rPr>
          <w:rFonts w:ascii="Calibri" w:eastAsia="Calibri" w:hAnsi="Calibri" w:cs="Calibri"/>
          <w:b/>
          <w:bCs/>
          <w:sz w:val="28"/>
          <w:szCs w:val="28"/>
        </w:rPr>
        <w:lastRenderedPageBreak/>
        <w:t xml:space="preserve">exclusion, such as persons with intellectual, psychosocial or multiple disabilities and women, children and older persons with disabilities. Those measures should be put in place within </w:t>
      </w:r>
      <w:proofErr w:type="spellStart"/>
      <w:r w:rsidRPr="007F092B">
        <w:rPr>
          <w:rFonts w:ascii="Calibri" w:eastAsia="Calibri" w:hAnsi="Calibri" w:cs="Calibri"/>
          <w:b/>
          <w:bCs/>
          <w:sz w:val="28"/>
          <w:szCs w:val="28"/>
        </w:rPr>
        <w:t>contributive</w:t>
      </w:r>
      <w:proofErr w:type="spellEnd"/>
      <w:r w:rsidRPr="007F092B">
        <w:rPr>
          <w:rFonts w:ascii="Calibri" w:eastAsia="Calibri" w:hAnsi="Calibri" w:cs="Calibri"/>
          <w:b/>
          <w:bCs/>
          <w:sz w:val="28"/>
          <w:szCs w:val="28"/>
        </w:rPr>
        <w:t xml:space="preserve"> and non-</w:t>
      </w:r>
      <w:proofErr w:type="spellStart"/>
      <w:r w:rsidRPr="007F092B">
        <w:rPr>
          <w:rFonts w:ascii="Calibri" w:eastAsia="Calibri" w:hAnsi="Calibri" w:cs="Calibri"/>
          <w:b/>
          <w:bCs/>
          <w:sz w:val="28"/>
          <w:szCs w:val="28"/>
        </w:rPr>
        <w:t>contributive</w:t>
      </w:r>
      <w:proofErr w:type="spellEnd"/>
      <w:r w:rsidRPr="007F092B">
        <w:rPr>
          <w:rFonts w:ascii="Calibri" w:eastAsia="Calibri" w:hAnsi="Calibri" w:cs="Calibri"/>
          <w:b/>
          <w:bCs/>
          <w:sz w:val="28"/>
          <w:szCs w:val="28"/>
        </w:rPr>
        <w:t xml:space="preserve"> regimes;</w:t>
      </w:r>
    </w:p>
    <w:p w14:paraId="7A91B97B" w14:textId="77777777" w:rsidR="007F092B" w:rsidRPr="007F092B" w:rsidRDefault="007F092B" w:rsidP="007F092B">
      <w:pPr>
        <w:pStyle w:val="SingleTxtG"/>
        <w:rPr>
          <w:rFonts w:ascii="Calibri" w:eastAsia="Calibri" w:hAnsi="Calibri" w:cs="Calibri"/>
          <w:b/>
          <w:bCs/>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(j)</w:t>
      </w:r>
      <w:r w:rsidRPr="007F092B">
        <w:rPr>
          <w:rFonts w:ascii="Calibri" w:eastAsia="Calibri" w:hAnsi="Calibri" w:cs="Calibri"/>
          <w:b/>
          <w:bCs/>
          <w:sz w:val="28"/>
          <w:szCs w:val="28"/>
        </w:rPr>
        <w:tab/>
        <w:t>Set up a mechanism and a system of human rights-based indicators to permanently monitor the impact of the different policies and programmes relating to the access and enjoyment by persons with disabilities of the right to social protection and an adequate standard of living, the right to live independently and be included in the community and the right to work, in close consultation with persons with disabilities and their representative organizations in all regions and countries that constitute the State party;</w:t>
      </w:r>
    </w:p>
    <w:p w14:paraId="4385A3BC" w14:textId="77777777" w:rsidR="007F092B" w:rsidRPr="007F092B" w:rsidRDefault="007F092B" w:rsidP="007F092B">
      <w:pPr>
        <w:pStyle w:val="SingleTxtG"/>
        <w:rPr>
          <w:rFonts w:ascii="Calibri" w:eastAsia="Calibri" w:hAnsi="Calibri" w:cs="Calibri"/>
          <w:sz w:val="28"/>
          <w:szCs w:val="28"/>
        </w:rPr>
      </w:pPr>
      <w:r w:rsidRPr="007F092B">
        <w:rPr>
          <w:rFonts w:ascii="Calibri" w:eastAsia="Calibri" w:hAnsi="Calibri" w:cs="Calibri"/>
          <w:b/>
          <w:bCs/>
          <w:sz w:val="28"/>
          <w:szCs w:val="28"/>
        </w:rPr>
        <w:tab/>
      </w:r>
      <w:r w:rsidRPr="007F092B">
        <w:rPr>
          <w:rFonts w:ascii="Calibri" w:eastAsia="Calibri" w:hAnsi="Calibri" w:cs="Calibri"/>
          <w:sz w:val="28"/>
          <w:szCs w:val="28"/>
        </w:rPr>
        <w:t>(k)</w:t>
      </w:r>
      <w:r w:rsidRPr="007F092B">
        <w:rPr>
          <w:rFonts w:ascii="Calibri" w:eastAsia="Calibri" w:hAnsi="Calibri" w:cs="Calibri"/>
          <w:b/>
          <w:bCs/>
          <w:sz w:val="28"/>
          <w:szCs w:val="28"/>
        </w:rPr>
        <w:tab/>
        <w:t xml:space="preserve">Respond to the present report within the time limit prescribed under the Optional Protocol, widely disseminate the Committee’s findings and recommendations and provide appropriate follow-up to the recommendations of the present report, including during the consideration of the State party’s initial report before the Committee. </w:t>
      </w:r>
    </w:p>
    <w:p w14:paraId="0F6888F0" w14:textId="77777777" w:rsidR="004F63DA" w:rsidRDefault="004F63DA"/>
    <w:sectPr w:rsidR="004F63D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D0FF" w14:textId="77777777" w:rsidR="004E64FD" w:rsidRDefault="004E64FD" w:rsidP="004C4B18">
      <w:pPr>
        <w:spacing w:after="0" w:line="240" w:lineRule="auto"/>
      </w:pPr>
      <w:r>
        <w:separator/>
      </w:r>
    </w:p>
  </w:endnote>
  <w:endnote w:type="continuationSeparator" w:id="0">
    <w:p w14:paraId="2D3A6A9F" w14:textId="77777777" w:rsidR="004E64FD" w:rsidRDefault="004E64FD" w:rsidP="004C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808544"/>
      <w:docPartObj>
        <w:docPartGallery w:val="Page Numbers (Bottom of Page)"/>
        <w:docPartUnique/>
      </w:docPartObj>
    </w:sdtPr>
    <w:sdtEndPr>
      <w:rPr>
        <w:noProof/>
      </w:rPr>
    </w:sdtEndPr>
    <w:sdtContent>
      <w:p w14:paraId="264C4285" w14:textId="7025ABA0" w:rsidR="007F092B" w:rsidRDefault="007F09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1DE865" w14:textId="77777777" w:rsidR="007F092B" w:rsidRDefault="007F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BE1A" w14:textId="77777777" w:rsidR="004E64FD" w:rsidRDefault="004E64FD" w:rsidP="004C4B18">
      <w:pPr>
        <w:spacing w:after="0" w:line="240" w:lineRule="auto"/>
      </w:pPr>
      <w:r>
        <w:separator/>
      </w:r>
    </w:p>
  </w:footnote>
  <w:footnote w:type="continuationSeparator" w:id="0">
    <w:p w14:paraId="0F7E1A1F" w14:textId="77777777" w:rsidR="004E64FD" w:rsidRDefault="004E64FD" w:rsidP="004C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1294D"/>
    <w:multiLevelType w:val="hybridMultilevel"/>
    <w:tmpl w:val="B8760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E539C"/>
    <w:multiLevelType w:val="hybridMultilevel"/>
    <w:tmpl w:val="4EC66A24"/>
    <w:lvl w:ilvl="0" w:tplc="AD1A6D56">
      <w:start w:val="1"/>
      <w:numFmt w:val="decimal"/>
      <w:lvlText w:val="%1."/>
      <w:lvlJc w:val="left"/>
      <w:pPr>
        <w:ind w:left="1080" w:hanging="360"/>
      </w:pPr>
      <w:rPr>
        <w:rFonts w:ascii="Calibri" w:eastAsia="MS Mincho" w:hAnsi="Calibri"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18"/>
    <w:rsid w:val="004C4B18"/>
    <w:rsid w:val="004E64FD"/>
    <w:rsid w:val="004F63DA"/>
    <w:rsid w:val="005B442F"/>
    <w:rsid w:val="007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A6C2"/>
  <w15:chartTrackingRefBased/>
  <w15:docId w15:val="{D4C26962-2008-4354-ADD8-F3AF0FC0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link w:val="4GCharCharChar"/>
    <w:uiPriority w:val="99"/>
    <w:unhideWhenUsed/>
    <w:qFormat/>
    <w:rsid w:val="004C4B18"/>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C4B18"/>
    <w:pPr>
      <w:spacing w:line="240" w:lineRule="exact"/>
      <w:jc w:val="both"/>
    </w:pPr>
    <w:rPr>
      <w:vertAlign w:val="superscript"/>
    </w:rPr>
  </w:style>
  <w:style w:type="paragraph" w:styleId="FootnoteText">
    <w:name w:val="footnote text"/>
    <w:basedOn w:val="Normal"/>
    <w:link w:val="FootnoteTextChar"/>
    <w:uiPriority w:val="99"/>
    <w:unhideWhenUsed/>
    <w:rsid w:val="004C4B18"/>
    <w:pPr>
      <w:spacing w:after="0" w:line="240" w:lineRule="auto"/>
    </w:pPr>
    <w:rPr>
      <w:sz w:val="20"/>
      <w:szCs w:val="20"/>
    </w:rPr>
  </w:style>
  <w:style w:type="character" w:customStyle="1" w:styleId="FootnoteTextChar">
    <w:name w:val="Footnote Text Char"/>
    <w:basedOn w:val="DefaultParagraphFont"/>
    <w:link w:val="FootnoteText"/>
    <w:uiPriority w:val="99"/>
    <w:rsid w:val="004C4B18"/>
    <w:rPr>
      <w:sz w:val="20"/>
      <w:szCs w:val="20"/>
    </w:rPr>
  </w:style>
  <w:style w:type="paragraph" w:styleId="ListParagraph">
    <w:name w:val="List Paragraph"/>
    <w:basedOn w:val="Normal"/>
    <w:uiPriority w:val="34"/>
    <w:qFormat/>
    <w:rsid w:val="004C4B18"/>
    <w:pPr>
      <w:ind w:left="720"/>
      <w:contextualSpacing/>
    </w:pPr>
  </w:style>
  <w:style w:type="character" w:styleId="Hyperlink">
    <w:name w:val="Hyperlink"/>
    <w:basedOn w:val="DefaultParagraphFont"/>
    <w:uiPriority w:val="99"/>
    <w:unhideWhenUsed/>
    <w:rsid w:val="004C4B18"/>
    <w:rPr>
      <w:color w:val="0563C1" w:themeColor="hyperlink"/>
      <w:u w:val="single"/>
    </w:rPr>
  </w:style>
  <w:style w:type="paragraph" w:customStyle="1" w:styleId="HChG">
    <w:name w:val="_ H _Ch_G"/>
    <w:basedOn w:val="Normal"/>
    <w:next w:val="Normal"/>
    <w:rsid w:val="007F092B"/>
    <w:pPr>
      <w:keepNext/>
      <w:keepLines/>
      <w:tabs>
        <w:tab w:val="right" w:pos="851"/>
      </w:tabs>
      <w:suppressAutoHyphens/>
      <w:spacing w:before="360" w:after="240" w:line="300" w:lineRule="exact"/>
      <w:ind w:left="1134" w:right="1134" w:hanging="1134"/>
    </w:pPr>
    <w:rPr>
      <w:rFonts w:ascii="Times New Roman" w:eastAsia="SimSun" w:hAnsi="Times New Roman" w:cs="Times New Roman"/>
      <w:b/>
      <w:sz w:val="28"/>
      <w:szCs w:val="20"/>
      <w:lang w:eastAsia="zh-CN"/>
    </w:rPr>
  </w:style>
  <w:style w:type="paragraph" w:customStyle="1" w:styleId="SingleTxtG">
    <w:name w:val="_ Single Txt_G"/>
    <w:basedOn w:val="Normal"/>
    <w:link w:val="SingleTxtGChar"/>
    <w:rsid w:val="007F092B"/>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7F092B"/>
    <w:rPr>
      <w:rFonts w:ascii="Times New Roman" w:eastAsia="SimSun" w:hAnsi="Times New Roman" w:cs="Times New Roman"/>
      <w:sz w:val="20"/>
      <w:szCs w:val="20"/>
      <w:lang w:eastAsia="zh-CN"/>
    </w:rPr>
  </w:style>
  <w:style w:type="paragraph" w:styleId="Header">
    <w:name w:val="header"/>
    <w:basedOn w:val="Normal"/>
    <w:link w:val="HeaderChar"/>
    <w:uiPriority w:val="99"/>
    <w:unhideWhenUsed/>
    <w:rsid w:val="007F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92B"/>
  </w:style>
  <w:style w:type="paragraph" w:styleId="Footer">
    <w:name w:val="footer"/>
    <w:basedOn w:val="Normal"/>
    <w:link w:val="FooterChar"/>
    <w:uiPriority w:val="99"/>
    <w:unhideWhenUsed/>
    <w:rsid w:val="007F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2021-10-10T00:37:00Z</dcterms:created>
  <dcterms:modified xsi:type="dcterms:W3CDTF">2021-10-10T00:37:00Z</dcterms:modified>
</cp:coreProperties>
</file>