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C6" w:rsidRPr="004450B7" w:rsidRDefault="003D067D" w:rsidP="005C59BC">
      <w:pPr>
        <w:pStyle w:val="Heading1"/>
        <w:spacing w:line="276" w:lineRule="auto"/>
        <w:rPr>
          <w:b/>
          <w:sz w:val="28"/>
        </w:rPr>
      </w:pPr>
      <w:r w:rsidRPr="00723059">
        <w:rPr>
          <w:noProof/>
          <w:lang w:eastAsia="en-GB"/>
        </w:rPr>
        <w:drawing>
          <wp:anchor distT="0" distB="0" distL="114300" distR="114300" simplePos="0" relativeHeight="251657728" behindDoc="0" locked="0" layoutInCell="1" allowOverlap="1">
            <wp:simplePos x="0" y="0"/>
            <wp:positionH relativeFrom="column">
              <wp:posOffset>4895850</wp:posOffset>
            </wp:positionH>
            <wp:positionV relativeFrom="paragraph">
              <wp:posOffset>-731520</wp:posOffset>
            </wp:positionV>
            <wp:extent cx="1295400" cy="563245"/>
            <wp:effectExtent l="0" t="0" r="0" b="0"/>
            <wp:wrapNone/>
            <wp:docPr id="2" name="Picture 2" descr="InclusionLondon_logo_TAB_strap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InclusionLondon_logo_TAB_straplin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4A8" w:rsidRPr="004450B7">
        <w:rPr>
          <w:b/>
          <w:sz w:val="28"/>
        </w:rPr>
        <w:t>Written e</w:t>
      </w:r>
      <w:r w:rsidR="001B4F30" w:rsidRPr="004450B7">
        <w:rPr>
          <w:b/>
          <w:sz w:val="28"/>
        </w:rPr>
        <w:t xml:space="preserve">vidence </w:t>
      </w:r>
      <w:r w:rsidR="00AF46F4">
        <w:rPr>
          <w:b/>
          <w:sz w:val="28"/>
        </w:rPr>
        <w:t>to the JCHR on Defending Human Rights: attitudes to enforcement</w:t>
      </w:r>
    </w:p>
    <w:p w:rsidR="00805DC6" w:rsidRPr="001B4F30" w:rsidRDefault="003A0264" w:rsidP="001B4F30">
      <w:pPr>
        <w:pStyle w:val="BodyText"/>
        <w:spacing w:line="276" w:lineRule="auto"/>
        <w:jc w:val="right"/>
        <w:rPr>
          <w:rStyle w:val="A0"/>
          <w:rFonts w:cs="Arial"/>
          <w:sz w:val="28"/>
          <w:szCs w:val="28"/>
        </w:rPr>
      </w:pPr>
      <w:r>
        <w:rPr>
          <w:rStyle w:val="A0"/>
          <w:rFonts w:cs="Arial"/>
          <w:sz w:val="28"/>
          <w:szCs w:val="28"/>
        </w:rPr>
        <w:t>Febr</w:t>
      </w:r>
      <w:r w:rsidR="00AF46F4">
        <w:rPr>
          <w:rStyle w:val="A0"/>
          <w:rFonts w:cs="Arial"/>
          <w:sz w:val="28"/>
          <w:szCs w:val="28"/>
        </w:rPr>
        <w:t>uary 2018</w:t>
      </w:r>
    </w:p>
    <w:p w:rsidR="00805DC6" w:rsidRPr="00C43730" w:rsidRDefault="00AF46F4" w:rsidP="005B7CDC">
      <w:pPr>
        <w:spacing w:line="276" w:lineRule="auto"/>
        <w:rPr>
          <w:rStyle w:val="A0"/>
          <w:b/>
          <w:sz w:val="28"/>
          <w:szCs w:val="28"/>
        </w:rPr>
      </w:pPr>
      <w:r>
        <w:rPr>
          <w:rStyle w:val="A0"/>
          <w:b/>
          <w:sz w:val="28"/>
          <w:szCs w:val="28"/>
        </w:rPr>
        <w:t>1</w:t>
      </w:r>
      <w:r w:rsidR="005B7CDC">
        <w:rPr>
          <w:rStyle w:val="A0"/>
          <w:b/>
          <w:sz w:val="28"/>
          <w:szCs w:val="28"/>
        </w:rPr>
        <w:t xml:space="preserve">. </w:t>
      </w:r>
      <w:r w:rsidR="007964A8" w:rsidRPr="00C43730">
        <w:rPr>
          <w:rStyle w:val="A0"/>
          <w:b/>
          <w:sz w:val="28"/>
          <w:szCs w:val="28"/>
        </w:rPr>
        <w:t>I</w:t>
      </w:r>
      <w:r w:rsidR="00805DC6" w:rsidRPr="00C43730">
        <w:rPr>
          <w:rStyle w:val="A0"/>
          <w:b/>
          <w:sz w:val="28"/>
          <w:szCs w:val="28"/>
        </w:rPr>
        <w:t>ntroduction</w:t>
      </w:r>
    </w:p>
    <w:p w:rsidR="00805DC6" w:rsidRPr="001B4F30" w:rsidRDefault="00805DC6" w:rsidP="001B4F30">
      <w:pPr>
        <w:spacing w:line="276" w:lineRule="auto"/>
        <w:rPr>
          <w:rFonts w:cs="Arial"/>
          <w:sz w:val="24"/>
          <w:szCs w:val="24"/>
        </w:rPr>
      </w:pPr>
      <w:r w:rsidRPr="001B4F30">
        <w:rPr>
          <w:rFonts w:cs="Arial"/>
          <w:sz w:val="24"/>
          <w:szCs w:val="24"/>
        </w:rPr>
        <w:t>Inclusion London is a London-wide user-led organisation which promotes equality for London’s Deaf and Disabled people and provides capacity-building support for over 70 Deaf and Disabled People’s Organ</w:t>
      </w:r>
      <w:r w:rsidR="007672E1">
        <w:rPr>
          <w:rFonts w:cs="Arial"/>
          <w:sz w:val="24"/>
          <w:szCs w:val="24"/>
        </w:rPr>
        <w:t>isations (DDPOs) in London. T</w:t>
      </w:r>
      <w:r w:rsidRPr="001B4F30">
        <w:rPr>
          <w:rFonts w:cs="Arial"/>
          <w:sz w:val="24"/>
          <w:szCs w:val="24"/>
        </w:rPr>
        <w:t>hrough these organisations our reach extends to ov</w:t>
      </w:r>
      <w:r w:rsidR="007672E1">
        <w:rPr>
          <w:rFonts w:cs="Arial"/>
          <w:sz w:val="24"/>
          <w:szCs w:val="24"/>
        </w:rPr>
        <w:t>er 70,000 Disabled Londoners.  </w:t>
      </w:r>
      <w:r w:rsidRPr="001B4F30">
        <w:rPr>
          <w:rFonts w:cs="Arial"/>
          <w:sz w:val="24"/>
          <w:szCs w:val="24"/>
        </w:rPr>
        <w:t>There are approximately 1.2 million Disabled people living in London.</w:t>
      </w:r>
      <w:r w:rsidRPr="001B4F30">
        <w:rPr>
          <w:rStyle w:val="FootnoteReference"/>
          <w:rFonts w:cs="Arial"/>
          <w:color w:val="auto"/>
          <w:sz w:val="24"/>
          <w:szCs w:val="24"/>
        </w:rPr>
        <w:footnoteReference w:id="1"/>
      </w:r>
    </w:p>
    <w:p w:rsidR="00805DC6" w:rsidRPr="001B4F30" w:rsidRDefault="00805DC6" w:rsidP="005C59BC">
      <w:pPr>
        <w:spacing w:line="276" w:lineRule="auto"/>
        <w:rPr>
          <w:sz w:val="24"/>
          <w:szCs w:val="24"/>
          <w:lang w:eastAsia="en-GB"/>
        </w:rPr>
      </w:pPr>
    </w:p>
    <w:p w:rsidR="005B7CDC" w:rsidRDefault="001B4F30" w:rsidP="005C59BC">
      <w:pPr>
        <w:spacing w:line="276" w:lineRule="auto"/>
        <w:rPr>
          <w:sz w:val="24"/>
          <w:szCs w:val="24"/>
          <w:lang w:eastAsia="en-GB"/>
        </w:rPr>
      </w:pPr>
      <w:r w:rsidRPr="001B4F30">
        <w:rPr>
          <w:sz w:val="24"/>
          <w:szCs w:val="24"/>
          <w:lang w:eastAsia="en-GB"/>
        </w:rPr>
        <w:t>We we</w:t>
      </w:r>
      <w:r w:rsidR="00047B7C">
        <w:rPr>
          <w:sz w:val="24"/>
          <w:szCs w:val="24"/>
          <w:lang w:eastAsia="en-GB"/>
        </w:rPr>
        <w:t>lcome the opportunity to respond to the</w:t>
      </w:r>
      <w:r w:rsidR="00AF46F4">
        <w:rPr>
          <w:sz w:val="24"/>
          <w:szCs w:val="24"/>
          <w:lang w:eastAsia="en-GB"/>
        </w:rPr>
        <w:t xml:space="preserve"> JCHR inquiry on attitudes to enforcement of human rights. Our Disability Justice Project aims to </w:t>
      </w:r>
      <w:r w:rsidR="00AF46F4" w:rsidRPr="00AF46F4">
        <w:rPr>
          <w:sz w:val="24"/>
          <w:szCs w:val="24"/>
          <w:lang w:eastAsia="en-GB"/>
        </w:rPr>
        <w:t>build the capacity of DDPOs</w:t>
      </w:r>
      <w:r w:rsidR="00AF46F4">
        <w:rPr>
          <w:sz w:val="24"/>
          <w:szCs w:val="24"/>
          <w:lang w:eastAsia="en-GB"/>
        </w:rPr>
        <w:t xml:space="preserve"> to use the law to fight for Deaf and Disabled people’s</w:t>
      </w:r>
      <w:r w:rsidR="00AF46F4" w:rsidRPr="00AF46F4">
        <w:rPr>
          <w:sz w:val="24"/>
          <w:szCs w:val="24"/>
          <w:lang w:eastAsia="en-GB"/>
        </w:rPr>
        <w:t xml:space="preserve"> rights</w:t>
      </w:r>
      <w:r w:rsidR="00AF46F4">
        <w:rPr>
          <w:sz w:val="24"/>
          <w:szCs w:val="24"/>
          <w:lang w:eastAsia="en-GB"/>
        </w:rPr>
        <w:t xml:space="preserve"> under the Human Rights Act, Equality Act and Care Act. This submission is based on our experiences of working with DDPOs, individual Deaf and Disabled people and public lawyers to defend human rights.</w:t>
      </w:r>
    </w:p>
    <w:p w:rsidR="005B7CDC" w:rsidRPr="001B4F30" w:rsidRDefault="005B7CDC" w:rsidP="005C59BC">
      <w:pPr>
        <w:spacing w:line="276" w:lineRule="auto"/>
        <w:rPr>
          <w:sz w:val="24"/>
          <w:szCs w:val="24"/>
          <w:lang w:eastAsia="en-GB"/>
        </w:rPr>
      </w:pPr>
    </w:p>
    <w:p w:rsidR="00832856" w:rsidRPr="00693281" w:rsidRDefault="00664163" w:rsidP="00C43730">
      <w:pPr>
        <w:autoSpaceDE w:val="0"/>
        <w:autoSpaceDN w:val="0"/>
        <w:adjustRightInd w:val="0"/>
        <w:spacing w:line="276" w:lineRule="auto"/>
        <w:jc w:val="both"/>
        <w:rPr>
          <w:rFonts w:eastAsia="Arial" w:cs="Calibri"/>
          <w:bCs/>
          <w:color w:val="31849B"/>
          <w:sz w:val="24"/>
          <w:szCs w:val="24"/>
        </w:rPr>
      </w:pPr>
      <w:r>
        <w:rPr>
          <w:rFonts w:eastAsia="Arial" w:cs="Calibri"/>
          <w:b/>
          <w:bCs/>
          <w:color w:val="31849B"/>
          <w:szCs w:val="28"/>
        </w:rPr>
        <w:t>2</w:t>
      </w:r>
      <w:r w:rsidR="00AF46F4">
        <w:rPr>
          <w:rFonts w:eastAsia="Arial" w:cs="Calibri"/>
          <w:b/>
          <w:bCs/>
          <w:color w:val="31849B"/>
          <w:szCs w:val="28"/>
        </w:rPr>
        <w:t xml:space="preserve">. </w:t>
      </w:r>
      <w:r w:rsidR="00AF46F4" w:rsidRPr="00AF46F4">
        <w:rPr>
          <w:rFonts w:eastAsia="Arial" w:cs="Calibri"/>
          <w:b/>
          <w:bCs/>
          <w:color w:val="31849B"/>
          <w:szCs w:val="28"/>
        </w:rPr>
        <w:t>Access to resources</w:t>
      </w:r>
    </w:p>
    <w:p w:rsidR="00697235" w:rsidRDefault="00697235" w:rsidP="00AF46F4">
      <w:pPr>
        <w:spacing w:line="276" w:lineRule="auto"/>
        <w:rPr>
          <w:rFonts w:cs="Calibri"/>
          <w:sz w:val="24"/>
          <w:szCs w:val="24"/>
        </w:rPr>
      </w:pPr>
      <w:r>
        <w:rPr>
          <w:rFonts w:cs="Calibri"/>
          <w:sz w:val="24"/>
          <w:szCs w:val="24"/>
        </w:rPr>
        <w:t>The following are some of the key barriers that prevent or discourage Deaf and Disabled people from using the law to defend their human rights:</w:t>
      </w:r>
    </w:p>
    <w:p w:rsidR="00881E03" w:rsidRDefault="00697235" w:rsidP="003A0264">
      <w:pPr>
        <w:pStyle w:val="ListParagraph"/>
        <w:numPr>
          <w:ilvl w:val="3"/>
          <w:numId w:val="2"/>
        </w:numPr>
        <w:spacing w:after="240"/>
        <w:ind w:left="709" w:hanging="425"/>
        <w:divId w:val="1521551884"/>
        <w:rPr>
          <w:rFonts w:eastAsia="Times New Roman"/>
          <w:sz w:val="24"/>
          <w:szCs w:val="24"/>
        </w:rPr>
      </w:pPr>
      <w:r w:rsidRPr="003A0264">
        <w:rPr>
          <w:rFonts w:cs="Calibri"/>
          <w:sz w:val="24"/>
          <w:szCs w:val="24"/>
        </w:rPr>
        <w:t xml:space="preserve">Difficulties funding a lawyer to take on a case in an untested field.  </w:t>
      </w:r>
      <w:r w:rsidR="00DA3443" w:rsidRPr="003A0264">
        <w:rPr>
          <w:rFonts w:cs="Calibri"/>
          <w:sz w:val="24"/>
          <w:szCs w:val="24"/>
        </w:rPr>
        <w:t xml:space="preserve">Furthermore, </w:t>
      </w:r>
      <w:r w:rsidR="003A0264">
        <w:rPr>
          <w:rFonts w:eastAsia="Times New Roman"/>
          <w:sz w:val="24"/>
          <w:szCs w:val="24"/>
        </w:rPr>
        <w:t>t</w:t>
      </w:r>
      <w:r w:rsidR="00881E03" w:rsidRPr="003A0264">
        <w:rPr>
          <w:rFonts w:eastAsia="Times New Roman"/>
          <w:sz w:val="24"/>
          <w:szCs w:val="24"/>
        </w:rPr>
        <w:t>he current anti-HRA climate has increased practitioners, and the judiciary’s, lean towards the common law. For the last 4-5years practitioners have been seeking creative ways to develop and extend common law obligations to vulnerable individuals, cognisant that it is probably only a matter of time before the HRA is repealed.</w:t>
      </w:r>
    </w:p>
    <w:p w:rsidR="003A0264" w:rsidRDefault="00AF46F4" w:rsidP="003A0264">
      <w:pPr>
        <w:numPr>
          <w:ilvl w:val="0"/>
          <w:numId w:val="2"/>
        </w:numPr>
        <w:spacing w:after="240" w:line="276" w:lineRule="auto"/>
        <w:rPr>
          <w:rFonts w:cs="Calibri"/>
          <w:sz w:val="24"/>
          <w:szCs w:val="24"/>
        </w:rPr>
      </w:pPr>
      <w:r w:rsidRPr="003A0264">
        <w:rPr>
          <w:rFonts w:cs="Calibri"/>
          <w:sz w:val="24"/>
          <w:szCs w:val="24"/>
        </w:rPr>
        <w:t>Lawyers find i</w:t>
      </w:r>
      <w:r w:rsidR="00697235" w:rsidRPr="003A0264">
        <w:rPr>
          <w:rFonts w:cs="Calibri"/>
          <w:sz w:val="24"/>
          <w:szCs w:val="24"/>
        </w:rPr>
        <w:t>t difficult to get funding for human r</w:t>
      </w:r>
      <w:r w:rsidRPr="003A0264">
        <w:rPr>
          <w:rFonts w:cs="Calibri"/>
          <w:sz w:val="24"/>
          <w:szCs w:val="24"/>
        </w:rPr>
        <w:t xml:space="preserve">ights cases.  </w:t>
      </w:r>
      <w:r w:rsidR="002C54E9" w:rsidRPr="003A0264">
        <w:rPr>
          <w:rFonts w:cs="Calibri"/>
          <w:sz w:val="24"/>
          <w:szCs w:val="24"/>
        </w:rPr>
        <w:t xml:space="preserve">The Equality and Human Rights Commission seems only to fund human rights cases when there is a link a breach of equality legislation. </w:t>
      </w:r>
    </w:p>
    <w:p w:rsidR="00953E1E" w:rsidRPr="003A0264" w:rsidRDefault="00953E1E" w:rsidP="003A0264">
      <w:pPr>
        <w:numPr>
          <w:ilvl w:val="0"/>
          <w:numId w:val="2"/>
        </w:numPr>
        <w:spacing w:after="240" w:line="276" w:lineRule="auto"/>
        <w:rPr>
          <w:rFonts w:cs="Calibri"/>
          <w:sz w:val="24"/>
          <w:szCs w:val="24"/>
        </w:rPr>
      </w:pPr>
      <w:r w:rsidRPr="003A0264">
        <w:rPr>
          <w:rFonts w:eastAsia="Times New Roman"/>
          <w:sz w:val="24"/>
          <w:szCs w:val="24"/>
        </w:rPr>
        <w:t xml:space="preserve">The post April 2013 costs regime for civil litigation means that even when costs have been reasonably or necessarily incurred they can be disallowed if they are disproportionate. This has particularly impacted small and medium sized claims. As we discussed, the principle for remedy in HRA claims is ‘just satisfaction’ rather than restitution, and damages awards are very low in comparison to common law claims. It is very unusual to find HRA only claims that would attract high levels of damages, whilst such claims can be (and often are) relatively expensive to bring. This means </w:t>
      </w:r>
      <w:r w:rsidRPr="003A0264">
        <w:rPr>
          <w:rFonts w:eastAsia="Times New Roman"/>
          <w:sz w:val="24"/>
          <w:szCs w:val="24"/>
        </w:rPr>
        <w:lastRenderedPageBreak/>
        <w:t>that firms in private practice are likely to limit the number of such claims they take on as they are vulnerable to reduction at costs assessment stages on proportionality grounds.</w:t>
      </w:r>
    </w:p>
    <w:p w:rsidR="00697235" w:rsidRPr="002C54E9" w:rsidRDefault="00AF46F4" w:rsidP="003A0264">
      <w:pPr>
        <w:numPr>
          <w:ilvl w:val="0"/>
          <w:numId w:val="2"/>
        </w:numPr>
        <w:spacing w:after="240" w:line="276" w:lineRule="auto"/>
        <w:rPr>
          <w:rFonts w:cs="Calibri"/>
          <w:sz w:val="24"/>
          <w:szCs w:val="24"/>
        </w:rPr>
      </w:pPr>
      <w:r w:rsidRPr="003A0264">
        <w:rPr>
          <w:rFonts w:cs="Calibri"/>
          <w:sz w:val="24"/>
          <w:szCs w:val="24"/>
        </w:rPr>
        <w:t>The compensation awarded by courts does n</w:t>
      </w:r>
      <w:r w:rsidR="00697235" w:rsidRPr="003A0264">
        <w:rPr>
          <w:rFonts w:cs="Calibri"/>
          <w:sz w:val="24"/>
          <w:szCs w:val="24"/>
        </w:rPr>
        <w:t>ot pay for the lawyers’ c</w:t>
      </w:r>
      <w:r w:rsidR="00697235" w:rsidRPr="002C54E9">
        <w:rPr>
          <w:rFonts w:cs="Calibri"/>
          <w:sz w:val="24"/>
          <w:szCs w:val="24"/>
        </w:rPr>
        <w:t xml:space="preserve">osts:  if a person with legal aid </w:t>
      </w:r>
      <w:r w:rsidRPr="002C54E9">
        <w:rPr>
          <w:rFonts w:cs="Calibri"/>
          <w:sz w:val="24"/>
          <w:szCs w:val="24"/>
        </w:rPr>
        <w:t xml:space="preserve">wins their cases, the court will award costs against the losing party but only small portion of costs such as £40,000 rather than the £100,000 are awarded, so the compensation does not pay the actual costs incurred by the law company.  This inhibits lawyers taken on human rights cases. </w:t>
      </w:r>
      <w:r w:rsidR="00697235" w:rsidRPr="002C54E9">
        <w:rPr>
          <w:rFonts w:cs="Calibri"/>
          <w:sz w:val="24"/>
          <w:szCs w:val="24"/>
        </w:rPr>
        <w:t xml:space="preserve">In one example </w:t>
      </w:r>
      <w:r w:rsidRPr="002C54E9">
        <w:rPr>
          <w:rFonts w:cs="Calibri"/>
          <w:sz w:val="24"/>
          <w:szCs w:val="24"/>
        </w:rPr>
        <w:t xml:space="preserve">the mother of person with learning difficulties suspected her son died because he did not get medical treatment.  This case could be pursued under the human right to life.   However, the lawyers that were approached said the case will not pay us enough so the mother went to Mencap to take it forward. </w:t>
      </w:r>
    </w:p>
    <w:p w:rsidR="003E18BD" w:rsidRPr="003A0264" w:rsidRDefault="00250103" w:rsidP="003A0264">
      <w:pPr>
        <w:numPr>
          <w:ilvl w:val="0"/>
          <w:numId w:val="2"/>
        </w:numPr>
        <w:spacing w:after="240" w:line="276" w:lineRule="auto"/>
        <w:rPr>
          <w:rFonts w:cs="Calibri"/>
          <w:sz w:val="24"/>
          <w:szCs w:val="24"/>
        </w:rPr>
      </w:pPr>
      <w:r w:rsidRPr="001D0E5F">
        <w:rPr>
          <w:rFonts w:cs="Calibri"/>
          <w:sz w:val="24"/>
          <w:szCs w:val="24"/>
        </w:rPr>
        <w:t xml:space="preserve">The Legal Aid, Sentencing and Punishment of Offenders Act 2012 has had a detrimental impact on access to justice for Deaf and Disabled people. </w:t>
      </w:r>
      <w:r w:rsidR="00C21EA3" w:rsidRPr="003A0264">
        <w:rPr>
          <w:sz w:val="24"/>
          <w:szCs w:val="24"/>
        </w:rPr>
        <w:t>New means testing rules are much stricter than means testing for benefits</w:t>
      </w:r>
      <w:r w:rsidR="00832EF8" w:rsidRPr="003A0264">
        <w:rPr>
          <w:sz w:val="24"/>
          <w:szCs w:val="24"/>
        </w:rPr>
        <w:t xml:space="preserve"> while </w:t>
      </w:r>
      <w:r w:rsidR="00832EF8" w:rsidRPr="003A0264">
        <w:rPr>
          <w:rFonts w:cs="Calibri"/>
          <w:sz w:val="24"/>
          <w:szCs w:val="24"/>
        </w:rPr>
        <w:t>ru</w:t>
      </w:r>
      <w:r w:rsidR="00C21EA3" w:rsidRPr="003A0264">
        <w:rPr>
          <w:sz w:val="24"/>
          <w:szCs w:val="24"/>
        </w:rPr>
        <w:t xml:space="preserve">les about capital effectively mean that anyone with equity </w:t>
      </w:r>
      <w:r w:rsidR="00832EF8" w:rsidRPr="003A0264">
        <w:rPr>
          <w:sz w:val="24"/>
          <w:szCs w:val="24"/>
        </w:rPr>
        <w:t xml:space="preserve">is </w:t>
      </w:r>
      <w:r w:rsidR="00C21EA3" w:rsidRPr="003A0264">
        <w:rPr>
          <w:sz w:val="24"/>
          <w:szCs w:val="24"/>
        </w:rPr>
        <w:t xml:space="preserve">unlikely to get legal aid or would have to pay a contribution, which most </w:t>
      </w:r>
      <w:r w:rsidR="00832EF8" w:rsidRPr="003A0264">
        <w:rPr>
          <w:sz w:val="24"/>
          <w:szCs w:val="24"/>
        </w:rPr>
        <w:t>disab</w:t>
      </w:r>
      <w:r w:rsidR="000C268D" w:rsidRPr="003A0264">
        <w:rPr>
          <w:sz w:val="24"/>
          <w:szCs w:val="24"/>
        </w:rPr>
        <w:t>l</w:t>
      </w:r>
      <w:r w:rsidR="00832EF8" w:rsidRPr="003A0264">
        <w:rPr>
          <w:sz w:val="24"/>
          <w:szCs w:val="24"/>
        </w:rPr>
        <w:t>ed peopl</w:t>
      </w:r>
      <w:r w:rsidR="000C268D" w:rsidRPr="003A0264">
        <w:rPr>
          <w:sz w:val="24"/>
          <w:szCs w:val="24"/>
        </w:rPr>
        <w:t xml:space="preserve">e cannot afford, for example a disabled person who has inherited a property in which they live but </w:t>
      </w:r>
      <w:r w:rsidR="005E0CFB" w:rsidRPr="003A0264">
        <w:rPr>
          <w:sz w:val="24"/>
          <w:szCs w:val="24"/>
        </w:rPr>
        <w:t>is unable to work and reliant on income from benefits</w:t>
      </w:r>
      <w:r w:rsidR="000734F2" w:rsidRPr="003A0264">
        <w:rPr>
          <w:sz w:val="24"/>
          <w:szCs w:val="24"/>
        </w:rPr>
        <w:t>. I</w:t>
      </w:r>
      <w:r w:rsidR="00556F78" w:rsidRPr="003A0264">
        <w:rPr>
          <w:sz w:val="24"/>
          <w:szCs w:val="24"/>
        </w:rPr>
        <w:t>rrespective of the stress and upheaval that moving can cause, something that is even more complicated and difficult if you are disabled</w:t>
      </w:r>
      <w:r w:rsidR="00A574B4" w:rsidRPr="003A0264">
        <w:rPr>
          <w:sz w:val="24"/>
          <w:szCs w:val="24"/>
        </w:rPr>
        <w:t xml:space="preserve"> especially given the chronic shortage of accessible housing</w:t>
      </w:r>
      <w:r w:rsidR="00556F78" w:rsidRPr="003A0264">
        <w:rPr>
          <w:sz w:val="24"/>
          <w:szCs w:val="24"/>
        </w:rPr>
        <w:t xml:space="preserve">, it </w:t>
      </w:r>
      <w:r w:rsidR="000734F2" w:rsidRPr="003A0264">
        <w:rPr>
          <w:sz w:val="24"/>
          <w:szCs w:val="24"/>
        </w:rPr>
        <w:t>is unlikely a person could se</w:t>
      </w:r>
      <w:r w:rsidR="003A0264">
        <w:rPr>
          <w:sz w:val="24"/>
          <w:szCs w:val="24"/>
        </w:rPr>
        <w:t>ll their house within the three-</w:t>
      </w:r>
      <w:r w:rsidR="000734F2" w:rsidRPr="003A0264">
        <w:rPr>
          <w:sz w:val="24"/>
          <w:szCs w:val="24"/>
        </w:rPr>
        <w:t>month timeframe for taking a judicial review</w:t>
      </w:r>
      <w:r w:rsidR="00556F78" w:rsidRPr="003A0264">
        <w:rPr>
          <w:sz w:val="24"/>
          <w:szCs w:val="24"/>
        </w:rPr>
        <w:t xml:space="preserve"> in order to pay for their legal costs</w:t>
      </w:r>
      <w:r w:rsidR="00A574B4" w:rsidRPr="003A0264">
        <w:rPr>
          <w:sz w:val="24"/>
          <w:szCs w:val="24"/>
        </w:rPr>
        <w:t>.</w:t>
      </w:r>
      <w:r w:rsidR="003A0264">
        <w:rPr>
          <w:rFonts w:cs="Calibri"/>
          <w:sz w:val="24"/>
          <w:szCs w:val="24"/>
        </w:rPr>
        <w:t xml:space="preserve"> Un</w:t>
      </w:r>
      <w:r w:rsidR="00200768" w:rsidRPr="003A0264">
        <w:rPr>
          <w:rFonts w:cs="Calibri"/>
          <w:sz w:val="24"/>
          <w:szCs w:val="24"/>
        </w:rPr>
        <w:t xml:space="preserve">der the new legal aid rules </w:t>
      </w:r>
      <w:r w:rsidR="00200768" w:rsidRPr="003A0264">
        <w:rPr>
          <w:sz w:val="24"/>
          <w:szCs w:val="24"/>
        </w:rPr>
        <w:t>t</w:t>
      </w:r>
      <w:r w:rsidR="00C21EA3" w:rsidRPr="003A0264">
        <w:rPr>
          <w:sz w:val="24"/>
          <w:szCs w:val="24"/>
        </w:rPr>
        <w:t xml:space="preserve">here are also set sums for deductions to calculate whether or not a person is eligible, some are low, for example housing costs of in the region </w:t>
      </w:r>
      <w:r w:rsidR="00200768" w:rsidRPr="003A0264">
        <w:rPr>
          <w:sz w:val="24"/>
          <w:szCs w:val="24"/>
        </w:rPr>
        <w:t xml:space="preserve">of </w:t>
      </w:r>
      <w:r w:rsidR="00C21EA3" w:rsidRPr="003A0264">
        <w:rPr>
          <w:sz w:val="24"/>
          <w:szCs w:val="24"/>
        </w:rPr>
        <w:t>£600 per month</w:t>
      </w:r>
      <w:r w:rsidR="00200768" w:rsidRPr="003A0264">
        <w:rPr>
          <w:sz w:val="24"/>
          <w:szCs w:val="24"/>
        </w:rPr>
        <w:t>!</w:t>
      </w:r>
      <w:r w:rsidR="003A0264">
        <w:rPr>
          <w:rFonts w:cs="Calibri"/>
          <w:sz w:val="24"/>
          <w:szCs w:val="24"/>
        </w:rPr>
        <w:t xml:space="preserve"> Our org</w:t>
      </w:r>
      <w:r w:rsidR="00736043" w:rsidRPr="003A0264">
        <w:rPr>
          <w:rFonts w:cs="Calibri"/>
          <w:sz w:val="24"/>
          <w:szCs w:val="24"/>
        </w:rPr>
        <w:t>anisation is a</w:t>
      </w:r>
      <w:r w:rsidRPr="003A0264">
        <w:rPr>
          <w:rFonts w:cs="Calibri"/>
          <w:sz w:val="24"/>
          <w:szCs w:val="24"/>
        </w:rPr>
        <w:t xml:space="preserve">ware of numerous cases where individual Deaf and Disabled people have been prohibited from taking legal action to defend their human rights due to being ineligible for legal aid following the changes, instead feeling they have no option but to live </w:t>
      </w:r>
      <w:r w:rsidR="00932CA1" w:rsidRPr="003A0264">
        <w:rPr>
          <w:rFonts w:cs="Calibri"/>
          <w:sz w:val="24"/>
          <w:szCs w:val="24"/>
        </w:rPr>
        <w:t>in unacceptable, unsustainable conditions that place enormous strain on them and their families.</w:t>
      </w:r>
      <w:r w:rsidR="003E18BD" w:rsidRPr="003A0264">
        <w:rPr>
          <w:rFonts w:cs="Calibri"/>
          <w:sz w:val="24"/>
          <w:szCs w:val="24"/>
        </w:rPr>
        <w:t xml:space="preserve"> </w:t>
      </w:r>
    </w:p>
    <w:p w:rsidR="001B112B" w:rsidRPr="003A0264" w:rsidRDefault="001B112B" w:rsidP="003A0264">
      <w:pPr>
        <w:pStyle w:val="ListParagraph"/>
        <w:numPr>
          <w:ilvl w:val="0"/>
          <w:numId w:val="2"/>
        </w:numPr>
        <w:spacing w:after="240"/>
        <w:divId w:val="1905330962"/>
        <w:rPr>
          <w:rFonts w:eastAsia="Times New Roman"/>
          <w:sz w:val="24"/>
          <w:szCs w:val="24"/>
        </w:rPr>
      </w:pPr>
      <w:r w:rsidRPr="003A0264">
        <w:rPr>
          <w:rFonts w:eastAsia="Times New Roman"/>
          <w:sz w:val="24"/>
          <w:szCs w:val="24"/>
        </w:rPr>
        <w:t>Para 22 of Schedule 1 of LASPO means that only ‘significant’ breaches wi</w:t>
      </w:r>
      <w:r w:rsidR="003A0264">
        <w:rPr>
          <w:rFonts w:eastAsia="Times New Roman"/>
          <w:sz w:val="24"/>
          <w:szCs w:val="24"/>
        </w:rPr>
        <w:t>ll be funded. The guidance</w:t>
      </w:r>
      <w:r w:rsidR="003A0264">
        <w:rPr>
          <w:rStyle w:val="FootnoteReference"/>
          <w:rFonts w:eastAsia="Times New Roman"/>
          <w:szCs w:val="24"/>
        </w:rPr>
        <w:footnoteReference w:id="2"/>
      </w:r>
      <w:r w:rsidR="003A0264">
        <w:rPr>
          <w:rFonts w:eastAsia="Times New Roman"/>
          <w:sz w:val="24"/>
          <w:szCs w:val="24"/>
        </w:rPr>
        <w:t xml:space="preserve"> (</w:t>
      </w:r>
      <w:r w:rsidRPr="003A0264">
        <w:rPr>
          <w:rFonts w:eastAsia="Times New Roman"/>
          <w:sz w:val="24"/>
          <w:szCs w:val="24"/>
        </w:rPr>
        <w:t>para 11</w:t>
      </w:r>
      <w:r w:rsidR="003A0264">
        <w:rPr>
          <w:rFonts w:eastAsia="Times New Roman"/>
          <w:sz w:val="24"/>
          <w:szCs w:val="24"/>
        </w:rPr>
        <w:t>)</w:t>
      </w:r>
      <w:r w:rsidRPr="003A0264">
        <w:rPr>
          <w:rFonts w:eastAsia="Times New Roman"/>
          <w:sz w:val="24"/>
          <w:szCs w:val="24"/>
        </w:rPr>
        <w:t xml:space="preserve"> says that whether the breach was deliberate and whether the individual has objectively suffered a significant disadvantage should be taken into account. However</w:t>
      </w:r>
      <w:r w:rsidR="003A0264">
        <w:rPr>
          <w:rFonts w:eastAsia="Times New Roman"/>
          <w:sz w:val="24"/>
          <w:szCs w:val="24"/>
        </w:rPr>
        <w:t xml:space="preserve">, we know of funding being refused on the </w:t>
      </w:r>
      <w:r w:rsidRPr="003A0264">
        <w:rPr>
          <w:rFonts w:eastAsia="Times New Roman"/>
          <w:sz w:val="24"/>
          <w:szCs w:val="24"/>
        </w:rPr>
        <w:t>basis that the breach was not deliberate</w:t>
      </w:r>
      <w:r w:rsidR="003A0264">
        <w:rPr>
          <w:rFonts w:eastAsia="Times New Roman"/>
          <w:sz w:val="24"/>
          <w:szCs w:val="24"/>
        </w:rPr>
        <w:t>. This was a case involving a disabled individual where the loc</w:t>
      </w:r>
      <w:r w:rsidRPr="003A0264">
        <w:rPr>
          <w:rFonts w:eastAsia="Times New Roman"/>
          <w:sz w:val="24"/>
          <w:szCs w:val="24"/>
        </w:rPr>
        <w:t>al authority deprived an adult of their liberty</w:t>
      </w:r>
      <w:r w:rsidR="003A0264">
        <w:rPr>
          <w:rFonts w:eastAsia="Times New Roman"/>
          <w:sz w:val="24"/>
          <w:szCs w:val="24"/>
        </w:rPr>
        <w:t xml:space="preserve"> which </w:t>
      </w:r>
      <w:r w:rsidRPr="003A0264">
        <w:rPr>
          <w:rFonts w:eastAsia="Times New Roman"/>
          <w:sz w:val="24"/>
          <w:szCs w:val="24"/>
        </w:rPr>
        <w:t xml:space="preserve">the LAA refused to fund as the </w:t>
      </w:r>
      <w:r w:rsidRPr="003A0264">
        <w:rPr>
          <w:rFonts w:eastAsia="Times New Roman"/>
          <w:sz w:val="24"/>
          <w:szCs w:val="24"/>
        </w:rPr>
        <w:lastRenderedPageBreak/>
        <w:t>local authority believed they were acting in that individual</w:t>
      </w:r>
      <w:r w:rsidR="003A0264">
        <w:rPr>
          <w:rFonts w:eastAsia="Times New Roman"/>
          <w:sz w:val="24"/>
          <w:szCs w:val="24"/>
        </w:rPr>
        <w:t>’</w:t>
      </w:r>
      <w:r w:rsidRPr="003A0264">
        <w:rPr>
          <w:rFonts w:eastAsia="Times New Roman"/>
          <w:sz w:val="24"/>
          <w:szCs w:val="24"/>
        </w:rPr>
        <w:t>s best interests and therefore not acting deliberately</w:t>
      </w:r>
      <w:r w:rsidR="003A0264">
        <w:rPr>
          <w:rFonts w:eastAsia="Times New Roman"/>
          <w:sz w:val="24"/>
          <w:szCs w:val="24"/>
        </w:rPr>
        <w:t xml:space="preserve">. </w:t>
      </w:r>
    </w:p>
    <w:p w:rsidR="00EF098F" w:rsidRPr="003A0264" w:rsidRDefault="00EF098F" w:rsidP="003A0264">
      <w:pPr>
        <w:spacing w:after="240" w:line="276" w:lineRule="auto"/>
        <w:rPr>
          <w:rFonts w:cs="Calibri"/>
          <w:sz w:val="24"/>
          <w:szCs w:val="24"/>
        </w:rPr>
      </w:pPr>
    </w:p>
    <w:p w:rsidR="00512BDE" w:rsidRPr="00693281" w:rsidRDefault="00AF46F4" w:rsidP="005C59BC">
      <w:pPr>
        <w:autoSpaceDE w:val="0"/>
        <w:autoSpaceDN w:val="0"/>
        <w:adjustRightInd w:val="0"/>
        <w:spacing w:line="276" w:lineRule="auto"/>
        <w:rPr>
          <w:rFonts w:eastAsia="Arial" w:cs="Calibri"/>
          <w:bCs/>
          <w:color w:val="31849B"/>
          <w:sz w:val="24"/>
          <w:szCs w:val="24"/>
        </w:rPr>
      </w:pPr>
      <w:r>
        <w:rPr>
          <w:rFonts w:eastAsia="Arial" w:cs="Calibri"/>
          <w:b/>
          <w:bCs/>
          <w:color w:val="31849B"/>
          <w:szCs w:val="28"/>
        </w:rPr>
        <w:t xml:space="preserve">4. </w:t>
      </w:r>
      <w:r w:rsidRPr="00AF46F4">
        <w:rPr>
          <w:rFonts w:eastAsia="Arial" w:cs="Calibri"/>
          <w:b/>
          <w:bCs/>
          <w:color w:val="31849B"/>
          <w:szCs w:val="28"/>
        </w:rPr>
        <w:t>Cultural factors</w:t>
      </w:r>
    </w:p>
    <w:p w:rsidR="002526F0" w:rsidRDefault="002526F0" w:rsidP="003A0264">
      <w:pPr>
        <w:numPr>
          <w:ilvl w:val="0"/>
          <w:numId w:val="3"/>
        </w:numPr>
        <w:spacing w:after="240" w:line="276" w:lineRule="auto"/>
        <w:rPr>
          <w:rFonts w:cs="Calibri"/>
          <w:sz w:val="24"/>
          <w:szCs w:val="24"/>
        </w:rPr>
      </w:pPr>
      <w:r>
        <w:rPr>
          <w:rFonts w:cs="Calibri"/>
          <w:sz w:val="24"/>
          <w:szCs w:val="24"/>
        </w:rPr>
        <w:t>Lack of awareness of human rights and how these apply to Deaf and Disabled people among Deaf and Disabled people. There is a need for more information in accessible formats. In our experience, quoting relevant articles of the Human Rights act can have a positive impact without need for litigation, for example in a social care assessment where proposals by the social worker would have breached an individual’s rights under Article 8 of the HRA, however many Deaf and Disabled people and their advocates are not aware of these rights.</w:t>
      </w:r>
    </w:p>
    <w:p w:rsidR="00697235" w:rsidRDefault="00AF46F4" w:rsidP="003A0264">
      <w:pPr>
        <w:numPr>
          <w:ilvl w:val="0"/>
          <w:numId w:val="3"/>
        </w:numPr>
        <w:spacing w:after="240" w:line="276" w:lineRule="auto"/>
        <w:rPr>
          <w:rFonts w:cs="Calibri"/>
          <w:sz w:val="24"/>
          <w:szCs w:val="24"/>
        </w:rPr>
      </w:pPr>
      <w:r w:rsidRPr="00AF46F4">
        <w:rPr>
          <w:rFonts w:cs="Calibri"/>
          <w:sz w:val="24"/>
          <w:szCs w:val="24"/>
        </w:rPr>
        <w:t>Lack of a</w:t>
      </w:r>
      <w:r w:rsidR="00697235">
        <w:rPr>
          <w:rFonts w:cs="Calibri"/>
          <w:sz w:val="24"/>
          <w:szCs w:val="24"/>
        </w:rPr>
        <w:t>wareness of human rights among</w:t>
      </w:r>
      <w:r w:rsidRPr="00AF46F4">
        <w:rPr>
          <w:rFonts w:cs="Calibri"/>
          <w:sz w:val="24"/>
          <w:szCs w:val="24"/>
        </w:rPr>
        <w:t xml:space="preserve"> </w:t>
      </w:r>
      <w:r w:rsidR="00697235">
        <w:rPr>
          <w:rFonts w:cs="Calibri"/>
          <w:sz w:val="24"/>
          <w:szCs w:val="24"/>
        </w:rPr>
        <w:t>frontline advisor. If advisors are unsure w</w:t>
      </w:r>
      <w:r w:rsidRPr="00AF46F4">
        <w:rPr>
          <w:rFonts w:cs="Calibri"/>
          <w:sz w:val="24"/>
          <w:szCs w:val="24"/>
        </w:rPr>
        <w:t>hat human rights are and how they can be used</w:t>
      </w:r>
      <w:r w:rsidR="00697235">
        <w:rPr>
          <w:rFonts w:cs="Calibri"/>
          <w:sz w:val="24"/>
          <w:szCs w:val="24"/>
        </w:rPr>
        <w:t xml:space="preserve"> it can be</w:t>
      </w:r>
      <w:r w:rsidRPr="00AF46F4">
        <w:rPr>
          <w:rFonts w:cs="Calibri"/>
          <w:sz w:val="24"/>
          <w:szCs w:val="24"/>
        </w:rPr>
        <w:t xml:space="preserve"> difficult for people t</w:t>
      </w:r>
      <w:r w:rsidR="00697235">
        <w:rPr>
          <w:rFonts w:cs="Calibri"/>
          <w:sz w:val="24"/>
          <w:szCs w:val="24"/>
        </w:rPr>
        <w:t xml:space="preserve">o get the right advice and </w:t>
      </w:r>
      <w:r w:rsidRPr="00AF46F4">
        <w:rPr>
          <w:rFonts w:cs="Calibri"/>
          <w:sz w:val="24"/>
          <w:szCs w:val="24"/>
        </w:rPr>
        <w:t xml:space="preserve">information about how to take a case forward. </w:t>
      </w:r>
    </w:p>
    <w:p w:rsidR="005B7CDC" w:rsidRPr="00697235" w:rsidRDefault="00697235" w:rsidP="003A0264">
      <w:pPr>
        <w:numPr>
          <w:ilvl w:val="0"/>
          <w:numId w:val="3"/>
        </w:numPr>
        <w:spacing w:after="240" w:line="276" w:lineRule="auto"/>
        <w:rPr>
          <w:rFonts w:cs="Calibri"/>
          <w:sz w:val="24"/>
          <w:szCs w:val="24"/>
        </w:rPr>
      </w:pPr>
      <w:r>
        <w:rPr>
          <w:rFonts w:cs="Calibri"/>
          <w:sz w:val="24"/>
          <w:szCs w:val="24"/>
        </w:rPr>
        <w:t xml:space="preserve">Lack of awareness about human rights among lawyers who sometimes </w:t>
      </w:r>
      <w:r w:rsidR="00AF46F4" w:rsidRPr="00697235">
        <w:rPr>
          <w:rFonts w:cs="Calibri"/>
          <w:sz w:val="24"/>
          <w:szCs w:val="24"/>
        </w:rPr>
        <w:t>need to be reminded of the human Rights A</w:t>
      </w:r>
      <w:r w:rsidR="00CE4527">
        <w:rPr>
          <w:rFonts w:cs="Calibri"/>
          <w:sz w:val="24"/>
          <w:szCs w:val="24"/>
        </w:rPr>
        <w:t>c</w:t>
      </w:r>
      <w:r w:rsidR="00AF46F4" w:rsidRPr="00697235">
        <w:rPr>
          <w:rFonts w:cs="Calibri"/>
          <w:sz w:val="24"/>
          <w:szCs w:val="24"/>
        </w:rPr>
        <w:t>t and how it can be used.</w:t>
      </w:r>
    </w:p>
    <w:p w:rsidR="002526F0" w:rsidRDefault="00697235" w:rsidP="003A0264">
      <w:pPr>
        <w:numPr>
          <w:ilvl w:val="0"/>
          <w:numId w:val="3"/>
        </w:numPr>
        <w:spacing w:after="240" w:line="276" w:lineRule="auto"/>
        <w:rPr>
          <w:rFonts w:cs="Calibri"/>
          <w:sz w:val="24"/>
          <w:szCs w:val="24"/>
        </w:rPr>
      </w:pPr>
      <w:r>
        <w:rPr>
          <w:rFonts w:cs="Calibri"/>
          <w:sz w:val="24"/>
          <w:szCs w:val="24"/>
        </w:rPr>
        <w:t>Societal attitudes towards disability encourage a view</w:t>
      </w:r>
      <w:r w:rsidR="002526F0">
        <w:rPr>
          <w:rFonts w:cs="Calibri"/>
          <w:sz w:val="24"/>
          <w:szCs w:val="24"/>
        </w:rPr>
        <w:t xml:space="preserve"> that lower standards apply to D</w:t>
      </w:r>
      <w:r>
        <w:rPr>
          <w:rFonts w:cs="Calibri"/>
          <w:sz w:val="24"/>
          <w:szCs w:val="24"/>
        </w:rPr>
        <w:t xml:space="preserve">isabled people, for example many of the day to day barriers that disabled people face have become accepted as “the norm” such as being left without access to food or water for hours at a time due to social care cuts. </w:t>
      </w:r>
      <w:r w:rsidR="002526F0">
        <w:rPr>
          <w:rFonts w:cs="Calibri"/>
          <w:sz w:val="24"/>
          <w:szCs w:val="24"/>
        </w:rPr>
        <w:t xml:space="preserve">This acts prohibitively against action being pursued on a human rights basis. </w:t>
      </w:r>
    </w:p>
    <w:p w:rsidR="00AF46F4" w:rsidRDefault="002526F0" w:rsidP="003A0264">
      <w:pPr>
        <w:numPr>
          <w:ilvl w:val="0"/>
          <w:numId w:val="3"/>
        </w:numPr>
        <w:spacing w:after="240" w:line="276" w:lineRule="auto"/>
        <w:rPr>
          <w:rFonts w:cs="Calibri"/>
          <w:sz w:val="24"/>
          <w:szCs w:val="24"/>
        </w:rPr>
      </w:pPr>
      <w:r w:rsidRPr="002526F0">
        <w:rPr>
          <w:rFonts w:cs="Calibri"/>
          <w:sz w:val="24"/>
          <w:szCs w:val="24"/>
        </w:rPr>
        <w:t>Uncertainty around the future of the Human Rights Act is also presenting a barrier. T</w:t>
      </w:r>
      <w:r w:rsidR="00AF46F4" w:rsidRPr="002526F0">
        <w:rPr>
          <w:rFonts w:cs="Calibri"/>
          <w:sz w:val="24"/>
          <w:szCs w:val="24"/>
        </w:rPr>
        <w:t>he public law project now tries to find links with Common law because there is uncertainty as to whether Human Rights Act is still going to be in place.</w:t>
      </w:r>
    </w:p>
    <w:p w:rsidR="002526F0" w:rsidRDefault="002526F0" w:rsidP="003A0264">
      <w:pPr>
        <w:numPr>
          <w:ilvl w:val="0"/>
          <w:numId w:val="3"/>
        </w:numPr>
        <w:spacing w:after="240" w:line="276" w:lineRule="auto"/>
        <w:rPr>
          <w:rFonts w:cs="Calibri"/>
          <w:sz w:val="24"/>
          <w:szCs w:val="24"/>
        </w:rPr>
      </w:pPr>
      <w:r>
        <w:rPr>
          <w:rFonts w:cs="Calibri"/>
          <w:sz w:val="24"/>
          <w:szCs w:val="24"/>
        </w:rPr>
        <w:t xml:space="preserve">Case law such as the Elaine Macdonald case which found against the Disabled claimant act to discourage others from pursuing legal action to defend their human rights. </w:t>
      </w:r>
    </w:p>
    <w:p w:rsidR="003E18BD" w:rsidRDefault="003E18BD" w:rsidP="003E18BD">
      <w:pPr>
        <w:spacing w:line="276" w:lineRule="auto"/>
        <w:rPr>
          <w:rFonts w:cs="Calibri"/>
          <w:sz w:val="24"/>
          <w:szCs w:val="24"/>
        </w:rPr>
      </w:pPr>
    </w:p>
    <w:p w:rsidR="003E18BD" w:rsidRDefault="003E18BD" w:rsidP="003E18BD">
      <w:pPr>
        <w:autoSpaceDE w:val="0"/>
        <w:autoSpaceDN w:val="0"/>
        <w:adjustRightInd w:val="0"/>
        <w:spacing w:line="276" w:lineRule="auto"/>
        <w:rPr>
          <w:rFonts w:eastAsia="Arial" w:cs="Calibri"/>
          <w:b/>
          <w:bCs/>
          <w:color w:val="31849B"/>
          <w:szCs w:val="28"/>
        </w:rPr>
      </w:pPr>
      <w:r>
        <w:rPr>
          <w:rFonts w:eastAsia="Arial" w:cs="Calibri"/>
          <w:b/>
          <w:bCs/>
          <w:color w:val="31849B"/>
          <w:szCs w:val="28"/>
        </w:rPr>
        <w:t>5. Recommendations</w:t>
      </w:r>
    </w:p>
    <w:p w:rsidR="003E18BD" w:rsidRPr="003E18BD" w:rsidRDefault="003E18BD" w:rsidP="003E18BD">
      <w:pPr>
        <w:autoSpaceDE w:val="0"/>
        <w:autoSpaceDN w:val="0"/>
        <w:adjustRightInd w:val="0"/>
        <w:spacing w:line="276" w:lineRule="auto"/>
        <w:rPr>
          <w:rFonts w:eastAsia="Arial" w:cs="Calibri"/>
          <w:bCs/>
          <w:sz w:val="24"/>
          <w:szCs w:val="24"/>
        </w:rPr>
      </w:pPr>
      <w:r w:rsidRPr="003E18BD">
        <w:rPr>
          <w:rFonts w:eastAsia="Arial" w:cs="Calibri"/>
          <w:bCs/>
          <w:sz w:val="24"/>
          <w:szCs w:val="24"/>
        </w:rPr>
        <w:t>For Government to:</w:t>
      </w:r>
    </w:p>
    <w:p w:rsidR="00DF2749" w:rsidRDefault="003E18BD" w:rsidP="00CE4527">
      <w:pPr>
        <w:numPr>
          <w:ilvl w:val="0"/>
          <w:numId w:val="6"/>
        </w:numPr>
        <w:spacing w:after="240" w:line="276" w:lineRule="auto"/>
        <w:rPr>
          <w:rFonts w:cs="Calibri"/>
          <w:sz w:val="24"/>
          <w:szCs w:val="24"/>
        </w:rPr>
      </w:pPr>
      <w:bookmarkStart w:id="0" w:name="_GoBack"/>
      <w:r w:rsidRPr="003E18BD">
        <w:rPr>
          <w:rFonts w:cs="Calibri"/>
          <w:sz w:val="24"/>
          <w:szCs w:val="24"/>
        </w:rPr>
        <w:t xml:space="preserve">Conduct a full review of the impact of legal aid reforms on access to justice for disabled people in England and Wales by March 2018, including analysis of what people with legal problems do when they cannot access legal aid. </w:t>
      </w:r>
    </w:p>
    <w:p w:rsidR="00DF2749" w:rsidRPr="0006542E" w:rsidRDefault="003E18BD" w:rsidP="00CE4527">
      <w:pPr>
        <w:numPr>
          <w:ilvl w:val="0"/>
          <w:numId w:val="6"/>
        </w:numPr>
        <w:spacing w:after="240" w:line="276" w:lineRule="auto"/>
        <w:rPr>
          <w:rFonts w:cs="Calibri"/>
          <w:sz w:val="24"/>
          <w:szCs w:val="24"/>
        </w:rPr>
      </w:pPr>
      <w:r w:rsidRPr="00DF2749">
        <w:rPr>
          <w:rFonts w:cs="Calibri"/>
          <w:sz w:val="24"/>
          <w:szCs w:val="24"/>
        </w:rPr>
        <w:lastRenderedPageBreak/>
        <w:t xml:space="preserve">Take concrete steps to mitigate any adverse impacts identified from legal aid </w:t>
      </w:r>
      <w:r w:rsidRPr="003A0264">
        <w:rPr>
          <w:rFonts w:cs="Calibri"/>
          <w:sz w:val="24"/>
          <w:szCs w:val="24"/>
        </w:rPr>
        <w:t>changes, including any indirectly discriminatory effects on disabled people.</w:t>
      </w:r>
      <w:r w:rsidR="00EF2545" w:rsidRPr="003A0264">
        <w:rPr>
          <w:rFonts w:cs="Calibri"/>
          <w:sz w:val="24"/>
          <w:szCs w:val="24"/>
        </w:rPr>
        <w:t xml:space="preserve"> </w:t>
      </w:r>
      <w:r w:rsidR="008D7F04" w:rsidRPr="003A0264">
        <w:rPr>
          <w:sz w:val="24"/>
          <w:szCs w:val="24"/>
        </w:rPr>
        <w:t>Inclusion London</w:t>
      </w:r>
      <w:r w:rsidR="00DF2749" w:rsidRPr="003A0264">
        <w:rPr>
          <w:sz w:val="24"/>
          <w:szCs w:val="24"/>
        </w:rPr>
        <w:t xml:space="preserve"> would recommend that anyone on means tested benefits should get legal aid</w:t>
      </w:r>
      <w:r w:rsidR="008D7F04" w:rsidRPr="003A0264">
        <w:rPr>
          <w:sz w:val="24"/>
          <w:szCs w:val="24"/>
        </w:rPr>
        <w:t>, that</w:t>
      </w:r>
      <w:r w:rsidR="00DF2749" w:rsidRPr="003A0264">
        <w:rPr>
          <w:sz w:val="24"/>
          <w:szCs w:val="24"/>
        </w:rPr>
        <w:t xml:space="preserve"> equity in a house where a person lives should not be taken into account</w:t>
      </w:r>
      <w:r w:rsidR="0006542E" w:rsidRPr="003A0264">
        <w:rPr>
          <w:sz w:val="24"/>
          <w:szCs w:val="24"/>
        </w:rPr>
        <w:t xml:space="preserve"> and </w:t>
      </w:r>
      <w:r w:rsidR="003A0264" w:rsidRPr="003A0264">
        <w:rPr>
          <w:sz w:val="24"/>
          <w:szCs w:val="24"/>
        </w:rPr>
        <w:t>that deductions to calculate exp</w:t>
      </w:r>
      <w:r w:rsidR="0006542E" w:rsidRPr="003A0264">
        <w:rPr>
          <w:sz w:val="24"/>
          <w:szCs w:val="24"/>
        </w:rPr>
        <w:t>enditure should be based on real expenditure.</w:t>
      </w:r>
    </w:p>
    <w:p w:rsidR="003E18BD" w:rsidRPr="00DF2749" w:rsidRDefault="003E18BD" w:rsidP="00CE4527">
      <w:pPr>
        <w:numPr>
          <w:ilvl w:val="0"/>
          <w:numId w:val="6"/>
        </w:numPr>
        <w:spacing w:after="240" w:line="276" w:lineRule="auto"/>
        <w:rPr>
          <w:rFonts w:cs="Calibri"/>
          <w:sz w:val="24"/>
          <w:szCs w:val="24"/>
        </w:rPr>
      </w:pPr>
      <w:r w:rsidRPr="00DF2749">
        <w:rPr>
          <w:rFonts w:cs="Calibri"/>
          <w:sz w:val="24"/>
          <w:szCs w:val="24"/>
        </w:rPr>
        <w:t>Review the impact of budget reductions and legal aid reforms on the availability of legal advice from non-government organisations in England and Wales, and take action to address the problem of ‘advice deserts’.</w:t>
      </w:r>
    </w:p>
    <w:p w:rsidR="003E18BD" w:rsidRPr="002526F0" w:rsidRDefault="003E18BD" w:rsidP="00CE4527">
      <w:pPr>
        <w:numPr>
          <w:ilvl w:val="0"/>
          <w:numId w:val="5"/>
        </w:numPr>
        <w:spacing w:after="240" w:line="276" w:lineRule="auto"/>
        <w:rPr>
          <w:rFonts w:cs="Calibri"/>
          <w:sz w:val="24"/>
          <w:szCs w:val="24"/>
        </w:rPr>
      </w:pPr>
      <w:r>
        <w:rPr>
          <w:rFonts w:cs="Calibri"/>
          <w:sz w:val="24"/>
          <w:szCs w:val="24"/>
        </w:rPr>
        <w:t>F</w:t>
      </w:r>
      <w:r w:rsidRPr="003E18BD">
        <w:rPr>
          <w:rFonts w:cs="Calibri"/>
          <w:sz w:val="24"/>
          <w:szCs w:val="24"/>
        </w:rPr>
        <w:t>urther review the operation of the telephone gateway service (Civil Legal Advice) in England and Wales with regard to its accessibility and effectiveness, particularly for disabled people and parents of children with special educational needs (SEN), and mitigate any adverse impacts.</w:t>
      </w:r>
      <w:r>
        <w:rPr>
          <w:rStyle w:val="FootnoteReference"/>
          <w:rFonts w:cs="Calibri"/>
          <w:szCs w:val="24"/>
        </w:rPr>
        <w:footnoteReference w:id="3"/>
      </w:r>
    </w:p>
    <w:p w:rsidR="005B7CDC" w:rsidRDefault="005B7CDC" w:rsidP="00CE4527">
      <w:pPr>
        <w:spacing w:after="240" w:line="276" w:lineRule="auto"/>
        <w:rPr>
          <w:rFonts w:cs="Calibri"/>
          <w:color w:val="31849B"/>
          <w:sz w:val="24"/>
          <w:szCs w:val="24"/>
        </w:rPr>
      </w:pPr>
    </w:p>
    <w:bookmarkEnd w:id="0"/>
    <w:p w:rsidR="00805DC6" w:rsidRPr="00693281" w:rsidRDefault="00805DC6" w:rsidP="00864D16">
      <w:pPr>
        <w:rPr>
          <w:rFonts w:cs="Calibri"/>
          <w:sz w:val="24"/>
          <w:szCs w:val="24"/>
        </w:rPr>
      </w:pPr>
      <w:r w:rsidRPr="00693281">
        <w:rPr>
          <w:rFonts w:cs="Calibri"/>
          <w:sz w:val="24"/>
          <w:szCs w:val="24"/>
        </w:rPr>
        <w:t xml:space="preserve">For more information contact: </w:t>
      </w:r>
    </w:p>
    <w:p w:rsidR="00864D16" w:rsidRDefault="00805DC6" w:rsidP="00864D16">
      <w:pPr>
        <w:rPr>
          <w:rFonts w:cs="Calibri"/>
          <w:color w:val="31849B"/>
          <w:sz w:val="24"/>
          <w:szCs w:val="24"/>
        </w:rPr>
      </w:pPr>
      <w:r w:rsidRPr="00693281">
        <w:rPr>
          <w:rFonts w:cs="Calibri"/>
          <w:color w:val="31849B"/>
          <w:sz w:val="24"/>
          <w:szCs w:val="24"/>
        </w:rPr>
        <w:t>Inclusion London</w:t>
      </w:r>
      <w:r w:rsidR="00864D16">
        <w:rPr>
          <w:rFonts w:cs="Calibri"/>
          <w:color w:val="31849B"/>
          <w:sz w:val="24"/>
          <w:szCs w:val="24"/>
        </w:rPr>
        <w:t xml:space="preserve">, </w:t>
      </w:r>
      <w:r w:rsidRPr="00693281">
        <w:rPr>
          <w:rFonts w:cs="Calibri"/>
          <w:color w:val="31849B"/>
          <w:sz w:val="24"/>
          <w:szCs w:val="24"/>
        </w:rPr>
        <w:t>336 Brixton Road</w:t>
      </w:r>
      <w:r w:rsidR="00864D16">
        <w:rPr>
          <w:rFonts w:cs="Calibri"/>
          <w:color w:val="31849B"/>
          <w:sz w:val="24"/>
          <w:szCs w:val="24"/>
        </w:rPr>
        <w:t xml:space="preserve">, </w:t>
      </w:r>
      <w:r w:rsidRPr="00693281">
        <w:rPr>
          <w:rFonts w:cs="Calibri"/>
          <w:color w:val="31849B"/>
          <w:sz w:val="24"/>
          <w:szCs w:val="24"/>
        </w:rPr>
        <w:t>London, SW9 7AA</w:t>
      </w:r>
      <w:r w:rsidR="00864D16">
        <w:rPr>
          <w:rFonts w:cs="Calibri"/>
          <w:color w:val="31849B"/>
          <w:sz w:val="24"/>
          <w:szCs w:val="24"/>
        </w:rPr>
        <w:t xml:space="preserve">      </w:t>
      </w:r>
    </w:p>
    <w:p w:rsidR="00805DC6" w:rsidRPr="00693281" w:rsidRDefault="007E1503" w:rsidP="00864D16">
      <w:pPr>
        <w:rPr>
          <w:rFonts w:cs="Calibri"/>
          <w:color w:val="31849B"/>
          <w:sz w:val="24"/>
          <w:szCs w:val="24"/>
        </w:rPr>
      </w:pPr>
      <w:hyperlink r:id="rId9" w:history="1">
        <w:r w:rsidR="00805DC6" w:rsidRPr="00693281">
          <w:rPr>
            <w:rStyle w:val="Hyperlink"/>
            <w:rFonts w:cs="Calibri"/>
            <w:sz w:val="24"/>
            <w:szCs w:val="24"/>
          </w:rPr>
          <w:t>policy@inclusionlondon.org.uk</w:t>
        </w:r>
      </w:hyperlink>
    </w:p>
    <w:p w:rsidR="00864D16" w:rsidRDefault="00805DC6" w:rsidP="00864D16">
      <w:pPr>
        <w:rPr>
          <w:rFonts w:cs="Calibri"/>
          <w:color w:val="31849B"/>
          <w:sz w:val="24"/>
          <w:szCs w:val="24"/>
        </w:rPr>
      </w:pPr>
      <w:r w:rsidRPr="00693281">
        <w:rPr>
          <w:rFonts w:cs="Calibri"/>
          <w:color w:val="31849B"/>
          <w:sz w:val="24"/>
          <w:szCs w:val="24"/>
        </w:rPr>
        <w:t xml:space="preserve">Telephone: </w:t>
      </w:r>
      <w:r w:rsidRPr="00693281">
        <w:rPr>
          <w:rFonts w:eastAsia="Times New Roman" w:cs="Calibri"/>
          <w:noProof/>
          <w:color w:val="31849B"/>
          <w:sz w:val="24"/>
          <w:szCs w:val="24"/>
        </w:rPr>
        <w:t>020 7237 3181</w:t>
      </w:r>
      <w:r w:rsidRPr="00693281">
        <w:rPr>
          <w:rFonts w:cs="Calibri"/>
          <w:color w:val="31849B"/>
          <w:sz w:val="24"/>
          <w:szCs w:val="24"/>
        </w:rPr>
        <w:br/>
        <w:t>SMS: 0771 839 4687</w:t>
      </w:r>
    </w:p>
    <w:p w:rsidR="00805DC6" w:rsidRPr="00864D16" w:rsidRDefault="00805DC6" w:rsidP="00864D16">
      <w:pPr>
        <w:rPr>
          <w:rStyle w:val="Hyperlink"/>
          <w:rFonts w:cs="Calibri"/>
          <w:color w:val="31849B"/>
          <w:sz w:val="24"/>
          <w:szCs w:val="24"/>
          <w:u w:val="none"/>
        </w:rPr>
      </w:pPr>
      <w:r w:rsidRPr="00693281">
        <w:rPr>
          <w:rStyle w:val="Hyperlink"/>
          <w:rFonts w:cs="Calibri"/>
          <w:sz w:val="24"/>
          <w:szCs w:val="24"/>
        </w:rPr>
        <w:fldChar w:fldCharType="begin"/>
      </w:r>
      <w:r w:rsidRPr="00693281">
        <w:rPr>
          <w:rStyle w:val="Hyperlink"/>
          <w:rFonts w:cs="Calibri"/>
          <w:sz w:val="24"/>
          <w:szCs w:val="24"/>
        </w:rPr>
        <w:instrText xml:space="preserve"> HYPERLINK "http://www.inclusionlondon.org.uk/" </w:instrText>
      </w:r>
      <w:r w:rsidRPr="00693281">
        <w:rPr>
          <w:rStyle w:val="Hyperlink"/>
          <w:rFonts w:cs="Calibri"/>
          <w:sz w:val="24"/>
          <w:szCs w:val="24"/>
        </w:rPr>
        <w:fldChar w:fldCharType="separate"/>
      </w:r>
      <w:r w:rsidRPr="00693281">
        <w:rPr>
          <w:rStyle w:val="Hyperlink"/>
          <w:rFonts w:cs="Calibri"/>
          <w:sz w:val="24"/>
          <w:szCs w:val="24"/>
        </w:rPr>
        <w:t>www.inclusionlondon.org.uk</w:t>
      </w:r>
    </w:p>
    <w:p w:rsidR="00805DC6" w:rsidRPr="00693281" w:rsidRDefault="00805DC6" w:rsidP="00864D16">
      <w:pPr>
        <w:rPr>
          <w:rStyle w:val="Hyperlink"/>
          <w:rFonts w:cs="Calibri"/>
          <w:sz w:val="24"/>
          <w:szCs w:val="24"/>
        </w:rPr>
      </w:pPr>
      <w:r w:rsidRPr="00693281">
        <w:rPr>
          <w:rStyle w:val="Hyperlink"/>
          <w:rFonts w:cs="Calibri"/>
          <w:sz w:val="24"/>
          <w:szCs w:val="24"/>
        </w:rPr>
        <w:fldChar w:fldCharType="end"/>
      </w:r>
    </w:p>
    <w:p w:rsidR="00805DC6" w:rsidRDefault="00805DC6" w:rsidP="005C59BC">
      <w:pPr>
        <w:spacing w:line="276" w:lineRule="auto"/>
      </w:pPr>
      <w:r w:rsidRPr="00693281">
        <w:rPr>
          <w:rFonts w:cs="Calibri"/>
          <w:iCs/>
          <w:color w:val="31849B"/>
          <w:sz w:val="24"/>
          <w:szCs w:val="24"/>
        </w:rPr>
        <w:t>Registered Charity number: 1157376</w:t>
      </w:r>
      <w:r w:rsidRPr="00693281">
        <w:rPr>
          <w:rFonts w:cs="Calibri"/>
          <w:iCs/>
          <w:color w:val="31849B"/>
          <w:sz w:val="24"/>
          <w:szCs w:val="24"/>
        </w:rPr>
        <w:br/>
        <w:t>Company registration number: 6729420</w:t>
      </w:r>
    </w:p>
    <w:sectPr w:rsidR="00805DC6" w:rsidSect="00864D16">
      <w:footerReference w:type="default" r:id="rId10"/>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503" w:rsidRDefault="007E1503" w:rsidP="00805DC6">
      <w:r>
        <w:separator/>
      </w:r>
    </w:p>
  </w:endnote>
  <w:endnote w:type="continuationSeparator" w:id="0">
    <w:p w:rsidR="007E1503" w:rsidRDefault="007E1503" w:rsidP="0080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D9" w:rsidRDefault="00F901D9">
    <w:pPr>
      <w:pStyle w:val="Footer"/>
      <w:jc w:val="right"/>
    </w:pPr>
    <w:r>
      <w:fldChar w:fldCharType="begin"/>
    </w:r>
    <w:r>
      <w:instrText xml:space="preserve"> PAGE   \* MERGEFORMAT </w:instrText>
    </w:r>
    <w:r>
      <w:fldChar w:fldCharType="separate"/>
    </w:r>
    <w:r w:rsidR="00CE4527">
      <w:rPr>
        <w:noProof/>
      </w:rPr>
      <w:t>4</w:t>
    </w:r>
    <w:r>
      <w:rPr>
        <w:noProof/>
      </w:rPr>
      <w:fldChar w:fldCharType="end"/>
    </w:r>
  </w:p>
  <w:p w:rsidR="00F901D9" w:rsidRPr="007964A8" w:rsidRDefault="00F901D9" w:rsidP="001B4F30">
    <w:pPr>
      <w:pStyle w:val="NoSpacing"/>
      <w:spacing w:line="276" w:lineRule="auto"/>
      <w:rPr>
        <w:rFonts w:cs="Arial"/>
        <w:noProof/>
        <w:sz w:val="20"/>
        <w:szCs w:val="20"/>
      </w:rPr>
    </w:pPr>
    <w:r w:rsidRPr="007964A8">
      <w:rPr>
        <w:rFonts w:eastAsia="Times New Roman" w:cs="Arial"/>
        <w:noProof/>
        <w:color w:val="31849B"/>
        <w:sz w:val="20"/>
        <w:szCs w:val="20"/>
        <w:lang w:eastAsia="en-GB"/>
      </w:rPr>
      <w:t xml:space="preserve">Email: </w:t>
    </w:r>
    <w:hyperlink r:id="rId1" w:history="1">
      <w:r w:rsidRPr="007964A8">
        <w:rPr>
          <w:rStyle w:val="Hyperlink"/>
          <w:sz w:val="20"/>
          <w:szCs w:val="20"/>
        </w:rPr>
        <w:t>Policy@inclusionlondon.org.uk</w:t>
      </w:r>
    </w:hyperlink>
    <w:r w:rsidRPr="007964A8">
      <w:rPr>
        <w:color w:val="31849B"/>
        <w:sz w:val="20"/>
        <w:szCs w:val="20"/>
      </w:rPr>
      <w:t xml:space="preserve">; </w:t>
    </w:r>
    <w:r w:rsidRPr="007964A8">
      <w:rPr>
        <w:rFonts w:cs="Arial"/>
        <w:noProof/>
        <w:sz w:val="20"/>
        <w:szCs w:val="20"/>
      </w:rPr>
      <w:t>Telephone: 020 7237 3181</w:t>
    </w:r>
  </w:p>
  <w:p w:rsidR="00F901D9" w:rsidRDefault="00F901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503" w:rsidRDefault="007E1503" w:rsidP="00805DC6">
      <w:r>
        <w:separator/>
      </w:r>
    </w:p>
  </w:footnote>
  <w:footnote w:type="continuationSeparator" w:id="0">
    <w:p w:rsidR="007E1503" w:rsidRDefault="007E1503" w:rsidP="00805DC6">
      <w:r>
        <w:continuationSeparator/>
      </w:r>
    </w:p>
  </w:footnote>
  <w:footnote w:id="1">
    <w:p w:rsidR="00F901D9" w:rsidRPr="003A0264" w:rsidRDefault="00F901D9" w:rsidP="00805DC6">
      <w:pPr>
        <w:pStyle w:val="FootnoteText"/>
        <w:rPr>
          <w:rFonts w:cs="Calibri"/>
          <w:sz w:val="20"/>
          <w:lang w:val="en-GB"/>
        </w:rPr>
      </w:pPr>
      <w:r w:rsidRPr="00450068">
        <w:rPr>
          <w:rStyle w:val="FootnoteReference"/>
          <w:rFonts w:cs="Calibri"/>
          <w:sz w:val="20"/>
        </w:rPr>
        <w:footnoteRef/>
      </w:r>
      <w:hyperlink r:id="rId1" w:history="1">
        <w:r w:rsidRPr="003A0264">
          <w:rPr>
            <w:rStyle w:val="Hyperlink"/>
            <w:rFonts w:cs="Calibri"/>
            <w:sz w:val="20"/>
          </w:rPr>
          <w:t>https://www.gov.uk/government/uploads/system/uploads/attachment_data/file/325491/family-resources-survey-statistics-2012-2013.pdf</w:t>
        </w:r>
      </w:hyperlink>
      <w:r w:rsidRPr="003A0264">
        <w:rPr>
          <w:rFonts w:cs="Calibri"/>
          <w:sz w:val="20"/>
          <w:lang w:val="en-GB"/>
        </w:rPr>
        <w:t xml:space="preserve">  (page 64)  See also ‘Disability data tables’  at: </w:t>
      </w:r>
      <w:hyperlink r:id="rId2" w:history="1">
        <w:r w:rsidRPr="003A0264">
          <w:rPr>
            <w:rStyle w:val="Hyperlink"/>
            <w:rFonts w:cs="Calibri"/>
            <w:sz w:val="20"/>
            <w:lang w:val="en-GB"/>
          </w:rPr>
          <w:t>https://www.gov.uk/government/statistics/family-resources-survey-financial-year-201516</w:t>
        </w:r>
      </w:hyperlink>
    </w:p>
  </w:footnote>
  <w:footnote w:id="2">
    <w:p w:rsidR="003A0264" w:rsidRPr="003A0264" w:rsidRDefault="003A0264">
      <w:pPr>
        <w:pStyle w:val="FootnoteText"/>
        <w:rPr>
          <w:sz w:val="20"/>
          <w:lang w:val="en-GB"/>
        </w:rPr>
      </w:pPr>
      <w:r w:rsidRPr="003A0264">
        <w:rPr>
          <w:rStyle w:val="FootnoteReference"/>
          <w:sz w:val="20"/>
        </w:rPr>
        <w:footnoteRef/>
      </w:r>
      <w:r w:rsidRPr="003A0264">
        <w:rPr>
          <w:sz w:val="20"/>
        </w:rPr>
        <w:t xml:space="preserve"> https://www.gov.uk/government/uploads/system/uploads/attachment_data/file/332795/legal-aid-lord-chancellors-guidance.pdf</w:t>
      </w:r>
    </w:p>
  </w:footnote>
  <w:footnote w:id="3">
    <w:p w:rsidR="003E18BD" w:rsidRPr="00DB03F6" w:rsidRDefault="003E18BD">
      <w:pPr>
        <w:pStyle w:val="FootnoteText"/>
        <w:rPr>
          <w:sz w:val="20"/>
          <w:lang w:val="en-GB"/>
        </w:rPr>
      </w:pPr>
      <w:r w:rsidRPr="00DB03F6">
        <w:rPr>
          <w:rStyle w:val="FootnoteReference"/>
          <w:sz w:val="20"/>
        </w:rPr>
        <w:footnoteRef/>
      </w:r>
      <w:r w:rsidRPr="00DB03F6">
        <w:rPr>
          <w:sz w:val="20"/>
        </w:rPr>
        <w:t xml:space="preserve"> </w:t>
      </w:r>
      <w:r w:rsidRPr="00DB03F6">
        <w:rPr>
          <w:sz w:val="20"/>
          <w:lang w:val="en-GB"/>
        </w:rPr>
        <w:t>Our recommendations agree with those put forward by th</w:t>
      </w:r>
      <w:r w:rsidR="00DB03F6" w:rsidRPr="00DB03F6">
        <w:rPr>
          <w:sz w:val="20"/>
          <w:lang w:val="en-GB"/>
        </w:rPr>
        <w:t>e Equality and Human Rights Com</w:t>
      </w:r>
      <w:r w:rsidRPr="00DB03F6">
        <w:rPr>
          <w:sz w:val="20"/>
          <w:lang w:val="en-GB"/>
        </w:rPr>
        <w:t>mission</w:t>
      </w:r>
      <w:r w:rsidR="00DB03F6" w:rsidRPr="00DB03F6">
        <w:rPr>
          <w:sz w:val="20"/>
          <w:lang w:val="en-GB"/>
        </w:rPr>
        <w:t>: https://www.equalityhumanrights.com/en/publication-download/disability-rights-uk-updated-submission-un-committee-rights-persons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1B6"/>
    <w:multiLevelType w:val="hybridMultilevel"/>
    <w:tmpl w:val="6F2688F8"/>
    <w:lvl w:ilvl="0" w:tplc="D6480CD4">
      <w:start w:val="1"/>
      <w:numFmt w:val="bullet"/>
      <w:pStyle w:val="Bulletpoin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62B85"/>
    <w:multiLevelType w:val="hybridMultilevel"/>
    <w:tmpl w:val="8442498C"/>
    <w:lvl w:ilvl="0" w:tplc="08090001">
      <w:start w:val="1"/>
      <w:numFmt w:val="bullet"/>
      <w:lvlText w:val=""/>
      <w:lvlJc w:val="left"/>
      <w:pPr>
        <w:ind w:left="720" w:hanging="360"/>
      </w:pPr>
      <w:rPr>
        <w:rFonts w:ascii="Symbol" w:hAnsi="Symbol" w:hint="default"/>
      </w:rPr>
    </w:lvl>
    <w:lvl w:ilvl="1" w:tplc="C518DA50">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70337"/>
    <w:multiLevelType w:val="hybridMultilevel"/>
    <w:tmpl w:val="25CA2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D124F"/>
    <w:multiLevelType w:val="hybridMultilevel"/>
    <w:tmpl w:val="3A7AC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7664D"/>
    <w:multiLevelType w:val="hybridMultilevel"/>
    <w:tmpl w:val="B66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44666"/>
    <w:multiLevelType w:val="hybridMultilevel"/>
    <w:tmpl w:val="F30CD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C6"/>
    <w:rsid w:val="00004DB8"/>
    <w:rsid w:val="00005BF7"/>
    <w:rsid w:val="00011DA7"/>
    <w:rsid w:val="00023F90"/>
    <w:rsid w:val="000251AB"/>
    <w:rsid w:val="000441DC"/>
    <w:rsid w:val="00047B7C"/>
    <w:rsid w:val="0005444A"/>
    <w:rsid w:val="0006461F"/>
    <w:rsid w:val="0006542E"/>
    <w:rsid w:val="000734F2"/>
    <w:rsid w:val="0008009A"/>
    <w:rsid w:val="000A1EB2"/>
    <w:rsid w:val="000A39A0"/>
    <w:rsid w:val="000C268D"/>
    <w:rsid w:val="000C5FE1"/>
    <w:rsid w:val="000D4CD9"/>
    <w:rsid w:val="000D4EAE"/>
    <w:rsid w:val="00105117"/>
    <w:rsid w:val="00121180"/>
    <w:rsid w:val="00135D41"/>
    <w:rsid w:val="0016212B"/>
    <w:rsid w:val="0016240E"/>
    <w:rsid w:val="001716D3"/>
    <w:rsid w:val="00174708"/>
    <w:rsid w:val="001B112B"/>
    <w:rsid w:val="001B349A"/>
    <w:rsid w:val="001B4F30"/>
    <w:rsid w:val="001C0332"/>
    <w:rsid w:val="001C218C"/>
    <w:rsid w:val="001C431C"/>
    <w:rsid w:val="001C708B"/>
    <w:rsid w:val="001C73B7"/>
    <w:rsid w:val="001D0E5F"/>
    <w:rsid w:val="001F4D4F"/>
    <w:rsid w:val="00200768"/>
    <w:rsid w:val="00205AE6"/>
    <w:rsid w:val="00206F17"/>
    <w:rsid w:val="00217670"/>
    <w:rsid w:val="00224C42"/>
    <w:rsid w:val="00232A9A"/>
    <w:rsid w:val="0024524F"/>
    <w:rsid w:val="00250103"/>
    <w:rsid w:val="002526F0"/>
    <w:rsid w:val="002B15F6"/>
    <w:rsid w:val="002B3288"/>
    <w:rsid w:val="002C54E9"/>
    <w:rsid w:val="002F482C"/>
    <w:rsid w:val="002F565F"/>
    <w:rsid w:val="002F6D1C"/>
    <w:rsid w:val="00301356"/>
    <w:rsid w:val="00307906"/>
    <w:rsid w:val="003104F4"/>
    <w:rsid w:val="00314CBC"/>
    <w:rsid w:val="00325399"/>
    <w:rsid w:val="00334E49"/>
    <w:rsid w:val="00343BF7"/>
    <w:rsid w:val="0035189C"/>
    <w:rsid w:val="00376A31"/>
    <w:rsid w:val="003776DC"/>
    <w:rsid w:val="00385362"/>
    <w:rsid w:val="00395BFA"/>
    <w:rsid w:val="003A0264"/>
    <w:rsid w:val="003A1B8E"/>
    <w:rsid w:val="003B4B69"/>
    <w:rsid w:val="003C0898"/>
    <w:rsid w:val="003D067D"/>
    <w:rsid w:val="003D204F"/>
    <w:rsid w:val="003D40F6"/>
    <w:rsid w:val="003E18BD"/>
    <w:rsid w:val="003F1B51"/>
    <w:rsid w:val="003F5EB9"/>
    <w:rsid w:val="00403E90"/>
    <w:rsid w:val="00412358"/>
    <w:rsid w:val="00417D96"/>
    <w:rsid w:val="004433EC"/>
    <w:rsid w:val="004450B7"/>
    <w:rsid w:val="00450068"/>
    <w:rsid w:val="004548B7"/>
    <w:rsid w:val="00482A27"/>
    <w:rsid w:val="004B7297"/>
    <w:rsid w:val="004D6A24"/>
    <w:rsid w:val="00501F17"/>
    <w:rsid w:val="0051242E"/>
    <w:rsid w:val="00512BDE"/>
    <w:rsid w:val="00513FB3"/>
    <w:rsid w:val="005316AF"/>
    <w:rsid w:val="00551B44"/>
    <w:rsid w:val="00556F78"/>
    <w:rsid w:val="00585601"/>
    <w:rsid w:val="00597B6D"/>
    <w:rsid w:val="005A6D45"/>
    <w:rsid w:val="005B7CDC"/>
    <w:rsid w:val="005C28BF"/>
    <w:rsid w:val="005C59BC"/>
    <w:rsid w:val="005E0357"/>
    <w:rsid w:val="005E0CFB"/>
    <w:rsid w:val="005F064E"/>
    <w:rsid w:val="00600D6C"/>
    <w:rsid w:val="006036A6"/>
    <w:rsid w:val="00614E08"/>
    <w:rsid w:val="00644071"/>
    <w:rsid w:val="00653D2A"/>
    <w:rsid w:val="00654A1D"/>
    <w:rsid w:val="006618DB"/>
    <w:rsid w:val="00664163"/>
    <w:rsid w:val="0067734B"/>
    <w:rsid w:val="00681FD5"/>
    <w:rsid w:val="00693281"/>
    <w:rsid w:val="00697235"/>
    <w:rsid w:val="006B023D"/>
    <w:rsid w:val="006B59F6"/>
    <w:rsid w:val="00736043"/>
    <w:rsid w:val="00737FCE"/>
    <w:rsid w:val="00741188"/>
    <w:rsid w:val="00745D23"/>
    <w:rsid w:val="00746088"/>
    <w:rsid w:val="00761363"/>
    <w:rsid w:val="007627D4"/>
    <w:rsid w:val="00762AA3"/>
    <w:rsid w:val="007672E1"/>
    <w:rsid w:val="007914FE"/>
    <w:rsid w:val="007964A8"/>
    <w:rsid w:val="007A51BA"/>
    <w:rsid w:val="007C392F"/>
    <w:rsid w:val="007E1503"/>
    <w:rsid w:val="00805CCD"/>
    <w:rsid w:val="00805DC6"/>
    <w:rsid w:val="008074B9"/>
    <w:rsid w:val="008076C6"/>
    <w:rsid w:val="00832856"/>
    <w:rsid w:val="00832EF8"/>
    <w:rsid w:val="008617AB"/>
    <w:rsid w:val="00864D16"/>
    <w:rsid w:val="008651E1"/>
    <w:rsid w:val="00881E03"/>
    <w:rsid w:val="00885BC0"/>
    <w:rsid w:val="008A3EA1"/>
    <w:rsid w:val="008B01BA"/>
    <w:rsid w:val="008D7F04"/>
    <w:rsid w:val="008E2513"/>
    <w:rsid w:val="008F3B10"/>
    <w:rsid w:val="009208BC"/>
    <w:rsid w:val="00932CA1"/>
    <w:rsid w:val="00953E1E"/>
    <w:rsid w:val="00954E85"/>
    <w:rsid w:val="00955B7C"/>
    <w:rsid w:val="009843D6"/>
    <w:rsid w:val="009925F7"/>
    <w:rsid w:val="00997EBE"/>
    <w:rsid w:val="009D2421"/>
    <w:rsid w:val="009F6BA1"/>
    <w:rsid w:val="00A0555F"/>
    <w:rsid w:val="00A16FAB"/>
    <w:rsid w:val="00A22C8C"/>
    <w:rsid w:val="00A272B2"/>
    <w:rsid w:val="00A574B4"/>
    <w:rsid w:val="00A61C4F"/>
    <w:rsid w:val="00A659AA"/>
    <w:rsid w:val="00A66783"/>
    <w:rsid w:val="00A767BE"/>
    <w:rsid w:val="00AB2B7E"/>
    <w:rsid w:val="00AC5FA0"/>
    <w:rsid w:val="00AD7239"/>
    <w:rsid w:val="00AF2952"/>
    <w:rsid w:val="00AF46F4"/>
    <w:rsid w:val="00AF6847"/>
    <w:rsid w:val="00B00214"/>
    <w:rsid w:val="00B04090"/>
    <w:rsid w:val="00B23149"/>
    <w:rsid w:val="00B53425"/>
    <w:rsid w:val="00B54DD3"/>
    <w:rsid w:val="00B7643C"/>
    <w:rsid w:val="00B96001"/>
    <w:rsid w:val="00BB2F8A"/>
    <w:rsid w:val="00BB4D5F"/>
    <w:rsid w:val="00BF661F"/>
    <w:rsid w:val="00C0371C"/>
    <w:rsid w:val="00C21EA3"/>
    <w:rsid w:val="00C37D08"/>
    <w:rsid w:val="00C43730"/>
    <w:rsid w:val="00C45234"/>
    <w:rsid w:val="00C57791"/>
    <w:rsid w:val="00C57E58"/>
    <w:rsid w:val="00C640E0"/>
    <w:rsid w:val="00C72DC8"/>
    <w:rsid w:val="00C97F4D"/>
    <w:rsid w:val="00CB2F15"/>
    <w:rsid w:val="00CC6D97"/>
    <w:rsid w:val="00CE4527"/>
    <w:rsid w:val="00D056A4"/>
    <w:rsid w:val="00D26CF8"/>
    <w:rsid w:val="00D41A0D"/>
    <w:rsid w:val="00D41A66"/>
    <w:rsid w:val="00D56970"/>
    <w:rsid w:val="00D571FB"/>
    <w:rsid w:val="00D81FA3"/>
    <w:rsid w:val="00D82DF6"/>
    <w:rsid w:val="00D85A69"/>
    <w:rsid w:val="00DA3443"/>
    <w:rsid w:val="00DA4C09"/>
    <w:rsid w:val="00DB03F6"/>
    <w:rsid w:val="00DB4BEA"/>
    <w:rsid w:val="00DC6021"/>
    <w:rsid w:val="00DC67CA"/>
    <w:rsid w:val="00DD083A"/>
    <w:rsid w:val="00DE1EE2"/>
    <w:rsid w:val="00DE4309"/>
    <w:rsid w:val="00DF2749"/>
    <w:rsid w:val="00E0250E"/>
    <w:rsid w:val="00E0792B"/>
    <w:rsid w:val="00E828FB"/>
    <w:rsid w:val="00E95294"/>
    <w:rsid w:val="00EB5BC8"/>
    <w:rsid w:val="00ED7DCF"/>
    <w:rsid w:val="00EE24E3"/>
    <w:rsid w:val="00EF098F"/>
    <w:rsid w:val="00EF2545"/>
    <w:rsid w:val="00F02B71"/>
    <w:rsid w:val="00F12C25"/>
    <w:rsid w:val="00F15FB6"/>
    <w:rsid w:val="00F21202"/>
    <w:rsid w:val="00F27C0B"/>
    <w:rsid w:val="00F5743F"/>
    <w:rsid w:val="00F574CA"/>
    <w:rsid w:val="00F72E03"/>
    <w:rsid w:val="00F801AB"/>
    <w:rsid w:val="00F901D9"/>
    <w:rsid w:val="00FB79B9"/>
    <w:rsid w:val="00FC0A32"/>
    <w:rsid w:val="00FC3184"/>
    <w:rsid w:val="00FE0445"/>
    <w:rsid w:val="00FE1CE0"/>
    <w:rsid w:val="00FE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16AF"/>
  <w15:chartTrackingRefBased/>
  <w15:docId w15:val="{BE73E1EC-C0C3-7E40-838F-1934FC8E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C6"/>
    <w:rPr>
      <w:sz w:val="28"/>
      <w:szCs w:val="22"/>
      <w:lang w:eastAsia="en-US"/>
    </w:rPr>
  </w:style>
  <w:style w:type="paragraph" w:styleId="Heading1">
    <w:name w:val="heading 1"/>
    <w:basedOn w:val="Normal"/>
    <w:next w:val="Normal"/>
    <w:link w:val="Heading1Char"/>
    <w:uiPriority w:val="9"/>
    <w:qFormat/>
    <w:rsid w:val="00805DC6"/>
    <w:pPr>
      <w:keepNext/>
      <w:keepLines/>
      <w:outlineLvl w:val="0"/>
    </w:pPr>
    <w:rPr>
      <w:rFonts w:eastAsia="Times New Roman"/>
      <w:bCs/>
      <w:color w:val="31849B"/>
      <w:sz w:val="52"/>
      <w:szCs w:val="28"/>
    </w:rPr>
  </w:style>
  <w:style w:type="paragraph" w:styleId="Heading2">
    <w:name w:val="heading 2"/>
    <w:basedOn w:val="Normal"/>
    <w:next w:val="Normal"/>
    <w:link w:val="Heading2Char"/>
    <w:uiPriority w:val="9"/>
    <w:unhideWhenUsed/>
    <w:qFormat/>
    <w:rsid w:val="00805DC6"/>
    <w:pPr>
      <w:keepNext/>
      <w:keepLines/>
      <w:spacing w:before="200" w:after="120"/>
      <w:outlineLvl w:val="1"/>
    </w:pPr>
    <w:rPr>
      <w:rFonts w:eastAsia="Times New Roman"/>
      <w:bCs/>
      <w:color w:val="31849B"/>
      <w:sz w:val="40"/>
      <w:szCs w:val="26"/>
    </w:rPr>
  </w:style>
  <w:style w:type="paragraph" w:styleId="Heading3">
    <w:name w:val="heading 3"/>
    <w:basedOn w:val="Normal"/>
    <w:next w:val="Normal"/>
    <w:link w:val="Heading3Char"/>
    <w:uiPriority w:val="9"/>
    <w:semiHidden/>
    <w:unhideWhenUsed/>
    <w:qFormat/>
    <w:rsid w:val="00805DC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5DC6"/>
    <w:rPr>
      <w:rFonts w:eastAsia="Times New Roman"/>
      <w:bCs/>
      <w:color w:val="31849B"/>
      <w:sz w:val="52"/>
      <w:szCs w:val="28"/>
      <w:lang w:eastAsia="en-US"/>
    </w:rPr>
  </w:style>
  <w:style w:type="character" w:customStyle="1" w:styleId="Heading2Char">
    <w:name w:val="Heading 2 Char"/>
    <w:link w:val="Heading2"/>
    <w:uiPriority w:val="9"/>
    <w:rsid w:val="00805DC6"/>
    <w:rPr>
      <w:rFonts w:eastAsia="Times New Roman"/>
      <w:bCs/>
      <w:color w:val="31849B"/>
      <w:sz w:val="40"/>
      <w:szCs w:val="26"/>
      <w:lang w:eastAsia="en-US"/>
    </w:rPr>
  </w:style>
  <w:style w:type="character" w:styleId="Hyperlink">
    <w:name w:val="Hyperlink"/>
    <w:uiPriority w:val="99"/>
    <w:unhideWhenUsed/>
    <w:rsid w:val="00805DC6"/>
    <w:rPr>
      <w:rFonts w:ascii="Calibri" w:hAnsi="Calibri" w:cs="Times New Roman"/>
      <w:color w:val="0000FF"/>
      <w:sz w:val="28"/>
      <w:u w:val="single"/>
    </w:rPr>
  </w:style>
  <w:style w:type="character" w:customStyle="1" w:styleId="BodyTextChar">
    <w:name w:val="Body Text Char"/>
    <w:link w:val="BodyText"/>
    <w:rsid w:val="00805DC6"/>
    <w:rPr>
      <w:sz w:val="28"/>
      <w:szCs w:val="22"/>
      <w:lang w:eastAsia="en-US"/>
    </w:rPr>
  </w:style>
  <w:style w:type="paragraph" w:styleId="BodyText">
    <w:name w:val="Body Text"/>
    <w:basedOn w:val="Normal"/>
    <w:link w:val="BodyTextChar"/>
    <w:rsid w:val="00805DC6"/>
    <w:pPr>
      <w:spacing w:before="120" w:after="120" w:line="264" w:lineRule="auto"/>
    </w:pPr>
  </w:style>
  <w:style w:type="character" w:customStyle="1" w:styleId="BodyTextChar1">
    <w:name w:val="Body Text Char1"/>
    <w:uiPriority w:val="99"/>
    <w:semiHidden/>
    <w:rsid w:val="00805DC6"/>
    <w:rPr>
      <w:sz w:val="28"/>
      <w:szCs w:val="22"/>
      <w:lang w:eastAsia="en-US"/>
    </w:rPr>
  </w:style>
  <w:style w:type="paragraph" w:customStyle="1" w:styleId="Default">
    <w:name w:val="Default"/>
    <w:rsid w:val="00805DC6"/>
    <w:pPr>
      <w:autoSpaceDE w:val="0"/>
      <w:autoSpaceDN w:val="0"/>
      <w:adjustRightInd w:val="0"/>
    </w:pPr>
    <w:rPr>
      <w:rFonts w:ascii="HelveticaNeueLT Std Lt" w:hAnsi="HelveticaNeueLT Std Lt" w:cs="HelveticaNeueLT Std Lt"/>
      <w:color w:val="000000"/>
      <w:sz w:val="24"/>
      <w:szCs w:val="24"/>
    </w:rPr>
  </w:style>
  <w:style w:type="character" w:customStyle="1" w:styleId="A0">
    <w:name w:val="A0"/>
    <w:uiPriority w:val="99"/>
    <w:rsid w:val="00805DC6"/>
    <w:rPr>
      <w:rFonts w:ascii="Calibri" w:hAnsi="Calibri" w:cs="HelveticaNeueLT Std Lt"/>
      <w:color w:val="31849B"/>
      <w:sz w:val="68"/>
      <w:szCs w:val="68"/>
    </w:rPr>
  </w:style>
  <w:style w:type="paragraph" w:styleId="NoSpacing">
    <w:name w:val="No Spacing"/>
    <w:uiPriority w:val="1"/>
    <w:qFormat/>
    <w:rsid w:val="00805DC6"/>
    <w:rPr>
      <w:sz w:val="28"/>
      <w:szCs w:val="22"/>
      <w:lang w:eastAsia="en-US"/>
    </w:rPr>
  </w:style>
  <w:style w:type="character" w:styleId="FootnoteReference">
    <w:name w:val="footnote reference"/>
    <w:aliases w:val="Footnote symbol,4_G,Footnotes refss,Footnote Reference in text,Footnote Reference Superscript,Appel note de bas de p.,*Footnote Reference,Odwołanie przypisu,Footnote Reference Number,Appel note de bas de p,Black"/>
    <w:link w:val="4GCharCharChar"/>
    <w:unhideWhenUsed/>
    <w:qFormat/>
    <w:rsid w:val="00805DC6"/>
    <w:rPr>
      <w:rFonts w:ascii="Calibri" w:hAnsi="Calibri"/>
      <w:color w:val="31849B"/>
      <w:spacing w:val="0"/>
      <w:kern w:val="0"/>
      <w:sz w:val="28"/>
      <w:vertAlign w:val="superscript"/>
    </w:rPr>
  </w:style>
  <w:style w:type="paragraph" w:styleId="ListParagraph">
    <w:name w:val="List Paragraph"/>
    <w:basedOn w:val="Normal"/>
    <w:uiPriority w:val="34"/>
    <w:qFormat/>
    <w:rsid w:val="00805DC6"/>
    <w:pPr>
      <w:spacing w:before="120"/>
      <w:ind w:left="720"/>
    </w:p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FußnotentexteGov4All,Footnote text,f"/>
    <w:basedOn w:val="Normal"/>
    <w:link w:val="FootnoteTextChar"/>
    <w:uiPriority w:val="99"/>
    <w:unhideWhenUsed/>
    <w:qFormat/>
    <w:rsid w:val="00805DC6"/>
    <w:pPr>
      <w:spacing w:after="120"/>
    </w:pPr>
    <w:rPr>
      <w:sz w:val="24"/>
      <w:szCs w:val="20"/>
      <w:lang w:val="x-none" w:eastAsia="x-none"/>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f Char"/>
    <w:link w:val="FootnoteText"/>
    <w:uiPriority w:val="99"/>
    <w:rsid w:val="00805DC6"/>
    <w:rPr>
      <w:sz w:val="24"/>
      <w:lang w:val="x-none" w:eastAsia="x-none"/>
    </w:rPr>
  </w:style>
  <w:style w:type="paragraph" w:customStyle="1" w:styleId="Bulletpointlist">
    <w:name w:val="Bullet point list"/>
    <w:basedOn w:val="Normal"/>
    <w:qFormat/>
    <w:rsid w:val="00805DC6"/>
    <w:pPr>
      <w:numPr>
        <w:numId w:val="1"/>
      </w:numPr>
      <w:spacing w:after="120"/>
    </w:pPr>
    <w:rPr>
      <w:lang w:eastAsia="en-GB"/>
    </w:rPr>
  </w:style>
  <w:style w:type="paragraph" w:styleId="Header">
    <w:name w:val="header"/>
    <w:basedOn w:val="Normal"/>
    <w:link w:val="HeaderChar"/>
    <w:uiPriority w:val="99"/>
    <w:unhideWhenUsed/>
    <w:rsid w:val="00805DC6"/>
    <w:pPr>
      <w:tabs>
        <w:tab w:val="center" w:pos="4513"/>
        <w:tab w:val="right" w:pos="9026"/>
      </w:tabs>
    </w:pPr>
  </w:style>
  <w:style w:type="character" w:customStyle="1" w:styleId="HeaderChar">
    <w:name w:val="Header Char"/>
    <w:link w:val="Header"/>
    <w:uiPriority w:val="99"/>
    <w:rsid w:val="00805DC6"/>
    <w:rPr>
      <w:sz w:val="28"/>
      <w:szCs w:val="22"/>
      <w:lang w:eastAsia="en-US"/>
    </w:rPr>
  </w:style>
  <w:style w:type="paragraph" w:styleId="Footer">
    <w:name w:val="footer"/>
    <w:basedOn w:val="Normal"/>
    <w:link w:val="FooterChar"/>
    <w:uiPriority w:val="99"/>
    <w:unhideWhenUsed/>
    <w:rsid w:val="00805DC6"/>
    <w:pPr>
      <w:tabs>
        <w:tab w:val="center" w:pos="4513"/>
        <w:tab w:val="right" w:pos="9026"/>
      </w:tabs>
    </w:pPr>
  </w:style>
  <w:style w:type="character" w:customStyle="1" w:styleId="FooterChar">
    <w:name w:val="Footer Char"/>
    <w:link w:val="Footer"/>
    <w:uiPriority w:val="99"/>
    <w:rsid w:val="00805DC6"/>
    <w:rPr>
      <w:sz w:val="28"/>
      <w:szCs w:val="22"/>
      <w:lang w:eastAsia="en-US"/>
    </w:rPr>
  </w:style>
  <w:style w:type="character" w:customStyle="1" w:styleId="Heading3Char">
    <w:name w:val="Heading 3 Char"/>
    <w:link w:val="Heading3"/>
    <w:uiPriority w:val="9"/>
    <w:rsid w:val="00805DC6"/>
    <w:rPr>
      <w:rFonts w:ascii="Cambria" w:eastAsia="Times New Roman" w:hAnsi="Cambria" w:cs="Times New Roman"/>
      <w:b/>
      <w:bCs/>
      <w:sz w:val="26"/>
      <w:szCs w:val="26"/>
      <w:lang w:eastAsia="en-US"/>
    </w:rPr>
  </w:style>
  <w:style w:type="paragraph" w:styleId="NormalWeb">
    <w:name w:val="Normal (Web)"/>
    <w:basedOn w:val="Normal"/>
    <w:uiPriority w:val="99"/>
    <w:unhideWhenUsed/>
    <w:rsid w:val="00512BDE"/>
    <w:rPr>
      <w:rFonts w:ascii="Times New Roman" w:hAnsi="Times New Roman"/>
      <w:sz w:val="24"/>
      <w:szCs w:val="24"/>
      <w:lang w:eastAsia="en-GB"/>
    </w:rPr>
  </w:style>
  <w:style w:type="paragraph" w:styleId="PlainText">
    <w:name w:val="Plain Text"/>
    <w:basedOn w:val="Normal"/>
    <w:link w:val="PlainTextChar"/>
    <w:uiPriority w:val="99"/>
    <w:unhideWhenUsed/>
    <w:rsid w:val="00512BDE"/>
    <w:rPr>
      <w:rFonts w:cs="Consolas"/>
      <w:szCs w:val="21"/>
    </w:rPr>
  </w:style>
  <w:style w:type="character" w:customStyle="1" w:styleId="PlainTextChar">
    <w:name w:val="Plain Text Char"/>
    <w:link w:val="PlainText"/>
    <w:uiPriority w:val="99"/>
    <w:rsid w:val="00512BDE"/>
    <w:rPr>
      <w:rFonts w:cs="Consolas"/>
      <w:sz w:val="28"/>
      <w:szCs w:val="21"/>
      <w:lang w:eastAsia="en-US"/>
    </w:rPr>
  </w:style>
  <w:style w:type="character" w:customStyle="1" w:styleId="apple-converted-space">
    <w:name w:val="apple-converted-space"/>
    <w:rsid w:val="00512BDE"/>
  </w:style>
  <w:style w:type="character" w:styleId="Emphasis">
    <w:name w:val="Emphasis"/>
    <w:uiPriority w:val="20"/>
    <w:qFormat/>
    <w:rsid w:val="00512BDE"/>
    <w:rPr>
      <w:i/>
      <w:iCs/>
    </w:rPr>
  </w:style>
  <w:style w:type="character" w:customStyle="1" w:styleId="textexposedshow">
    <w:name w:val="text_exposed_show"/>
    <w:rsid w:val="00512BDE"/>
  </w:style>
  <w:style w:type="paragraph" w:customStyle="1" w:styleId="tabletext">
    <w:name w:val="tabletext"/>
    <w:basedOn w:val="Normal"/>
    <w:rsid w:val="00512BDE"/>
    <w:pPr>
      <w:spacing w:before="100" w:beforeAutospacing="1" w:after="100" w:afterAutospacing="1"/>
    </w:pPr>
    <w:rPr>
      <w:rFonts w:ascii="Times New Roman" w:eastAsia="Times New Roman" w:hAnsi="Times New Roman"/>
      <w:sz w:val="24"/>
      <w:szCs w:val="24"/>
      <w:lang w:eastAsia="en-GB"/>
    </w:rPr>
  </w:style>
  <w:style w:type="character" w:customStyle="1" w:styleId="name">
    <w:name w:val="name"/>
    <w:rsid w:val="00512BDE"/>
  </w:style>
  <w:style w:type="paragraph" w:styleId="BalloonText">
    <w:name w:val="Balloon Text"/>
    <w:basedOn w:val="Normal"/>
    <w:link w:val="BalloonTextChar"/>
    <w:uiPriority w:val="99"/>
    <w:semiHidden/>
    <w:unhideWhenUsed/>
    <w:rsid w:val="00512BDE"/>
    <w:rPr>
      <w:rFonts w:ascii="Tahoma" w:hAnsi="Tahoma" w:cs="Tahoma"/>
      <w:sz w:val="16"/>
      <w:szCs w:val="16"/>
      <w:lang w:eastAsia="en-GB"/>
    </w:rPr>
  </w:style>
  <w:style w:type="character" w:customStyle="1" w:styleId="BalloonTextChar">
    <w:name w:val="Balloon Text Char"/>
    <w:link w:val="BalloonText"/>
    <w:uiPriority w:val="99"/>
    <w:semiHidden/>
    <w:rsid w:val="00512BDE"/>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12BDE"/>
    <w:pPr>
      <w:spacing w:after="160" w:line="240" w:lineRule="exact"/>
      <w:jc w:val="both"/>
    </w:pPr>
    <w:rPr>
      <w:color w:val="31849B"/>
      <w:szCs w:val="20"/>
      <w:vertAlign w:val="superscript"/>
      <w:lang w:eastAsia="en-GB"/>
    </w:rPr>
  </w:style>
  <w:style w:type="character" w:styleId="FollowedHyperlink">
    <w:name w:val="FollowedHyperlink"/>
    <w:uiPriority w:val="99"/>
    <w:semiHidden/>
    <w:unhideWhenUsed/>
    <w:rsid w:val="00512BDE"/>
    <w:rPr>
      <w:color w:val="800080"/>
      <w:u w:val="single"/>
    </w:rPr>
  </w:style>
  <w:style w:type="character" w:styleId="CommentReference">
    <w:name w:val="annotation reference"/>
    <w:uiPriority w:val="99"/>
    <w:semiHidden/>
    <w:unhideWhenUsed/>
    <w:rsid w:val="00512BDE"/>
    <w:rPr>
      <w:sz w:val="16"/>
      <w:szCs w:val="16"/>
    </w:rPr>
  </w:style>
  <w:style w:type="paragraph" w:styleId="CommentText">
    <w:name w:val="annotation text"/>
    <w:basedOn w:val="Normal"/>
    <w:link w:val="CommentTextChar"/>
    <w:uiPriority w:val="99"/>
    <w:semiHidden/>
    <w:unhideWhenUsed/>
    <w:rsid w:val="00512BDE"/>
    <w:pPr>
      <w:spacing w:after="200" w:line="276" w:lineRule="auto"/>
    </w:pPr>
    <w:rPr>
      <w:sz w:val="20"/>
      <w:szCs w:val="20"/>
      <w:lang w:eastAsia="en-GB"/>
    </w:rPr>
  </w:style>
  <w:style w:type="character" w:customStyle="1" w:styleId="CommentTextChar">
    <w:name w:val="Comment Text Char"/>
    <w:basedOn w:val="DefaultParagraphFont"/>
    <w:link w:val="CommentText"/>
    <w:uiPriority w:val="99"/>
    <w:semiHidden/>
    <w:rsid w:val="00512BDE"/>
  </w:style>
  <w:style w:type="paragraph" w:styleId="CommentSubject">
    <w:name w:val="annotation subject"/>
    <w:basedOn w:val="CommentText"/>
    <w:next w:val="CommentText"/>
    <w:link w:val="CommentSubjectChar"/>
    <w:uiPriority w:val="99"/>
    <w:semiHidden/>
    <w:unhideWhenUsed/>
    <w:rsid w:val="00512BDE"/>
    <w:rPr>
      <w:b/>
      <w:bCs/>
    </w:rPr>
  </w:style>
  <w:style w:type="character" w:customStyle="1" w:styleId="CommentSubjectChar">
    <w:name w:val="Comment Subject Char"/>
    <w:link w:val="CommentSubject"/>
    <w:uiPriority w:val="99"/>
    <w:semiHidden/>
    <w:rsid w:val="00512BDE"/>
    <w:rPr>
      <w:b/>
      <w:bCs/>
    </w:rPr>
  </w:style>
  <w:style w:type="paragraph" w:customStyle="1" w:styleId="SingleTxtG">
    <w:name w:val="_ Single Txt_G"/>
    <w:basedOn w:val="Normal"/>
    <w:link w:val="SingleTxtGChar"/>
    <w:rsid w:val="00512BDE"/>
    <w:pPr>
      <w:suppressAutoHyphens/>
      <w:spacing w:after="120" w:line="240" w:lineRule="atLeast"/>
      <w:ind w:left="1134" w:right="1134"/>
      <w:jc w:val="both"/>
    </w:pPr>
    <w:rPr>
      <w:rFonts w:ascii="Times New Roman" w:eastAsia="SimSun" w:hAnsi="Times New Roman"/>
      <w:sz w:val="20"/>
      <w:szCs w:val="20"/>
      <w:lang w:eastAsia="zh-CN"/>
    </w:rPr>
  </w:style>
  <w:style w:type="character" w:customStyle="1" w:styleId="SingleTxtGChar">
    <w:name w:val="_ Single Txt_G Char"/>
    <w:link w:val="SingleTxtG"/>
    <w:rsid w:val="00512BDE"/>
    <w:rPr>
      <w:rFonts w:ascii="Times New Roman" w:eastAsia="SimSun" w:hAnsi="Times New Roman"/>
      <w:lang w:eastAsia="zh-CN"/>
    </w:rPr>
  </w:style>
  <w:style w:type="paragraph" w:customStyle="1" w:styleId="HMG">
    <w:name w:val="_ H __M_G"/>
    <w:basedOn w:val="Normal"/>
    <w:next w:val="Normal"/>
    <w:rsid w:val="00512BDE"/>
    <w:pPr>
      <w:keepNext/>
      <w:keepLines/>
      <w:tabs>
        <w:tab w:val="right" w:pos="851"/>
      </w:tabs>
      <w:suppressAutoHyphens/>
      <w:spacing w:before="240" w:after="240" w:line="360" w:lineRule="exact"/>
      <w:ind w:left="1134" w:right="1134" w:hanging="1134"/>
    </w:pPr>
    <w:rPr>
      <w:rFonts w:ascii="Times New Roman" w:eastAsia="SimSun" w:hAnsi="Times New Roman"/>
      <w:b/>
      <w:sz w:val="34"/>
      <w:szCs w:val="20"/>
      <w:lang w:eastAsia="zh-CN"/>
    </w:rPr>
  </w:style>
  <w:style w:type="paragraph" w:customStyle="1" w:styleId="H1G">
    <w:name w:val="_ H_1_G"/>
    <w:basedOn w:val="Normal"/>
    <w:next w:val="Normal"/>
    <w:rsid w:val="00512BDE"/>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9071">
      <w:bodyDiv w:val="1"/>
      <w:marLeft w:val="0"/>
      <w:marRight w:val="0"/>
      <w:marTop w:val="0"/>
      <w:marBottom w:val="0"/>
      <w:divBdr>
        <w:top w:val="none" w:sz="0" w:space="0" w:color="auto"/>
        <w:left w:val="none" w:sz="0" w:space="0" w:color="auto"/>
        <w:bottom w:val="none" w:sz="0" w:space="0" w:color="auto"/>
        <w:right w:val="none" w:sz="0" w:space="0" w:color="auto"/>
      </w:divBdr>
    </w:div>
    <w:div w:id="323053859">
      <w:bodyDiv w:val="1"/>
      <w:marLeft w:val="0"/>
      <w:marRight w:val="0"/>
      <w:marTop w:val="0"/>
      <w:marBottom w:val="0"/>
      <w:divBdr>
        <w:top w:val="none" w:sz="0" w:space="0" w:color="auto"/>
        <w:left w:val="none" w:sz="0" w:space="0" w:color="auto"/>
        <w:bottom w:val="none" w:sz="0" w:space="0" w:color="auto"/>
        <w:right w:val="none" w:sz="0" w:space="0" w:color="auto"/>
      </w:divBdr>
      <w:divsChild>
        <w:div w:id="1274676665">
          <w:marLeft w:val="0"/>
          <w:marRight w:val="0"/>
          <w:marTop w:val="0"/>
          <w:marBottom w:val="0"/>
          <w:divBdr>
            <w:top w:val="none" w:sz="0" w:space="0" w:color="auto"/>
            <w:left w:val="none" w:sz="0" w:space="0" w:color="auto"/>
            <w:bottom w:val="none" w:sz="0" w:space="0" w:color="auto"/>
            <w:right w:val="none" w:sz="0" w:space="0" w:color="auto"/>
          </w:divBdr>
        </w:div>
      </w:divsChild>
    </w:div>
    <w:div w:id="401414550">
      <w:bodyDiv w:val="1"/>
      <w:marLeft w:val="0"/>
      <w:marRight w:val="0"/>
      <w:marTop w:val="0"/>
      <w:marBottom w:val="0"/>
      <w:divBdr>
        <w:top w:val="none" w:sz="0" w:space="0" w:color="auto"/>
        <w:left w:val="none" w:sz="0" w:space="0" w:color="auto"/>
        <w:bottom w:val="none" w:sz="0" w:space="0" w:color="auto"/>
        <w:right w:val="none" w:sz="0" w:space="0" w:color="auto"/>
      </w:divBdr>
      <w:divsChild>
        <w:div w:id="634218327">
          <w:marLeft w:val="0"/>
          <w:marRight w:val="0"/>
          <w:marTop w:val="0"/>
          <w:marBottom w:val="0"/>
          <w:divBdr>
            <w:top w:val="none" w:sz="0" w:space="0" w:color="auto"/>
            <w:left w:val="none" w:sz="0" w:space="0" w:color="auto"/>
            <w:bottom w:val="none" w:sz="0" w:space="0" w:color="auto"/>
            <w:right w:val="none" w:sz="0" w:space="0" w:color="auto"/>
          </w:divBdr>
        </w:div>
      </w:divsChild>
    </w:div>
    <w:div w:id="468399419">
      <w:bodyDiv w:val="1"/>
      <w:marLeft w:val="0"/>
      <w:marRight w:val="0"/>
      <w:marTop w:val="0"/>
      <w:marBottom w:val="0"/>
      <w:divBdr>
        <w:top w:val="none" w:sz="0" w:space="0" w:color="auto"/>
        <w:left w:val="none" w:sz="0" w:space="0" w:color="auto"/>
        <w:bottom w:val="none" w:sz="0" w:space="0" w:color="auto"/>
        <w:right w:val="none" w:sz="0" w:space="0" w:color="auto"/>
      </w:divBdr>
      <w:divsChild>
        <w:div w:id="1973747743">
          <w:marLeft w:val="0"/>
          <w:marRight w:val="0"/>
          <w:marTop w:val="0"/>
          <w:marBottom w:val="0"/>
          <w:divBdr>
            <w:top w:val="none" w:sz="0" w:space="0" w:color="auto"/>
            <w:left w:val="none" w:sz="0" w:space="0" w:color="auto"/>
            <w:bottom w:val="none" w:sz="0" w:space="0" w:color="auto"/>
            <w:right w:val="none" w:sz="0" w:space="0" w:color="auto"/>
          </w:divBdr>
        </w:div>
      </w:divsChild>
    </w:div>
    <w:div w:id="628630197">
      <w:bodyDiv w:val="1"/>
      <w:marLeft w:val="0"/>
      <w:marRight w:val="0"/>
      <w:marTop w:val="0"/>
      <w:marBottom w:val="0"/>
      <w:divBdr>
        <w:top w:val="none" w:sz="0" w:space="0" w:color="auto"/>
        <w:left w:val="none" w:sz="0" w:space="0" w:color="auto"/>
        <w:bottom w:val="none" w:sz="0" w:space="0" w:color="auto"/>
        <w:right w:val="none" w:sz="0" w:space="0" w:color="auto"/>
      </w:divBdr>
    </w:div>
    <w:div w:id="1006202593">
      <w:bodyDiv w:val="1"/>
      <w:marLeft w:val="0"/>
      <w:marRight w:val="0"/>
      <w:marTop w:val="0"/>
      <w:marBottom w:val="0"/>
      <w:divBdr>
        <w:top w:val="none" w:sz="0" w:space="0" w:color="auto"/>
        <w:left w:val="none" w:sz="0" w:space="0" w:color="auto"/>
        <w:bottom w:val="none" w:sz="0" w:space="0" w:color="auto"/>
        <w:right w:val="none" w:sz="0" w:space="0" w:color="auto"/>
      </w:divBdr>
      <w:divsChild>
        <w:div w:id="1905330962">
          <w:marLeft w:val="0"/>
          <w:marRight w:val="0"/>
          <w:marTop w:val="0"/>
          <w:marBottom w:val="0"/>
          <w:divBdr>
            <w:top w:val="none" w:sz="0" w:space="0" w:color="auto"/>
            <w:left w:val="none" w:sz="0" w:space="0" w:color="auto"/>
            <w:bottom w:val="none" w:sz="0" w:space="0" w:color="auto"/>
            <w:right w:val="none" w:sz="0" w:space="0" w:color="auto"/>
          </w:divBdr>
        </w:div>
      </w:divsChild>
    </w:div>
    <w:div w:id="1732921480">
      <w:bodyDiv w:val="1"/>
      <w:marLeft w:val="0"/>
      <w:marRight w:val="0"/>
      <w:marTop w:val="0"/>
      <w:marBottom w:val="0"/>
      <w:divBdr>
        <w:top w:val="none" w:sz="0" w:space="0" w:color="auto"/>
        <w:left w:val="none" w:sz="0" w:space="0" w:color="auto"/>
        <w:bottom w:val="none" w:sz="0" w:space="0" w:color="auto"/>
        <w:right w:val="none" w:sz="0" w:space="0" w:color="auto"/>
      </w:divBdr>
      <w:divsChild>
        <w:div w:id="1521551884">
          <w:marLeft w:val="0"/>
          <w:marRight w:val="0"/>
          <w:marTop w:val="0"/>
          <w:marBottom w:val="0"/>
          <w:divBdr>
            <w:top w:val="none" w:sz="0" w:space="0" w:color="auto"/>
            <w:left w:val="none" w:sz="0" w:space="0" w:color="auto"/>
            <w:bottom w:val="none" w:sz="0" w:space="0" w:color="auto"/>
            <w:right w:val="none" w:sz="0" w:space="0" w:color="auto"/>
          </w:divBdr>
        </w:div>
      </w:divsChild>
    </w:div>
    <w:div w:id="17757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icy@inclusionlondon.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olicy@inclusionlondon.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tatistics/family-resources-survey-financial-year-201516" TargetMode="External"/><Relationship Id="rId1" Type="http://schemas.openxmlformats.org/officeDocument/2006/relationships/hyperlink" Target="https://www.gov.uk/government/uploads/system/uploads/attachment_data/file/325491/family-resources-survey-statistics-2012-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E09F-2D6F-403E-AFD2-7BEE50E4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8470</CharactersWithSpaces>
  <SharedDoc>false</SharedDoc>
  <HLinks>
    <vt:vector size="36" baseType="variant">
      <vt:variant>
        <vt:i4>6553658</vt:i4>
      </vt:variant>
      <vt:variant>
        <vt:i4>3</vt:i4>
      </vt:variant>
      <vt:variant>
        <vt:i4>0</vt:i4>
      </vt:variant>
      <vt:variant>
        <vt:i4>5</vt:i4>
      </vt:variant>
      <vt:variant>
        <vt:lpwstr>http://www.inclusionlondon.org.uk/</vt:lpwstr>
      </vt:variant>
      <vt:variant>
        <vt:lpwstr/>
      </vt:variant>
      <vt:variant>
        <vt:i4>3604565</vt:i4>
      </vt:variant>
      <vt:variant>
        <vt:i4>0</vt:i4>
      </vt:variant>
      <vt:variant>
        <vt:i4>0</vt:i4>
      </vt:variant>
      <vt:variant>
        <vt:i4>5</vt:i4>
      </vt:variant>
      <vt:variant>
        <vt:lpwstr>mailto:policy@inclusionlondon.org.uk</vt:lpwstr>
      </vt:variant>
      <vt:variant>
        <vt:lpwstr/>
      </vt:variant>
      <vt:variant>
        <vt:i4>917629</vt:i4>
      </vt:variant>
      <vt:variant>
        <vt:i4>6</vt:i4>
      </vt:variant>
      <vt:variant>
        <vt:i4>0</vt:i4>
      </vt:variant>
      <vt:variant>
        <vt:i4>5</vt:i4>
      </vt:variant>
      <vt:variant>
        <vt:lpwstr>https://www.gov.uk/government/uploads/system/uploads/attachment_data/file/556216/legal-aid-statistics-bulletin-apr-to-jun-2016.pdf</vt:lpwstr>
      </vt:variant>
      <vt:variant>
        <vt:lpwstr/>
      </vt:variant>
      <vt:variant>
        <vt:i4>2162787</vt:i4>
      </vt:variant>
      <vt:variant>
        <vt:i4>3</vt:i4>
      </vt:variant>
      <vt:variant>
        <vt:i4>0</vt:i4>
      </vt:variant>
      <vt:variant>
        <vt:i4>5</vt:i4>
      </vt:variant>
      <vt:variant>
        <vt:lpwstr>https://www.gov.uk/government/statistics/family-resources-survey-financial-year-201516</vt:lpwstr>
      </vt:variant>
      <vt:variant>
        <vt:lpwstr/>
      </vt:variant>
      <vt:variant>
        <vt:i4>2097228</vt:i4>
      </vt:variant>
      <vt:variant>
        <vt:i4>0</vt:i4>
      </vt:variant>
      <vt:variant>
        <vt:i4>0</vt:i4>
      </vt:variant>
      <vt:variant>
        <vt:i4>5</vt:i4>
      </vt:variant>
      <vt:variant>
        <vt:lpwstr>https://www.gov.uk/government/uploads/system/uploads/attachment_data/file/325491/family-resources-survey-statistics-2012-2013.pdf</vt:lpwstr>
      </vt:variant>
      <vt:variant>
        <vt:lpwstr/>
      </vt:variant>
      <vt:variant>
        <vt:i4>3604565</vt:i4>
      </vt:variant>
      <vt:variant>
        <vt:i4>3</vt:i4>
      </vt:variant>
      <vt:variant>
        <vt:i4>0</vt:i4>
      </vt:variant>
      <vt:variant>
        <vt:i4>5</vt:i4>
      </vt:variant>
      <vt:variant>
        <vt:lpwstr>mailto:Policy@inclusionlondon.org.uk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Henrietta.Doyle</dc:creator>
  <cp:keywords/>
  <cp:lastModifiedBy>Ellen Clifford</cp:lastModifiedBy>
  <cp:revision>2</cp:revision>
  <dcterms:created xsi:type="dcterms:W3CDTF">2018-02-09T17:49:00Z</dcterms:created>
  <dcterms:modified xsi:type="dcterms:W3CDTF">2018-02-09T17:49:00Z</dcterms:modified>
</cp:coreProperties>
</file>