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6C" w:rsidRDefault="00D81316">
      <w:pPr>
        <w:spacing w:after="0" w:line="216" w:lineRule="auto"/>
        <w:ind w:right="10" w:firstLine="7069"/>
        <w:jc w:val="both"/>
      </w:pPr>
      <w:r>
        <w:rPr>
          <w:sz w:val="20"/>
        </w:rPr>
        <w:t xml:space="preserve">From the </w:t>
      </w:r>
      <w:proofErr w:type="spellStart"/>
      <w:r>
        <w:rPr>
          <w:sz w:val="20"/>
        </w:rPr>
        <w:t>Rt</w:t>
      </w:r>
      <w:proofErr w:type="spellEnd"/>
      <w:r>
        <w:rPr>
          <w:sz w:val="20"/>
        </w:rPr>
        <w:t xml:space="preserve"> Hon Jeremy Hunt MP </w:t>
      </w:r>
      <w:r>
        <w:rPr>
          <w:sz w:val="20"/>
        </w:rPr>
        <w:t>Department</w:t>
      </w:r>
      <w:r>
        <w:rPr>
          <w:sz w:val="20"/>
        </w:rPr>
        <w:tab/>
      </w:r>
      <w:r>
        <w:rPr>
          <w:sz w:val="20"/>
        </w:rPr>
        <w:t xml:space="preserve">Secretary of State for Health </w:t>
      </w:r>
      <w:r>
        <w:rPr>
          <w:sz w:val="20"/>
        </w:rPr>
        <w:t>of Health</w:t>
      </w:r>
    </w:p>
    <w:p w:rsidR="00B6416C" w:rsidRDefault="00D81316">
      <w:pPr>
        <w:spacing w:after="0"/>
        <w:jc w:val="right"/>
      </w:pPr>
      <w:r>
        <w:rPr>
          <w:sz w:val="18"/>
        </w:rPr>
        <w:t>39 Victoria Street</w:t>
      </w:r>
    </w:p>
    <w:p w:rsidR="00B6416C" w:rsidRDefault="00D81316">
      <w:pPr>
        <w:spacing w:after="198" w:line="223" w:lineRule="auto"/>
        <w:ind w:left="8846" w:firstLine="307"/>
      </w:pPr>
      <w:r>
        <w:rPr>
          <w:sz w:val="18"/>
        </w:rPr>
        <w:t>London SWIH OEU</w:t>
      </w:r>
    </w:p>
    <w:p w:rsidR="00B6416C" w:rsidRDefault="00D81316">
      <w:pPr>
        <w:spacing w:after="105"/>
        <w:jc w:val="right"/>
      </w:pPr>
      <w:r>
        <w:rPr>
          <w:sz w:val="20"/>
        </w:rPr>
        <w:t>020 7210 4850</w:t>
      </w:r>
    </w:p>
    <w:p w:rsidR="00B6416C" w:rsidRDefault="00D81316">
      <w:pPr>
        <w:spacing w:after="304" w:line="250" w:lineRule="auto"/>
        <w:ind w:left="91" w:right="283" w:hanging="10"/>
      </w:pPr>
      <w:r>
        <w:rPr>
          <w:sz w:val="28"/>
        </w:rPr>
        <w:t>PMPO-1106236</w:t>
      </w:r>
    </w:p>
    <w:p w:rsidR="00B6416C" w:rsidRDefault="00D81316">
      <w:pPr>
        <w:spacing w:after="12" w:line="250" w:lineRule="auto"/>
        <w:ind w:left="91" w:right="283" w:hanging="10"/>
      </w:pPr>
      <w:r>
        <w:rPr>
          <w:sz w:val="28"/>
        </w:rPr>
        <w:t>Ms Linda Burnip</w:t>
      </w:r>
    </w:p>
    <w:p w:rsidR="00B6416C" w:rsidRDefault="00D81316">
      <w:pPr>
        <w:spacing w:after="12" w:line="250" w:lineRule="auto"/>
        <w:ind w:left="91" w:right="283" w:hanging="10"/>
      </w:pPr>
      <w:r>
        <w:rPr>
          <w:sz w:val="28"/>
        </w:rPr>
        <w:t>Inclusion London</w:t>
      </w:r>
    </w:p>
    <w:p w:rsidR="00B6416C" w:rsidRDefault="00D81316">
      <w:pPr>
        <w:tabs>
          <w:tab w:val="center" w:pos="8452"/>
        </w:tabs>
        <w:spacing w:after="12" w:line="250" w:lineRule="auto"/>
      </w:pPr>
      <w:r>
        <w:rPr>
          <w:sz w:val="28"/>
        </w:rPr>
        <w:t>336 Brixton Road</w:t>
      </w:r>
      <w:r>
        <w:rPr>
          <w:sz w:val="28"/>
        </w:rPr>
        <w:tab/>
      </w:r>
      <w:r>
        <w:rPr>
          <w:noProof/>
        </w:rPr>
        <w:drawing>
          <wp:inline distT="0" distB="0" distL="0" distR="0">
            <wp:extent cx="829447" cy="158511"/>
            <wp:effectExtent l="0" t="0" r="0" b="0"/>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a:blip r:embed="rId5"/>
                    <a:stretch>
                      <a:fillRect/>
                    </a:stretch>
                  </pic:blipFill>
                  <pic:spPr>
                    <a:xfrm>
                      <a:off x="0" y="0"/>
                      <a:ext cx="829447" cy="158511"/>
                    </a:xfrm>
                    <a:prstGeom prst="rect">
                      <a:avLst/>
                    </a:prstGeom>
                  </pic:spPr>
                </pic:pic>
              </a:graphicData>
            </a:graphic>
          </wp:inline>
        </w:drawing>
      </w:r>
    </w:p>
    <w:p w:rsidR="00B6416C" w:rsidRDefault="00D81316">
      <w:pPr>
        <w:spacing w:after="1000" w:line="250" w:lineRule="auto"/>
        <w:ind w:left="91" w:right="283" w:hanging="10"/>
      </w:pPr>
      <w:r>
        <w:rPr>
          <w:sz w:val="28"/>
        </w:rPr>
        <w:t>London SW9 7AA</w:t>
      </w:r>
    </w:p>
    <w:p w:rsidR="00B6416C" w:rsidRDefault="00D81316">
      <w:pPr>
        <w:spacing w:after="0"/>
        <w:ind w:left="106"/>
      </w:pPr>
      <w:r>
        <w:rPr>
          <w:noProof/>
        </w:rPr>
        <w:drawing>
          <wp:inline distT="0" distB="0" distL="0" distR="0">
            <wp:extent cx="1305158" cy="249960"/>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6"/>
                    <a:stretch>
                      <a:fillRect/>
                    </a:stretch>
                  </pic:blipFill>
                  <pic:spPr>
                    <a:xfrm>
                      <a:off x="0" y="0"/>
                      <a:ext cx="1305158" cy="249960"/>
                    </a:xfrm>
                    <a:prstGeom prst="rect">
                      <a:avLst/>
                    </a:prstGeom>
                  </pic:spPr>
                </pic:pic>
              </a:graphicData>
            </a:graphic>
          </wp:inline>
        </w:drawing>
      </w:r>
    </w:p>
    <w:p w:rsidR="00B6416C" w:rsidRDefault="00B6416C">
      <w:pPr>
        <w:sectPr w:rsidR="00B6416C">
          <w:pgSz w:w="11900" w:h="16840"/>
          <w:pgMar w:top="1576" w:right="768" w:bottom="1460" w:left="1383" w:header="720" w:footer="720" w:gutter="0"/>
          <w:cols w:space="720"/>
        </w:sectPr>
      </w:pPr>
    </w:p>
    <w:p w:rsidR="00B6416C" w:rsidRDefault="00D81316">
      <w:pPr>
        <w:spacing w:after="306" w:line="250" w:lineRule="auto"/>
        <w:ind w:left="10" w:right="283" w:hanging="10"/>
      </w:pPr>
      <w:r>
        <w:rPr>
          <w:sz w:val="28"/>
        </w:rPr>
        <w:lastRenderedPageBreak/>
        <w:t>Thank you for your letter of 7 November to Theresa May about the Mental Health Act (1983). As your correspondence relates to health it was passed to this Department.</w:t>
      </w:r>
    </w:p>
    <w:p w:rsidR="00B6416C" w:rsidRDefault="00D81316">
      <w:pPr>
        <w:spacing w:after="329" w:line="243" w:lineRule="auto"/>
        <w:ind w:left="33" w:right="33" w:hanging="10"/>
        <w:jc w:val="both"/>
      </w:pPr>
      <w:r>
        <w:rPr>
          <w:noProof/>
        </w:rPr>
        <mc:AlternateContent>
          <mc:Choice Requires="wpg">
            <w:drawing>
              <wp:anchor distT="0" distB="0" distL="114300" distR="114300" simplePos="0" relativeHeight="251658240" behindDoc="0" locked="0" layoutInCell="1" allowOverlap="1">
                <wp:simplePos x="0" y="0"/>
                <wp:positionH relativeFrom="page">
                  <wp:posOffset>274449</wp:posOffset>
                </wp:positionH>
                <wp:positionV relativeFrom="page">
                  <wp:posOffset>268250</wp:posOffset>
                </wp:positionV>
                <wp:extent cx="969720" cy="6097"/>
                <wp:effectExtent l="0" t="0" r="0" b="0"/>
                <wp:wrapTopAndBottom/>
                <wp:docPr id="3292" name="Group 3292"/>
                <wp:cNvGraphicFramePr/>
                <a:graphic xmlns:a="http://schemas.openxmlformats.org/drawingml/2006/main">
                  <a:graphicData uri="http://schemas.microsoft.com/office/word/2010/wordprocessingGroup">
                    <wpg:wgp>
                      <wpg:cNvGrpSpPr/>
                      <wpg:grpSpPr>
                        <a:xfrm>
                          <a:off x="0" y="0"/>
                          <a:ext cx="969720" cy="6097"/>
                          <a:chOff x="0" y="0"/>
                          <a:chExt cx="969720" cy="6097"/>
                        </a:xfrm>
                      </wpg:grpSpPr>
                      <wps:wsp>
                        <wps:cNvPr id="3291" name="Shape 3291"/>
                        <wps:cNvSpPr/>
                        <wps:spPr>
                          <a:xfrm>
                            <a:off x="0" y="0"/>
                            <a:ext cx="969720" cy="6097"/>
                          </a:xfrm>
                          <a:custGeom>
                            <a:avLst/>
                            <a:gdLst/>
                            <a:ahLst/>
                            <a:cxnLst/>
                            <a:rect l="0" t="0" r="0" b="0"/>
                            <a:pathLst>
                              <a:path w="969720" h="6097">
                                <a:moveTo>
                                  <a:pt x="0" y="3048"/>
                                </a:moveTo>
                                <a:lnTo>
                                  <a:pt x="969720"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92" style="width:76.3559pt;height:0.480045pt;position:absolute;mso-position-horizontal-relative:page;mso-position-horizontal:absolute;margin-left:21.6102pt;mso-position-vertical-relative:page;margin-top:21.122pt;" coordsize="9697,60">
                <v:shape id="Shape 3291" style="position:absolute;width:9697;height:60;left:0;top:0;" coordsize="969720,6097" path="m0,3048l969720,3048">
                  <v:stroke weight="0.480045pt" endcap="flat" joinstyle="miter" miterlimit="1" on="true" color="#000000"/>
                  <v:fill on="false" color="#000000"/>
                </v:shape>
                <w10:wrap type="topAndBottom"/>
              </v:group>
            </w:pict>
          </mc:Fallback>
        </mc:AlternateContent>
      </w:r>
      <w:r>
        <w:rPr>
          <w:noProof/>
        </w:rPr>
        <w:drawing>
          <wp:anchor distT="0" distB="0" distL="114300" distR="114300" simplePos="0" relativeHeight="251659264" behindDoc="0" locked="0" layoutInCell="1" allowOverlap="0">
            <wp:simplePos x="0" y="0"/>
            <wp:positionH relativeFrom="page">
              <wp:posOffset>2219989</wp:posOffset>
            </wp:positionH>
            <wp:positionV relativeFrom="page">
              <wp:posOffset>268250</wp:posOffset>
            </wp:positionV>
            <wp:extent cx="439119" cy="12193"/>
            <wp:effectExtent l="0" t="0" r="0" b="0"/>
            <wp:wrapTopAndBottom/>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7"/>
                    <a:stretch>
                      <a:fillRect/>
                    </a:stretch>
                  </pic:blipFill>
                  <pic:spPr>
                    <a:xfrm>
                      <a:off x="0" y="0"/>
                      <a:ext cx="439119" cy="12193"/>
                    </a:xfrm>
                    <a:prstGeom prst="rect">
                      <a:avLst/>
                    </a:prstGeom>
                  </pic:spPr>
                </pic:pic>
              </a:graphicData>
            </a:graphic>
          </wp:anchor>
        </w:drawing>
      </w:r>
      <w:r>
        <w:rPr>
          <w:sz w:val="28"/>
        </w:rPr>
        <w:t>The Government has commissioned an independent review of the Act because we are absolutely committed to delivering parity of esteem between mental and physical health. We want to ensure that people experiencing severe mental ill health receive the treatmen</w:t>
      </w:r>
      <w:r>
        <w:rPr>
          <w:sz w:val="28"/>
        </w:rPr>
        <w:t>t and support they need when they need it, are treated with dignity, and that their liberty and autonomy is respected as far as possible.</w:t>
      </w:r>
    </w:p>
    <w:p w:rsidR="00B6416C" w:rsidRDefault="00D81316">
      <w:pPr>
        <w:spacing w:after="295" w:line="250" w:lineRule="auto"/>
        <w:ind w:left="29" w:hanging="10"/>
      </w:pPr>
      <w:r>
        <w:rPr>
          <w:sz w:val="28"/>
        </w:rPr>
        <w:t xml:space="preserve">The Prime Minister has asked Professor </w:t>
      </w:r>
      <w:proofErr w:type="spellStart"/>
      <w:r>
        <w:rPr>
          <w:sz w:val="28"/>
        </w:rPr>
        <w:t>Wessely</w:t>
      </w:r>
      <w:proofErr w:type="spellEnd"/>
      <w:r>
        <w:rPr>
          <w:sz w:val="28"/>
        </w:rPr>
        <w:t xml:space="preserve"> to lead an independent review of the Act because he is one of the most </w:t>
      </w:r>
      <w:r>
        <w:rPr>
          <w:sz w:val="28"/>
        </w:rPr>
        <w:t xml:space="preserve">widely respected and experienced leaders this country has in the field of mental health. Professor </w:t>
      </w:r>
      <w:proofErr w:type="spellStart"/>
      <w:r>
        <w:rPr>
          <w:sz w:val="28"/>
        </w:rPr>
        <w:t>Wessely</w:t>
      </w:r>
      <w:proofErr w:type="spellEnd"/>
      <w:r>
        <w:rPr>
          <w:sz w:val="28"/>
        </w:rPr>
        <w:t xml:space="preserve"> will be assisted by three vice chairs who have a variety of experience, and will be consulting widely with stakeholders as part of the review process</w:t>
      </w:r>
      <w:r>
        <w:rPr>
          <w:sz w:val="28"/>
        </w:rPr>
        <w:t>.</w:t>
      </w:r>
    </w:p>
    <w:p w:rsidR="00B6416C" w:rsidRDefault="00D81316">
      <w:pPr>
        <w:spacing w:after="329" w:line="243" w:lineRule="auto"/>
        <w:ind w:left="33" w:right="125" w:hanging="10"/>
        <w:jc w:val="both"/>
      </w:pPr>
      <w:r>
        <w:rPr>
          <w:sz w:val="28"/>
        </w:rPr>
        <w:t xml:space="preserve">The Review will work very closely with people who have lived experience of the Act. In the Review's Terms of Reference, the Government was clear that the review should closely involve past and current service users and carers in all aspects of its work, </w:t>
      </w:r>
      <w:r>
        <w:rPr>
          <w:sz w:val="28"/>
        </w:rPr>
        <w:t>and should:</w:t>
      </w:r>
    </w:p>
    <w:p w:rsidR="00D81316" w:rsidRPr="00D81316" w:rsidRDefault="00D81316" w:rsidP="00D81316">
      <w:pPr>
        <w:pStyle w:val="ListParagraph"/>
        <w:numPr>
          <w:ilvl w:val="0"/>
          <w:numId w:val="3"/>
        </w:numPr>
        <w:spacing w:after="12" w:line="250" w:lineRule="auto"/>
        <w:ind w:right="283"/>
        <w:rPr>
          <w:sz w:val="28"/>
          <w:szCs w:val="28"/>
        </w:rPr>
      </w:pPr>
      <w:r w:rsidRPr="00D81316">
        <w:rPr>
          <w:sz w:val="28"/>
          <w:szCs w:val="28"/>
        </w:rPr>
        <w:t xml:space="preserve">seek to understand practice across different local areas; </w:t>
      </w:r>
    </w:p>
    <w:p w:rsidR="00D81316" w:rsidRPr="00D81316" w:rsidRDefault="00D81316" w:rsidP="00D81316">
      <w:pPr>
        <w:pStyle w:val="ListParagraph"/>
        <w:numPr>
          <w:ilvl w:val="0"/>
          <w:numId w:val="3"/>
        </w:numPr>
        <w:spacing w:after="12" w:line="250" w:lineRule="auto"/>
        <w:ind w:right="283"/>
        <w:rPr>
          <w:sz w:val="28"/>
          <w:szCs w:val="28"/>
        </w:rPr>
      </w:pPr>
      <w:r w:rsidRPr="00D81316">
        <w:rPr>
          <w:sz w:val="28"/>
          <w:szCs w:val="28"/>
        </w:rPr>
        <w:t xml:space="preserve">engage widely with stakeholders; and </w:t>
      </w:r>
    </w:p>
    <w:p w:rsidR="00B6416C" w:rsidRPr="00D81316" w:rsidRDefault="00D81316" w:rsidP="00D81316">
      <w:pPr>
        <w:pStyle w:val="ListParagraph"/>
        <w:numPr>
          <w:ilvl w:val="0"/>
          <w:numId w:val="2"/>
        </w:numPr>
        <w:spacing w:after="12" w:line="250" w:lineRule="auto"/>
        <w:ind w:right="283"/>
      </w:pPr>
      <w:r w:rsidRPr="00D81316">
        <w:rPr>
          <w:sz w:val="28"/>
        </w:rPr>
        <w:t>make recommendations that have broad support among service users, carers, relevant professionals, and organisations.</w:t>
      </w:r>
    </w:p>
    <w:p w:rsidR="00D81316" w:rsidRDefault="00D81316" w:rsidP="00D81316">
      <w:pPr>
        <w:pStyle w:val="ListParagraph"/>
        <w:spacing w:after="12" w:line="250" w:lineRule="auto"/>
        <w:ind w:right="283"/>
        <w:rPr>
          <w:sz w:val="28"/>
        </w:rPr>
      </w:pPr>
    </w:p>
    <w:p w:rsidR="00D81316" w:rsidRPr="00D81316" w:rsidRDefault="00D81316" w:rsidP="00D81316">
      <w:pPr>
        <w:spacing w:after="329" w:line="249" w:lineRule="auto"/>
        <w:ind w:left="-5"/>
        <w:rPr>
          <w:sz w:val="28"/>
        </w:rPr>
      </w:pPr>
      <w:r w:rsidRPr="00D81316">
        <w:rPr>
          <w:sz w:val="28"/>
        </w:rPr>
        <w:lastRenderedPageBreak/>
        <w:t>On the subject of the management of chronic fatigue syndrome/</w:t>
      </w:r>
      <w:proofErr w:type="spellStart"/>
      <w:r w:rsidRPr="00D81316">
        <w:rPr>
          <w:sz w:val="28"/>
        </w:rPr>
        <w:t>myalgic</w:t>
      </w:r>
      <w:proofErr w:type="spellEnd"/>
      <w:r w:rsidRPr="00D81316">
        <w:rPr>
          <w:sz w:val="28"/>
        </w:rPr>
        <w:t xml:space="preserve"> encephalomyelitis (CFS/ME) and the PACE trial, which examined the benefits of certain treatments, including graded exercise therapy, I do understand that this is an illness that can have a serious impact on people's health and wellbeing.</w:t>
      </w:r>
    </w:p>
    <w:p w:rsidR="00D81316" w:rsidRPr="00D81316" w:rsidRDefault="00D81316" w:rsidP="00D81316">
      <w:pPr>
        <w:spacing w:after="329" w:line="249" w:lineRule="auto"/>
        <w:ind w:left="-5"/>
        <w:rPr>
          <w:sz w:val="28"/>
        </w:rPr>
      </w:pPr>
      <w:r w:rsidRPr="00D81316">
        <w:rPr>
          <w:sz w:val="28"/>
        </w:rPr>
        <w:t xml:space="preserve">The National Institute for Health and Care Excellence (NICE) exists to evaluate the efficacy and cost effectiveness of medical interventions. NICE has long supported the therapeutic approaches that Professor </w:t>
      </w:r>
      <w:proofErr w:type="spellStart"/>
      <w:r w:rsidRPr="00D81316">
        <w:rPr>
          <w:sz w:val="28"/>
        </w:rPr>
        <w:t>Wessely</w:t>
      </w:r>
      <w:proofErr w:type="spellEnd"/>
      <w:r w:rsidRPr="00D81316">
        <w:rPr>
          <w:sz w:val="28"/>
        </w:rPr>
        <w:t xml:space="preserve"> is associated with. On 20 September, NICE announced plans to undertake a full review of its CFS/ME guidance, including around the evidence for treatment approaches such as graded exercise therapy, to ensure its advice reflects the latest available evidence. The NICE Guideline Committee that will be assembled to develop the guidance will include people with the condition and their </w:t>
      </w:r>
      <w:proofErr w:type="spellStart"/>
      <w:r w:rsidRPr="00D81316">
        <w:rPr>
          <w:sz w:val="28"/>
        </w:rPr>
        <w:t>carers</w:t>
      </w:r>
      <w:proofErr w:type="spellEnd"/>
      <w:r w:rsidRPr="00D81316">
        <w:rPr>
          <w:sz w:val="28"/>
        </w:rPr>
        <w:t>, the healthcare professionals who treat them, and the organisations that commission the treatment.</w:t>
      </w:r>
    </w:p>
    <w:p w:rsidR="00D81316" w:rsidRPr="00D81316" w:rsidRDefault="00D81316" w:rsidP="00D81316">
      <w:pPr>
        <w:spacing w:after="193" w:line="249" w:lineRule="auto"/>
        <w:ind w:left="-5"/>
        <w:rPr>
          <w:sz w:val="28"/>
        </w:rPr>
      </w:pPr>
      <w:r w:rsidRPr="00D81316">
        <w:rPr>
          <w:sz w:val="28"/>
        </w:rPr>
        <w:t>I hope this reply is helpful and would be grateful if you would share it with your cosignatories.</w:t>
      </w:r>
    </w:p>
    <w:p w:rsidR="00D81316" w:rsidRPr="00D81316" w:rsidRDefault="00D81316" w:rsidP="00D81316">
      <w:pPr>
        <w:spacing w:after="221"/>
        <w:ind w:left="3371"/>
        <w:rPr>
          <w:sz w:val="28"/>
        </w:rPr>
      </w:pPr>
      <w:r w:rsidRPr="00D81316">
        <w:rPr>
          <w:noProof/>
          <w:sz w:val="28"/>
        </w:rPr>
        <w:drawing>
          <wp:inline distT="0" distB="0" distL="0" distR="0" wp14:anchorId="10B4BFEC" wp14:editId="013386B9">
            <wp:extent cx="1207576" cy="8047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8"/>
                    <a:stretch>
                      <a:fillRect/>
                    </a:stretch>
                  </pic:blipFill>
                  <pic:spPr>
                    <a:xfrm>
                      <a:off x="0" y="0"/>
                      <a:ext cx="1207576" cy="804749"/>
                    </a:xfrm>
                    <a:prstGeom prst="rect">
                      <a:avLst/>
                    </a:prstGeom>
                  </pic:spPr>
                </pic:pic>
              </a:graphicData>
            </a:graphic>
          </wp:inline>
        </w:drawing>
      </w:r>
    </w:p>
    <w:p w:rsidR="00D81316" w:rsidRPr="00D81316" w:rsidRDefault="00D81316" w:rsidP="00D81316">
      <w:pPr>
        <w:keepNext/>
        <w:keepLines/>
        <w:spacing w:after="0"/>
        <w:ind w:left="38"/>
        <w:jc w:val="center"/>
        <w:outlineLvl w:val="0"/>
        <w:rPr>
          <w:sz w:val="30"/>
        </w:rPr>
      </w:pPr>
      <w:r w:rsidRPr="00D81316">
        <w:rPr>
          <w:sz w:val="30"/>
        </w:rPr>
        <w:t>JEREMY HUNT</w:t>
      </w:r>
    </w:p>
    <w:p w:rsidR="00D81316" w:rsidRDefault="00D81316" w:rsidP="00D81316">
      <w:pPr>
        <w:pStyle w:val="ListParagraph"/>
        <w:spacing w:after="12" w:line="250" w:lineRule="auto"/>
        <w:ind w:left="0" w:right="283"/>
      </w:pPr>
      <w:bookmarkStart w:id="0" w:name="_GoBack"/>
      <w:bookmarkEnd w:id="0"/>
    </w:p>
    <w:sectPr w:rsidR="00D81316">
      <w:type w:val="continuous"/>
      <w:pgSz w:w="11900" w:h="16840"/>
      <w:pgMar w:top="1576" w:right="740" w:bottom="1460" w:left="14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pt;height:6pt;visibility:visible;mso-wrap-style:square" o:bullet="t">
        <v:imagedata r:id="rId1" o:title=""/>
      </v:shape>
    </w:pict>
  </w:numPicBullet>
  <w:abstractNum w:abstractNumId="0" w15:restartNumberingAfterBreak="0">
    <w:nsid w:val="10275F40"/>
    <w:multiLevelType w:val="hybridMultilevel"/>
    <w:tmpl w:val="E9BC5E82"/>
    <w:lvl w:ilvl="0" w:tplc="08090001">
      <w:start w:val="1"/>
      <w:numFmt w:val="bullet"/>
      <w:lvlText w:val=""/>
      <w:lvlJc w:val="left"/>
      <w:pPr>
        <w:tabs>
          <w:tab w:val="num" w:pos="720"/>
        </w:tabs>
        <w:ind w:left="720" w:hanging="360"/>
      </w:pPr>
      <w:rPr>
        <w:rFonts w:ascii="Symbol" w:hAnsi="Symbol" w:hint="default"/>
      </w:rPr>
    </w:lvl>
    <w:lvl w:ilvl="1" w:tplc="F33868E4" w:tentative="1">
      <w:start w:val="1"/>
      <w:numFmt w:val="bullet"/>
      <w:lvlText w:val=""/>
      <w:lvlJc w:val="left"/>
      <w:pPr>
        <w:tabs>
          <w:tab w:val="num" w:pos="1440"/>
        </w:tabs>
        <w:ind w:left="1440" w:hanging="360"/>
      </w:pPr>
      <w:rPr>
        <w:rFonts w:ascii="Symbol" w:hAnsi="Symbol" w:hint="default"/>
      </w:rPr>
    </w:lvl>
    <w:lvl w:ilvl="2" w:tplc="7C8A3EF4" w:tentative="1">
      <w:start w:val="1"/>
      <w:numFmt w:val="bullet"/>
      <w:lvlText w:val=""/>
      <w:lvlJc w:val="left"/>
      <w:pPr>
        <w:tabs>
          <w:tab w:val="num" w:pos="2160"/>
        </w:tabs>
        <w:ind w:left="2160" w:hanging="360"/>
      </w:pPr>
      <w:rPr>
        <w:rFonts w:ascii="Symbol" w:hAnsi="Symbol" w:hint="default"/>
      </w:rPr>
    </w:lvl>
    <w:lvl w:ilvl="3" w:tplc="ABE030D0" w:tentative="1">
      <w:start w:val="1"/>
      <w:numFmt w:val="bullet"/>
      <w:lvlText w:val=""/>
      <w:lvlJc w:val="left"/>
      <w:pPr>
        <w:tabs>
          <w:tab w:val="num" w:pos="2880"/>
        </w:tabs>
        <w:ind w:left="2880" w:hanging="360"/>
      </w:pPr>
      <w:rPr>
        <w:rFonts w:ascii="Symbol" w:hAnsi="Symbol" w:hint="default"/>
      </w:rPr>
    </w:lvl>
    <w:lvl w:ilvl="4" w:tplc="E480BC72" w:tentative="1">
      <w:start w:val="1"/>
      <w:numFmt w:val="bullet"/>
      <w:lvlText w:val=""/>
      <w:lvlJc w:val="left"/>
      <w:pPr>
        <w:tabs>
          <w:tab w:val="num" w:pos="3600"/>
        </w:tabs>
        <w:ind w:left="3600" w:hanging="360"/>
      </w:pPr>
      <w:rPr>
        <w:rFonts w:ascii="Symbol" w:hAnsi="Symbol" w:hint="default"/>
      </w:rPr>
    </w:lvl>
    <w:lvl w:ilvl="5" w:tplc="D2C0B99A" w:tentative="1">
      <w:start w:val="1"/>
      <w:numFmt w:val="bullet"/>
      <w:lvlText w:val=""/>
      <w:lvlJc w:val="left"/>
      <w:pPr>
        <w:tabs>
          <w:tab w:val="num" w:pos="4320"/>
        </w:tabs>
        <w:ind w:left="4320" w:hanging="360"/>
      </w:pPr>
      <w:rPr>
        <w:rFonts w:ascii="Symbol" w:hAnsi="Symbol" w:hint="default"/>
      </w:rPr>
    </w:lvl>
    <w:lvl w:ilvl="6" w:tplc="F31291EC" w:tentative="1">
      <w:start w:val="1"/>
      <w:numFmt w:val="bullet"/>
      <w:lvlText w:val=""/>
      <w:lvlJc w:val="left"/>
      <w:pPr>
        <w:tabs>
          <w:tab w:val="num" w:pos="5040"/>
        </w:tabs>
        <w:ind w:left="5040" w:hanging="360"/>
      </w:pPr>
      <w:rPr>
        <w:rFonts w:ascii="Symbol" w:hAnsi="Symbol" w:hint="default"/>
      </w:rPr>
    </w:lvl>
    <w:lvl w:ilvl="7" w:tplc="ABE2AAC6" w:tentative="1">
      <w:start w:val="1"/>
      <w:numFmt w:val="bullet"/>
      <w:lvlText w:val=""/>
      <w:lvlJc w:val="left"/>
      <w:pPr>
        <w:tabs>
          <w:tab w:val="num" w:pos="5760"/>
        </w:tabs>
        <w:ind w:left="5760" w:hanging="360"/>
      </w:pPr>
      <w:rPr>
        <w:rFonts w:ascii="Symbol" w:hAnsi="Symbol" w:hint="default"/>
      </w:rPr>
    </w:lvl>
    <w:lvl w:ilvl="8" w:tplc="E41A37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7C5A3B"/>
    <w:multiLevelType w:val="hybridMultilevel"/>
    <w:tmpl w:val="AD089914"/>
    <w:lvl w:ilvl="0" w:tplc="08090001">
      <w:start w:val="1"/>
      <w:numFmt w:val="bullet"/>
      <w:lvlText w:val=""/>
      <w:lvlJc w:val="left"/>
      <w:pPr>
        <w:tabs>
          <w:tab w:val="num" w:pos="720"/>
        </w:tabs>
        <w:ind w:left="720" w:hanging="360"/>
      </w:pPr>
      <w:rPr>
        <w:rFonts w:ascii="Symbol" w:hAnsi="Symbol" w:hint="default"/>
      </w:rPr>
    </w:lvl>
    <w:lvl w:ilvl="1" w:tplc="F33868E4" w:tentative="1">
      <w:start w:val="1"/>
      <w:numFmt w:val="bullet"/>
      <w:lvlText w:val=""/>
      <w:lvlJc w:val="left"/>
      <w:pPr>
        <w:tabs>
          <w:tab w:val="num" w:pos="1440"/>
        </w:tabs>
        <w:ind w:left="1440" w:hanging="360"/>
      </w:pPr>
      <w:rPr>
        <w:rFonts w:ascii="Symbol" w:hAnsi="Symbol" w:hint="default"/>
      </w:rPr>
    </w:lvl>
    <w:lvl w:ilvl="2" w:tplc="7C8A3EF4" w:tentative="1">
      <w:start w:val="1"/>
      <w:numFmt w:val="bullet"/>
      <w:lvlText w:val=""/>
      <w:lvlJc w:val="left"/>
      <w:pPr>
        <w:tabs>
          <w:tab w:val="num" w:pos="2160"/>
        </w:tabs>
        <w:ind w:left="2160" w:hanging="360"/>
      </w:pPr>
      <w:rPr>
        <w:rFonts w:ascii="Symbol" w:hAnsi="Symbol" w:hint="default"/>
      </w:rPr>
    </w:lvl>
    <w:lvl w:ilvl="3" w:tplc="ABE030D0" w:tentative="1">
      <w:start w:val="1"/>
      <w:numFmt w:val="bullet"/>
      <w:lvlText w:val=""/>
      <w:lvlJc w:val="left"/>
      <w:pPr>
        <w:tabs>
          <w:tab w:val="num" w:pos="2880"/>
        </w:tabs>
        <w:ind w:left="2880" w:hanging="360"/>
      </w:pPr>
      <w:rPr>
        <w:rFonts w:ascii="Symbol" w:hAnsi="Symbol" w:hint="default"/>
      </w:rPr>
    </w:lvl>
    <w:lvl w:ilvl="4" w:tplc="E480BC72" w:tentative="1">
      <w:start w:val="1"/>
      <w:numFmt w:val="bullet"/>
      <w:lvlText w:val=""/>
      <w:lvlJc w:val="left"/>
      <w:pPr>
        <w:tabs>
          <w:tab w:val="num" w:pos="3600"/>
        </w:tabs>
        <w:ind w:left="3600" w:hanging="360"/>
      </w:pPr>
      <w:rPr>
        <w:rFonts w:ascii="Symbol" w:hAnsi="Symbol" w:hint="default"/>
      </w:rPr>
    </w:lvl>
    <w:lvl w:ilvl="5" w:tplc="D2C0B99A" w:tentative="1">
      <w:start w:val="1"/>
      <w:numFmt w:val="bullet"/>
      <w:lvlText w:val=""/>
      <w:lvlJc w:val="left"/>
      <w:pPr>
        <w:tabs>
          <w:tab w:val="num" w:pos="4320"/>
        </w:tabs>
        <w:ind w:left="4320" w:hanging="360"/>
      </w:pPr>
      <w:rPr>
        <w:rFonts w:ascii="Symbol" w:hAnsi="Symbol" w:hint="default"/>
      </w:rPr>
    </w:lvl>
    <w:lvl w:ilvl="6" w:tplc="F31291EC" w:tentative="1">
      <w:start w:val="1"/>
      <w:numFmt w:val="bullet"/>
      <w:lvlText w:val=""/>
      <w:lvlJc w:val="left"/>
      <w:pPr>
        <w:tabs>
          <w:tab w:val="num" w:pos="5040"/>
        </w:tabs>
        <w:ind w:left="5040" w:hanging="360"/>
      </w:pPr>
      <w:rPr>
        <w:rFonts w:ascii="Symbol" w:hAnsi="Symbol" w:hint="default"/>
      </w:rPr>
    </w:lvl>
    <w:lvl w:ilvl="7" w:tplc="ABE2AAC6" w:tentative="1">
      <w:start w:val="1"/>
      <w:numFmt w:val="bullet"/>
      <w:lvlText w:val=""/>
      <w:lvlJc w:val="left"/>
      <w:pPr>
        <w:tabs>
          <w:tab w:val="num" w:pos="5760"/>
        </w:tabs>
        <w:ind w:left="5760" w:hanging="360"/>
      </w:pPr>
      <w:rPr>
        <w:rFonts w:ascii="Symbol" w:hAnsi="Symbol" w:hint="default"/>
      </w:rPr>
    </w:lvl>
    <w:lvl w:ilvl="8" w:tplc="E41A37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E3E1CCD"/>
    <w:multiLevelType w:val="hybridMultilevel"/>
    <w:tmpl w:val="1C5421A2"/>
    <w:lvl w:ilvl="0" w:tplc="9962B87C">
      <w:start w:val="1"/>
      <w:numFmt w:val="bullet"/>
      <w:lvlText w:val=""/>
      <w:lvlPicBulletId w:val="0"/>
      <w:lvlJc w:val="left"/>
      <w:pPr>
        <w:tabs>
          <w:tab w:val="num" w:pos="720"/>
        </w:tabs>
        <w:ind w:left="720" w:hanging="360"/>
      </w:pPr>
      <w:rPr>
        <w:rFonts w:ascii="Symbol" w:hAnsi="Symbol" w:hint="default"/>
      </w:rPr>
    </w:lvl>
    <w:lvl w:ilvl="1" w:tplc="F33868E4" w:tentative="1">
      <w:start w:val="1"/>
      <w:numFmt w:val="bullet"/>
      <w:lvlText w:val=""/>
      <w:lvlJc w:val="left"/>
      <w:pPr>
        <w:tabs>
          <w:tab w:val="num" w:pos="1440"/>
        </w:tabs>
        <w:ind w:left="1440" w:hanging="360"/>
      </w:pPr>
      <w:rPr>
        <w:rFonts w:ascii="Symbol" w:hAnsi="Symbol" w:hint="default"/>
      </w:rPr>
    </w:lvl>
    <w:lvl w:ilvl="2" w:tplc="7C8A3EF4" w:tentative="1">
      <w:start w:val="1"/>
      <w:numFmt w:val="bullet"/>
      <w:lvlText w:val=""/>
      <w:lvlJc w:val="left"/>
      <w:pPr>
        <w:tabs>
          <w:tab w:val="num" w:pos="2160"/>
        </w:tabs>
        <w:ind w:left="2160" w:hanging="360"/>
      </w:pPr>
      <w:rPr>
        <w:rFonts w:ascii="Symbol" w:hAnsi="Symbol" w:hint="default"/>
      </w:rPr>
    </w:lvl>
    <w:lvl w:ilvl="3" w:tplc="ABE030D0" w:tentative="1">
      <w:start w:val="1"/>
      <w:numFmt w:val="bullet"/>
      <w:lvlText w:val=""/>
      <w:lvlJc w:val="left"/>
      <w:pPr>
        <w:tabs>
          <w:tab w:val="num" w:pos="2880"/>
        </w:tabs>
        <w:ind w:left="2880" w:hanging="360"/>
      </w:pPr>
      <w:rPr>
        <w:rFonts w:ascii="Symbol" w:hAnsi="Symbol" w:hint="default"/>
      </w:rPr>
    </w:lvl>
    <w:lvl w:ilvl="4" w:tplc="E480BC72" w:tentative="1">
      <w:start w:val="1"/>
      <w:numFmt w:val="bullet"/>
      <w:lvlText w:val=""/>
      <w:lvlJc w:val="left"/>
      <w:pPr>
        <w:tabs>
          <w:tab w:val="num" w:pos="3600"/>
        </w:tabs>
        <w:ind w:left="3600" w:hanging="360"/>
      </w:pPr>
      <w:rPr>
        <w:rFonts w:ascii="Symbol" w:hAnsi="Symbol" w:hint="default"/>
      </w:rPr>
    </w:lvl>
    <w:lvl w:ilvl="5" w:tplc="D2C0B99A" w:tentative="1">
      <w:start w:val="1"/>
      <w:numFmt w:val="bullet"/>
      <w:lvlText w:val=""/>
      <w:lvlJc w:val="left"/>
      <w:pPr>
        <w:tabs>
          <w:tab w:val="num" w:pos="4320"/>
        </w:tabs>
        <w:ind w:left="4320" w:hanging="360"/>
      </w:pPr>
      <w:rPr>
        <w:rFonts w:ascii="Symbol" w:hAnsi="Symbol" w:hint="default"/>
      </w:rPr>
    </w:lvl>
    <w:lvl w:ilvl="6" w:tplc="F31291EC" w:tentative="1">
      <w:start w:val="1"/>
      <w:numFmt w:val="bullet"/>
      <w:lvlText w:val=""/>
      <w:lvlJc w:val="left"/>
      <w:pPr>
        <w:tabs>
          <w:tab w:val="num" w:pos="5040"/>
        </w:tabs>
        <w:ind w:left="5040" w:hanging="360"/>
      </w:pPr>
      <w:rPr>
        <w:rFonts w:ascii="Symbol" w:hAnsi="Symbol" w:hint="default"/>
      </w:rPr>
    </w:lvl>
    <w:lvl w:ilvl="7" w:tplc="ABE2AAC6" w:tentative="1">
      <w:start w:val="1"/>
      <w:numFmt w:val="bullet"/>
      <w:lvlText w:val=""/>
      <w:lvlJc w:val="left"/>
      <w:pPr>
        <w:tabs>
          <w:tab w:val="num" w:pos="5760"/>
        </w:tabs>
        <w:ind w:left="5760" w:hanging="360"/>
      </w:pPr>
      <w:rPr>
        <w:rFonts w:ascii="Symbol" w:hAnsi="Symbol" w:hint="default"/>
      </w:rPr>
    </w:lvl>
    <w:lvl w:ilvl="8" w:tplc="E41A378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6C"/>
    <w:rsid w:val="000B50E1"/>
    <w:rsid w:val="00B6416C"/>
    <w:rsid w:val="00D8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EEEC"/>
  <w15:docId w15:val="{D0303C23-C8F9-4F56-B6DC-77078FC2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cp:lastModifiedBy>Ellen Clifford</cp:lastModifiedBy>
  <cp:revision>2</cp:revision>
  <dcterms:created xsi:type="dcterms:W3CDTF">2017-12-05T20:11:00Z</dcterms:created>
  <dcterms:modified xsi:type="dcterms:W3CDTF">2017-12-05T20:11:00Z</dcterms:modified>
</cp:coreProperties>
</file>