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93" w:rsidRPr="00B64293" w:rsidRDefault="00B64293" w:rsidP="00B64293">
      <w:pPr>
        <w:rPr>
          <w:rFonts w:asciiTheme="majorHAnsi" w:hAnsiTheme="majorHAnsi"/>
          <w:b/>
          <w:sz w:val="28"/>
          <w:szCs w:val="28"/>
        </w:rPr>
      </w:pPr>
      <w:r w:rsidRPr="00B64293">
        <w:rPr>
          <w:rFonts w:asciiTheme="majorHAnsi" w:hAnsiTheme="majorHAnsi"/>
          <w:b/>
          <w:bCs/>
          <w:noProof/>
          <w:sz w:val="28"/>
          <w:szCs w:val="28"/>
          <w:lang w:eastAsia="en-GB"/>
        </w:rPr>
        <w:drawing>
          <wp:anchor distT="0" distB="0" distL="114300" distR="114300" simplePos="0" relativeHeight="251657216" behindDoc="0" locked="0" layoutInCell="1" allowOverlap="1" wp14:anchorId="0FE1AF87" wp14:editId="601791C7">
            <wp:simplePos x="0" y="0"/>
            <wp:positionH relativeFrom="column">
              <wp:posOffset>0</wp:posOffset>
            </wp:positionH>
            <wp:positionV relativeFrom="paragraph">
              <wp:posOffset>-603250</wp:posOffset>
            </wp:positionV>
            <wp:extent cx="1432541" cy="815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usionLondon_log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41" cy="815340"/>
                    </a:xfrm>
                    <a:prstGeom prst="rect">
                      <a:avLst/>
                    </a:prstGeom>
                  </pic:spPr>
                </pic:pic>
              </a:graphicData>
            </a:graphic>
            <wp14:sizeRelH relativeFrom="page">
              <wp14:pctWidth>0</wp14:pctWidth>
            </wp14:sizeRelH>
            <wp14:sizeRelV relativeFrom="page">
              <wp14:pctHeight>0</wp14:pctHeight>
            </wp14:sizeRelV>
          </wp:anchor>
        </w:drawing>
      </w:r>
    </w:p>
    <w:p w:rsidR="00B64293" w:rsidRPr="00B64293" w:rsidRDefault="00B64293" w:rsidP="00B64293">
      <w:pPr>
        <w:rPr>
          <w:rFonts w:asciiTheme="majorHAnsi" w:hAnsiTheme="majorHAnsi"/>
          <w:b/>
          <w:sz w:val="40"/>
          <w:szCs w:val="40"/>
        </w:rPr>
      </w:pPr>
    </w:p>
    <w:p w:rsidR="007B09EC" w:rsidRPr="00B64293" w:rsidRDefault="00AB467C" w:rsidP="00B64293">
      <w:pPr>
        <w:rPr>
          <w:rFonts w:asciiTheme="majorHAnsi" w:hAnsiTheme="majorHAnsi"/>
          <w:b/>
          <w:sz w:val="40"/>
          <w:szCs w:val="40"/>
        </w:rPr>
      </w:pPr>
      <w:r w:rsidRPr="00B64293">
        <w:rPr>
          <w:rFonts w:asciiTheme="majorHAnsi" w:hAnsiTheme="majorHAnsi"/>
          <w:b/>
          <w:sz w:val="40"/>
          <w:szCs w:val="40"/>
        </w:rPr>
        <w:t xml:space="preserve">Davey </w:t>
      </w:r>
      <w:r w:rsidR="007B09EC" w:rsidRPr="00B64293">
        <w:rPr>
          <w:rFonts w:asciiTheme="majorHAnsi" w:hAnsiTheme="majorHAnsi"/>
          <w:b/>
          <w:sz w:val="40"/>
          <w:szCs w:val="40"/>
        </w:rPr>
        <w:t>v Oxfordshire County Council</w:t>
      </w:r>
    </w:p>
    <w:p w:rsidR="00573815" w:rsidRPr="00B64293" w:rsidRDefault="00573815" w:rsidP="00B64293">
      <w:pPr>
        <w:rPr>
          <w:rFonts w:asciiTheme="majorHAnsi" w:hAnsiTheme="majorHAnsi"/>
          <w:b/>
          <w:sz w:val="40"/>
          <w:szCs w:val="40"/>
        </w:rPr>
      </w:pPr>
      <w:r w:rsidRPr="00B64293">
        <w:rPr>
          <w:rFonts w:asciiTheme="majorHAnsi" w:hAnsiTheme="majorHAnsi"/>
          <w:b/>
          <w:color w:val="000000"/>
          <w:sz w:val="40"/>
          <w:szCs w:val="40"/>
        </w:rPr>
        <w:t>[2017] EWHC 354 (Admin)</w:t>
      </w:r>
    </w:p>
    <w:p w:rsidR="00573815" w:rsidRPr="00B64293" w:rsidRDefault="00573815" w:rsidP="00B64293">
      <w:pPr>
        <w:rPr>
          <w:rFonts w:asciiTheme="majorHAnsi" w:hAnsiTheme="majorHAnsi"/>
          <w:b/>
          <w:sz w:val="28"/>
          <w:szCs w:val="28"/>
        </w:rPr>
      </w:pPr>
    </w:p>
    <w:p w:rsidR="00AB467C" w:rsidRPr="00B64293" w:rsidRDefault="007B09EC" w:rsidP="00B64293">
      <w:pPr>
        <w:rPr>
          <w:rFonts w:asciiTheme="majorHAnsi" w:hAnsiTheme="majorHAnsi"/>
          <w:b/>
          <w:sz w:val="40"/>
          <w:szCs w:val="28"/>
        </w:rPr>
      </w:pPr>
      <w:r w:rsidRPr="00B64293">
        <w:rPr>
          <w:rFonts w:asciiTheme="majorHAnsi" w:hAnsiTheme="majorHAnsi"/>
          <w:b/>
          <w:sz w:val="40"/>
          <w:szCs w:val="28"/>
        </w:rPr>
        <w:t>Briefing</w:t>
      </w:r>
      <w:r w:rsidRPr="00B64293">
        <w:rPr>
          <w:rStyle w:val="FootnoteReference"/>
          <w:rFonts w:asciiTheme="majorHAnsi" w:hAnsiTheme="majorHAnsi"/>
          <w:b/>
          <w:sz w:val="40"/>
          <w:szCs w:val="28"/>
        </w:rPr>
        <w:footnoteReference w:id="1"/>
      </w:r>
    </w:p>
    <w:p w:rsidR="00841293" w:rsidRPr="00B64293" w:rsidRDefault="00841293" w:rsidP="00B64293">
      <w:pPr>
        <w:pStyle w:val="Header"/>
        <w:rPr>
          <w:rFonts w:asciiTheme="majorHAnsi" w:hAnsiTheme="majorHAnsi"/>
          <w:b/>
          <w:sz w:val="28"/>
          <w:szCs w:val="28"/>
        </w:rPr>
      </w:pPr>
    </w:p>
    <w:p w:rsidR="002134D4" w:rsidRPr="00B64293" w:rsidRDefault="00841293" w:rsidP="00B64293">
      <w:pPr>
        <w:pStyle w:val="Heading2"/>
      </w:pPr>
      <w:r w:rsidRPr="00B64293">
        <w:t xml:space="preserve">Facts </w:t>
      </w:r>
      <w:r w:rsidR="002134D4" w:rsidRPr="00B64293">
        <w:t>of the case</w:t>
      </w:r>
    </w:p>
    <w:p w:rsidR="00841293" w:rsidRPr="00B64293" w:rsidRDefault="00841293" w:rsidP="00B64293">
      <w:pPr>
        <w:pStyle w:val="Header"/>
        <w:rPr>
          <w:rFonts w:asciiTheme="majorHAnsi" w:hAnsiTheme="majorHAnsi"/>
          <w:b/>
          <w:sz w:val="28"/>
          <w:szCs w:val="28"/>
        </w:rPr>
      </w:pPr>
    </w:p>
    <w:p w:rsidR="000B4954" w:rsidRPr="00B64293" w:rsidRDefault="007B09EC" w:rsidP="00B64293">
      <w:pPr>
        <w:spacing w:line="360" w:lineRule="auto"/>
        <w:rPr>
          <w:rFonts w:asciiTheme="majorHAnsi" w:hAnsiTheme="majorHAnsi"/>
          <w:sz w:val="28"/>
          <w:szCs w:val="28"/>
        </w:rPr>
      </w:pPr>
      <w:r w:rsidRPr="00B64293">
        <w:rPr>
          <w:rFonts w:asciiTheme="majorHAnsi" w:hAnsiTheme="majorHAnsi"/>
          <w:sz w:val="28"/>
          <w:szCs w:val="28"/>
        </w:rPr>
        <w:t>Luke Davey is a disabled adult, who had been living in his own home with (more or less) 24 hour support from a team of personal assistants who had supported him for 18 years. They were, to Davey, his ‘community’, his ‘family’ (some of them liter</w:t>
      </w:r>
      <w:r w:rsidR="0003025A">
        <w:rPr>
          <w:rFonts w:asciiTheme="majorHAnsi" w:hAnsiTheme="majorHAnsi"/>
          <w:sz w:val="28"/>
          <w:szCs w:val="28"/>
        </w:rPr>
        <w:t xml:space="preserve">ally, as he employed his sister-in-law). </w:t>
      </w:r>
      <w:r w:rsidRPr="00B64293">
        <w:rPr>
          <w:rFonts w:asciiTheme="majorHAnsi" w:hAnsiTheme="majorHAnsi"/>
          <w:sz w:val="28"/>
          <w:szCs w:val="28"/>
        </w:rPr>
        <w:t>On Davey’s own assessment, his independence was central to his wellbeing, and this in turn relied upon his being supported by this team of PAs.  His package of care had been partially funded b</w:t>
      </w:r>
      <w:r w:rsidR="0003025A">
        <w:rPr>
          <w:rFonts w:asciiTheme="majorHAnsi" w:hAnsiTheme="majorHAnsi"/>
          <w:sz w:val="28"/>
          <w:szCs w:val="28"/>
        </w:rPr>
        <w:t xml:space="preserve">y the Independent Living Fund. </w:t>
      </w:r>
      <w:r w:rsidRPr="00B64293">
        <w:rPr>
          <w:rFonts w:asciiTheme="majorHAnsi" w:hAnsiTheme="majorHAnsi"/>
          <w:sz w:val="28"/>
          <w:szCs w:val="28"/>
        </w:rPr>
        <w:t>The local authority assessed his needs, and concluded that his eligible needs coul</w:t>
      </w:r>
      <w:r w:rsidR="00C03FC3" w:rsidRPr="00B64293">
        <w:rPr>
          <w:rFonts w:asciiTheme="majorHAnsi" w:hAnsiTheme="majorHAnsi"/>
          <w:sz w:val="28"/>
          <w:szCs w:val="28"/>
        </w:rPr>
        <w:t>d be met for substantially less: a</w:t>
      </w:r>
      <w:r w:rsidRPr="00B64293">
        <w:rPr>
          <w:rFonts w:asciiTheme="majorHAnsi" w:hAnsiTheme="majorHAnsi"/>
          <w:sz w:val="28"/>
          <w:szCs w:val="28"/>
        </w:rPr>
        <w:t xml:space="preserve"> reduction in his ‘personal budget’ from £1651 to £950. This was based on a contention that he could meet his assessed eligible needs for less by reducing the number of hours that he was supported, so that he spent 6 hours alone each day, and also by </w:t>
      </w:r>
      <w:r w:rsidR="0003025A">
        <w:rPr>
          <w:rFonts w:asciiTheme="majorHAnsi" w:hAnsiTheme="majorHAnsi"/>
          <w:sz w:val="28"/>
          <w:szCs w:val="28"/>
        </w:rPr>
        <w:t xml:space="preserve">reducing the pay for his PA’s. </w:t>
      </w:r>
      <w:r w:rsidRPr="00B64293">
        <w:rPr>
          <w:rFonts w:asciiTheme="majorHAnsi" w:hAnsiTheme="majorHAnsi"/>
          <w:sz w:val="28"/>
          <w:szCs w:val="28"/>
        </w:rPr>
        <w:t>They assessed Davey as h</w:t>
      </w:r>
      <w:r w:rsidR="00C03FC3" w:rsidRPr="00B64293">
        <w:rPr>
          <w:rFonts w:asciiTheme="majorHAnsi" w:hAnsiTheme="majorHAnsi"/>
          <w:sz w:val="28"/>
          <w:szCs w:val="28"/>
        </w:rPr>
        <w:t xml:space="preserve">aving an </w:t>
      </w:r>
      <w:r w:rsidRPr="00B64293">
        <w:rPr>
          <w:rFonts w:asciiTheme="majorHAnsi" w:hAnsiTheme="majorHAnsi"/>
          <w:sz w:val="28"/>
          <w:szCs w:val="28"/>
        </w:rPr>
        <w:t>‘eligible need’ to enhance his ‘independence</w:t>
      </w:r>
      <w:r w:rsidR="0003025A">
        <w:rPr>
          <w:rFonts w:asciiTheme="majorHAnsi" w:hAnsiTheme="majorHAnsi"/>
          <w:sz w:val="28"/>
          <w:szCs w:val="28"/>
        </w:rPr>
        <w:t xml:space="preserve">’ by spending more time alone. </w:t>
      </w:r>
      <w:r w:rsidRPr="00B64293">
        <w:rPr>
          <w:rFonts w:asciiTheme="majorHAnsi" w:hAnsiTheme="majorHAnsi"/>
          <w:sz w:val="28"/>
          <w:szCs w:val="28"/>
        </w:rPr>
        <w:t xml:space="preserve">Davey, meanwhile, </w:t>
      </w:r>
      <w:r w:rsidRPr="00B64293">
        <w:rPr>
          <w:rFonts w:asciiTheme="majorHAnsi" w:hAnsiTheme="majorHAnsi"/>
          <w:sz w:val="28"/>
          <w:szCs w:val="28"/>
        </w:rPr>
        <w:lastRenderedPageBreak/>
        <w:t>experienced anxiety when on his own, and although he was spending 2 hours a week alone did not want to increase this. He agreed that ‘independence’ was essential for him, but for him, independence was about exercising control over his life, not about not being supported.</w:t>
      </w:r>
    </w:p>
    <w:p w:rsidR="007B09EC" w:rsidRPr="00B64293" w:rsidRDefault="00B64293" w:rsidP="00B64293">
      <w:pPr>
        <w:pStyle w:val="Header"/>
        <w:rPr>
          <w:rFonts w:asciiTheme="majorHAnsi" w:hAnsiTheme="majorHAnsi"/>
          <w:b/>
          <w:sz w:val="28"/>
          <w:szCs w:val="28"/>
        </w:rPr>
      </w:pPr>
      <w:r>
        <w:rPr>
          <w:rFonts w:asciiTheme="majorHAnsi" w:hAnsiTheme="majorHAnsi"/>
          <w:b/>
          <w:sz w:val="28"/>
          <w:szCs w:val="28"/>
        </w:rPr>
        <w:br/>
      </w:r>
    </w:p>
    <w:p w:rsidR="002134D4" w:rsidRPr="00B64293" w:rsidRDefault="000B4954" w:rsidP="00B64293">
      <w:pPr>
        <w:pStyle w:val="Heading2"/>
      </w:pPr>
      <w:r w:rsidRPr="00B64293">
        <w:t>The legal challenge</w:t>
      </w:r>
      <w:r w:rsidR="00B64293">
        <w:br/>
      </w:r>
    </w:p>
    <w:p w:rsidR="000B4954" w:rsidRPr="00B64293" w:rsidRDefault="000B4954" w:rsidP="00B64293">
      <w:pPr>
        <w:spacing w:line="360" w:lineRule="auto"/>
        <w:rPr>
          <w:rFonts w:asciiTheme="majorHAnsi" w:hAnsiTheme="majorHAnsi"/>
          <w:sz w:val="28"/>
          <w:szCs w:val="28"/>
        </w:rPr>
      </w:pPr>
      <w:r w:rsidRPr="00B64293">
        <w:rPr>
          <w:rFonts w:asciiTheme="majorHAnsi" w:hAnsiTheme="majorHAnsi"/>
          <w:sz w:val="28"/>
          <w:szCs w:val="28"/>
        </w:rPr>
        <w:t>Davey argued that LA’s decision was unlawful on the grounds of</w:t>
      </w:r>
    </w:p>
    <w:p w:rsidR="000B4954" w:rsidRPr="00B64293" w:rsidRDefault="007E6181" w:rsidP="00B64293">
      <w:pPr>
        <w:spacing w:line="360" w:lineRule="auto"/>
        <w:rPr>
          <w:rFonts w:asciiTheme="majorHAnsi" w:hAnsiTheme="majorHAnsi"/>
          <w:sz w:val="28"/>
          <w:szCs w:val="28"/>
        </w:rPr>
      </w:pPr>
      <w:r w:rsidRPr="00B64293">
        <w:rPr>
          <w:rFonts w:asciiTheme="majorHAnsi" w:hAnsiTheme="majorHAnsi"/>
          <w:sz w:val="28"/>
          <w:szCs w:val="28"/>
        </w:rPr>
        <w:t>1. Be</w:t>
      </w:r>
      <w:r w:rsidR="00722125" w:rsidRPr="00B64293">
        <w:rPr>
          <w:rFonts w:asciiTheme="majorHAnsi" w:hAnsiTheme="majorHAnsi"/>
          <w:sz w:val="28"/>
          <w:szCs w:val="28"/>
        </w:rPr>
        <w:t>ing left alone or “spending more time alone”</w:t>
      </w:r>
      <w:r w:rsidR="0003025A">
        <w:rPr>
          <w:rFonts w:asciiTheme="majorHAnsi" w:hAnsiTheme="majorHAnsi"/>
          <w:sz w:val="28"/>
          <w:szCs w:val="28"/>
        </w:rPr>
        <w:t xml:space="preserve"> i</w:t>
      </w:r>
      <w:r w:rsidR="000B4954" w:rsidRPr="00B64293">
        <w:rPr>
          <w:rFonts w:asciiTheme="majorHAnsi" w:hAnsiTheme="majorHAnsi"/>
          <w:sz w:val="28"/>
          <w:szCs w:val="28"/>
        </w:rPr>
        <w:t>s not a lawfully assessed need</w:t>
      </w:r>
      <w:r w:rsidR="0003025A">
        <w:rPr>
          <w:rFonts w:asciiTheme="majorHAnsi" w:hAnsiTheme="majorHAnsi"/>
          <w:sz w:val="28"/>
          <w:szCs w:val="28"/>
        </w:rPr>
        <w:t>.</w:t>
      </w:r>
    </w:p>
    <w:p w:rsidR="000B4954" w:rsidRPr="00B64293" w:rsidRDefault="0003025A" w:rsidP="00B64293">
      <w:pPr>
        <w:spacing w:line="360" w:lineRule="auto"/>
        <w:rPr>
          <w:rFonts w:asciiTheme="majorHAnsi" w:hAnsiTheme="majorHAnsi"/>
          <w:sz w:val="28"/>
          <w:szCs w:val="28"/>
        </w:rPr>
      </w:pPr>
      <w:r>
        <w:rPr>
          <w:rFonts w:asciiTheme="majorHAnsi" w:hAnsiTheme="majorHAnsi"/>
          <w:sz w:val="28"/>
          <w:szCs w:val="28"/>
        </w:rPr>
        <w:t xml:space="preserve">2. </w:t>
      </w:r>
      <w:r w:rsidR="000B4954" w:rsidRPr="00B64293">
        <w:rPr>
          <w:rFonts w:asciiTheme="majorHAnsi" w:hAnsiTheme="majorHAnsi"/>
          <w:sz w:val="28"/>
          <w:szCs w:val="28"/>
        </w:rPr>
        <w:t>The LA failed to have regard to the number of considerations:</w:t>
      </w:r>
    </w:p>
    <w:p w:rsidR="000B4954" w:rsidRPr="00B64293" w:rsidRDefault="007E6181" w:rsidP="00B64293">
      <w:pPr>
        <w:pStyle w:val="ListParagraph"/>
        <w:numPr>
          <w:ilvl w:val="0"/>
          <w:numId w:val="9"/>
        </w:numPr>
        <w:spacing w:line="360" w:lineRule="auto"/>
        <w:rPr>
          <w:rFonts w:asciiTheme="majorHAnsi" w:hAnsiTheme="majorHAnsi"/>
          <w:sz w:val="28"/>
          <w:szCs w:val="28"/>
        </w:rPr>
      </w:pPr>
      <w:r w:rsidRPr="00B64293">
        <w:rPr>
          <w:rFonts w:asciiTheme="majorHAnsi" w:hAnsiTheme="majorHAnsi"/>
          <w:color w:val="000000"/>
          <w:sz w:val="28"/>
          <w:szCs w:val="28"/>
        </w:rPr>
        <w:t>T</w:t>
      </w:r>
      <w:r w:rsidR="000B4954" w:rsidRPr="00B64293">
        <w:rPr>
          <w:rFonts w:asciiTheme="majorHAnsi" w:hAnsiTheme="majorHAnsi"/>
          <w:color w:val="000000"/>
          <w:sz w:val="28"/>
          <w:szCs w:val="28"/>
        </w:rPr>
        <w:t xml:space="preserve">he risk to the Claimant's psychological wellbeing arising from having to spend more </w:t>
      </w:r>
      <w:r w:rsidR="0003025A">
        <w:rPr>
          <w:rFonts w:asciiTheme="majorHAnsi" w:hAnsiTheme="majorHAnsi"/>
          <w:color w:val="000000"/>
          <w:sz w:val="28"/>
          <w:szCs w:val="28"/>
        </w:rPr>
        <w:t>time alone;</w:t>
      </w:r>
    </w:p>
    <w:p w:rsidR="000B4954" w:rsidRPr="00B64293" w:rsidRDefault="00722125" w:rsidP="00B64293">
      <w:pPr>
        <w:pStyle w:val="ListParagraph"/>
        <w:numPr>
          <w:ilvl w:val="0"/>
          <w:numId w:val="9"/>
        </w:numPr>
        <w:spacing w:line="360" w:lineRule="auto"/>
        <w:rPr>
          <w:rFonts w:asciiTheme="majorHAnsi" w:hAnsiTheme="majorHAnsi"/>
          <w:sz w:val="28"/>
          <w:szCs w:val="28"/>
        </w:rPr>
      </w:pPr>
      <w:r w:rsidRPr="00B64293">
        <w:rPr>
          <w:rFonts w:asciiTheme="majorHAnsi" w:hAnsiTheme="majorHAnsi"/>
          <w:sz w:val="28"/>
          <w:szCs w:val="28"/>
        </w:rPr>
        <w:t>Compatibility of the need to “spend more time alone”</w:t>
      </w:r>
      <w:r w:rsidR="000B4954" w:rsidRPr="00B64293">
        <w:rPr>
          <w:rFonts w:asciiTheme="majorHAnsi" w:hAnsiTheme="majorHAnsi"/>
          <w:sz w:val="28"/>
          <w:szCs w:val="28"/>
        </w:rPr>
        <w:t xml:space="preserve"> with Mr Davey’s assessed need for an assistance with toileting;</w:t>
      </w:r>
    </w:p>
    <w:p w:rsidR="007E6181" w:rsidRPr="00B64293" w:rsidRDefault="007E6181" w:rsidP="00B64293">
      <w:pPr>
        <w:pStyle w:val="ListParagraph"/>
        <w:numPr>
          <w:ilvl w:val="0"/>
          <w:numId w:val="9"/>
        </w:numPr>
        <w:spacing w:line="360" w:lineRule="auto"/>
        <w:rPr>
          <w:rFonts w:asciiTheme="majorHAnsi" w:hAnsiTheme="majorHAnsi"/>
          <w:color w:val="000000"/>
          <w:sz w:val="28"/>
          <w:szCs w:val="28"/>
        </w:rPr>
      </w:pPr>
      <w:r w:rsidRPr="00B64293">
        <w:rPr>
          <w:rFonts w:asciiTheme="majorHAnsi" w:hAnsiTheme="majorHAnsi"/>
          <w:color w:val="000000"/>
          <w:sz w:val="28"/>
          <w:szCs w:val="28"/>
        </w:rPr>
        <w:t>T</w:t>
      </w:r>
      <w:r w:rsidR="000B4954" w:rsidRPr="00B64293">
        <w:rPr>
          <w:rFonts w:asciiTheme="majorHAnsi" w:hAnsiTheme="majorHAnsi"/>
          <w:color w:val="000000"/>
          <w:sz w:val="28"/>
          <w:szCs w:val="28"/>
        </w:rPr>
        <w:t>he effect of spending periods of time alone upon the Claimant's ability</w:t>
      </w:r>
      <w:r w:rsidR="0003025A">
        <w:rPr>
          <w:rFonts w:asciiTheme="majorHAnsi" w:hAnsiTheme="majorHAnsi"/>
          <w:color w:val="000000"/>
          <w:sz w:val="28"/>
          <w:szCs w:val="28"/>
        </w:rPr>
        <w:t xml:space="preserve"> to engage in social activities;</w:t>
      </w:r>
    </w:p>
    <w:p w:rsidR="007E6181" w:rsidRPr="00B64293" w:rsidRDefault="007E6181" w:rsidP="00B64293">
      <w:pPr>
        <w:pStyle w:val="ListParagraph"/>
        <w:numPr>
          <w:ilvl w:val="0"/>
          <w:numId w:val="9"/>
        </w:numPr>
        <w:spacing w:line="360" w:lineRule="auto"/>
        <w:rPr>
          <w:rFonts w:asciiTheme="majorHAnsi" w:hAnsiTheme="majorHAnsi"/>
          <w:color w:val="000000"/>
          <w:sz w:val="28"/>
          <w:szCs w:val="28"/>
        </w:rPr>
      </w:pPr>
      <w:r w:rsidRPr="00B64293">
        <w:rPr>
          <w:rFonts w:asciiTheme="majorHAnsi" w:hAnsiTheme="majorHAnsi"/>
          <w:color w:val="000000"/>
          <w:sz w:val="28"/>
          <w:szCs w:val="28"/>
        </w:rPr>
        <w:t xml:space="preserve">The LA has failed to take all reasonable steps to reach agreement with Mr </w:t>
      </w:r>
      <w:proofErr w:type="gramStart"/>
      <w:r w:rsidRPr="00B64293">
        <w:rPr>
          <w:rFonts w:asciiTheme="majorHAnsi" w:hAnsiTheme="majorHAnsi"/>
          <w:color w:val="000000"/>
          <w:sz w:val="28"/>
          <w:szCs w:val="28"/>
        </w:rPr>
        <w:t>Davey  about</w:t>
      </w:r>
      <w:proofErr w:type="gramEnd"/>
      <w:r w:rsidRPr="00B64293">
        <w:rPr>
          <w:rFonts w:asciiTheme="majorHAnsi" w:hAnsiTheme="majorHAnsi"/>
          <w:color w:val="000000"/>
          <w:sz w:val="28"/>
          <w:szCs w:val="28"/>
        </w:rPr>
        <w:t xml:space="preserve"> how it should meet his needs.</w:t>
      </w:r>
    </w:p>
    <w:p w:rsidR="007E6181" w:rsidRPr="00B64293" w:rsidRDefault="007E6181" w:rsidP="00B64293">
      <w:pPr>
        <w:spacing w:line="360" w:lineRule="auto"/>
        <w:rPr>
          <w:rFonts w:asciiTheme="majorHAnsi" w:hAnsiTheme="majorHAnsi"/>
          <w:color w:val="000000"/>
          <w:sz w:val="28"/>
          <w:szCs w:val="28"/>
        </w:rPr>
      </w:pPr>
      <w:r w:rsidRPr="0003025A">
        <w:rPr>
          <w:rFonts w:asciiTheme="majorHAnsi" w:hAnsiTheme="majorHAnsi"/>
          <w:color w:val="000000"/>
          <w:sz w:val="28"/>
          <w:szCs w:val="28"/>
        </w:rPr>
        <w:t xml:space="preserve">3. </w:t>
      </w:r>
      <w:r w:rsidR="0003025A">
        <w:rPr>
          <w:rFonts w:asciiTheme="majorHAnsi" w:hAnsiTheme="majorHAnsi"/>
          <w:color w:val="000000"/>
          <w:sz w:val="28"/>
          <w:szCs w:val="28"/>
        </w:rPr>
        <w:t xml:space="preserve">The </w:t>
      </w:r>
      <w:r w:rsidRPr="0003025A">
        <w:rPr>
          <w:rFonts w:asciiTheme="majorHAnsi" w:hAnsiTheme="majorHAnsi"/>
          <w:color w:val="000000"/>
          <w:sz w:val="28"/>
          <w:szCs w:val="28"/>
        </w:rPr>
        <w:t>LA</w:t>
      </w:r>
      <w:r w:rsidRPr="00B64293">
        <w:rPr>
          <w:rFonts w:asciiTheme="majorHAnsi" w:hAnsiTheme="majorHAnsi"/>
          <w:color w:val="000000"/>
          <w:sz w:val="28"/>
          <w:szCs w:val="28"/>
        </w:rPr>
        <w:t xml:space="preserve"> failed to consider the risk to the Mr Davey’s wellbeing if his team of PAs has to change.</w:t>
      </w:r>
    </w:p>
    <w:p w:rsidR="007E6181" w:rsidRPr="00B64293" w:rsidRDefault="007E6181" w:rsidP="00B64293">
      <w:pPr>
        <w:spacing w:line="360" w:lineRule="auto"/>
        <w:rPr>
          <w:rFonts w:asciiTheme="majorHAnsi" w:hAnsiTheme="majorHAnsi"/>
          <w:color w:val="000000"/>
          <w:sz w:val="28"/>
          <w:szCs w:val="28"/>
        </w:rPr>
      </w:pPr>
      <w:r w:rsidRPr="0003025A">
        <w:rPr>
          <w:rFonts w:asciiTheme="majorHAnsi" w:hAnsiTheme="majorHAnsi"/>
          <w:color w:val="000000"/>
          <w:sz w:val="28"/>
          <w:szCs w:val="28"/>
        </w:rPr>
        <w:t>4. The LA</w:t>
      </w:r>
      <w:r w:rsidRPr="00B64293">
        <w:rPr>
          <w:rFonts w:asciiTheme="majorHAnsi" w:hAnsiTheme="majorHAnsi"/>
          <w:color w:val="000000"/>
          <w:sz w:val="28"/>
          <w:szCs w:val="28"/>
        </w:rPr>
        <w:t xml:space="preserve"> failed to evidence its contention that the proposed rates for PAs are reasonable or compatible with its obligations under the Care Act</w:t>
      </w:r>
    </w:p>
    <w:p w:rsidR="00841293" w:rsidRPr="00B64293" w:rsidRDefault="007E6181" w:rsidP="00B64293">
      <w:pPr>
        <w:spacing w:line="360" w:lineRule="auto"/>
        <w:rPr>
          <w:rFonts w:asciiTheme="majorHAnsi" w:hAnsiTheme="majorHAnsi"/>
          <w:sz w:val="28"/>
          <w:szCs w:val="28"/>
        </w:rPr>
      </w:pPr>
      <w:r w:rsidRPr="00B64293">
        <w:rPr>
          <w:rFonts w:asciiTheme="majorHAnsi" w:hAnsiTheme="majorHAnsi"/>
          <w:sz w:val="28"/>
          <w:szCs w:val="28"/>
        </w:rPr>
        <w:t>The judge found in favour of OCC in relation to all those grounds.</w:t>
      </w:r>
    </w:p>
    <w:p w:rsidR="00AB467C" w:rsidRPr="00B64293" w:rsidRDefault="00AB467C" w:rsidP="00B64293">
      <w:pPr>
        <w:spacing w:line="360" w:lineRule="auto"/>
        <w:rPr>
          <w:rFonts w:asciiTheme="majorHAnsi" w:hAnsiTheme="majorHAnsi"/>
          <w:sz w:val="28"/>
          <w:szCs w:val="28"/>
        </w:rPr>
      </w:pPr>
    </w:p>
    <w:p w:rsidR="007E6181" w:rsidRPr="00B64293" w:rsidRDefault="007E6181" w:rsidP="00B64293">
      <w:pPr>
        <w:pStyle w:val="Heading2"/>
      </w:pPr>
      <w:r w:rsidRPr="00B64293">
        <w:t>CRPD</w:t>
      </w:r>
      <w:r w:rsidR="00B64293" w:rsidRPr="00B64293">
        <w:br/>
      </w:r>
    </w:p>
    <w:p w:rsidR="007E6181" w:rsidRPr="00B64293" w:rsidRDefault="007E6181" w:rsidP="00B64293">
      <w:pPr>
        <w:spacing w:line="360" w:lineRule="auto"/>
        <w:rPr>
          <w:rFonts w:asciiTheme="majorHAnsi" w:hAnsiTheme="majorHAnsi"/>
          <w:sz w:val="28"/>
          <w:szCs w:val="28"/>
        </w:rPr>
      </w:pPr>
      <w:r w:rsidRPr="00B64293">
        <w:rPr>
          <w:rFonts w:asciiTheme="majorHAnsi" w:hAnsiTheme="majorHAnsi"/>
          <w:sz w:val="28"/>
          <w:szCs w:val="28"/>
        </w:rPr>
        <w:t xml:space="preserve">The Judge considered the application of </w:t>
      </w:r>
      <w:r w:rsidR="00C03FC3" w:rsidRPr="00B64293">
        <w:rPr>
          <w:rFonts w:asciiTheme="majorHAnsi" w:hAnsiTheme="majorHAnsi"/>
          <w:sz w:val="28"/>
          <w:szCs w:val="28"/>
        </w:rPr>
        <w:t xml:space="preserve">article 19 of </w:t>
      </w:r>
      <w:r w:rsidRPr="00B64293">
        <w:rPr>
          <w:rFonts w:asciiTheme="majorHAnsi" w:hAnsiTheme="majorHAnsi"/>
          <w:sz w:val="28"/>
          <w:szCs w:val="28"/>
        </w:rPr>
        <w:t xml:space="preserve">the </w:t>
      </w:r>
      <w:r w:rsidR="00C32917" w:rsidRPr="00B64293">
        <w:rPr>
          <w:rFonts w:asciiTheme="majorHAnsi" w:hAnsiTheme="majorHAnsi"/>
          <w:sz w:val="28"/>
          <w:szCs w:val="28"/>
        </w:rPr>
        <w:t xml:space="preserve">UN </w:t>
      </w:r>
      <w:r w:rsidRPr="00B64293">
        <w:rPr>
          <w:rFonts w:asciiTheme="majorHAnsi" w:hAnsiTheme="majorHAnsi"/>
          <w:sz w:val="28"/>
          <w:szCs w:val="28"/>
        </w:rPr>
        <w:t>CRPD in relation to the we</w:t>
      </w:r>
      <w:r w:rsidR="00722125" w:rsidRPr="00B64293">
        <w:rPr>
          <w:rFonts w:asciiTheme="majorHAnsi" w:hAnsiTheme="majorHAnsi"/>
          <w:sz w:val="28"/>
          <w:szCs w:val="28"/>
        </w:rPr>
        <w:t>llbeing principle in the Care Act</w:t>
      </w:r>
      <w:r w:rsidRPr="00B64293">
        <w:rPr>
          <w:rFonts w:asciiTheme="majorHAnsi" w:hAnsiTheme="majorHAnsi"/>
          <w:sz w:val="28"/>
          <w:szCs w:val="28"/>
        </w:rPr>
        <w:t xml:space="preserve"> and general duty to promote wellbeing and made the following observations:</w:t>
      </w:r>
    </w:p>
    <w:p w:rsidR="00BD6F73" w:rsidRPr="00B64293" w:rsidRDefault="007E6181" w:rsidP="0003025A">
      <w:pPr>
        <w:spacing w:line="360" w:lineRule="auto"/>
        <w:ind w:left="720"/>
        <w:rPr>
          <w:rFonts w:asciiTheme="majorHAnsi" w:hAnsiTheme="majorHAnsi"/>
          <w:sz w:val="28"/>
          <w:szCs w:val="28"/>
        </w:rPr>
      </w:pPr>
      <w:r w:rsidRPr="00B64293">
        <w:rPr>
          <w:rFonts w:asciiTheme="majorHAnsi" w:hAnsiTheme="majorHAnsi"/>
          <w:sz w:val="28"/>
          <w:szCs w:val="28"/>
        </w:rPr>
        <w:t xml:space="preserve">As an unincorporated instrument it cannot be an independent source of substantive domestic legal rights. However CRPD provides a framework on how to address the rights of disabled people and by ratifying it the state </w:t>
      </w:r>
      <w:r w:rsidR="00C32917" w:rsidRPr="00B64293">
        <w:rPr>
          <w:rFonts w:asciiTheme="majorHAnsi" w:hAnsiTheme="majorHAnsi"/>
          <w:sz w:val="28"/>
          <w:szCs w:val="28"/>
        </w:rPr>
        <w:t xml:space="preserve">should ensure its laws comply with it whenever possible. </w:t>
      </w:r>
      <w:r w:rsidRPr="00B64293">
        <w:rPr>
          <w:rFonts w:asciiTheme="majorHAnsi" w:hAnsiTheme="majorHAnsi"/>
          <w:sz w:val="28"/>
          <w:szCs w:val="28"/>
        </w:rPr>
        <w:t>Therefore courts must interpret domestic law in a way that is consistent with obligations under the CRPD.</w:t>
      </w:r>
      <w:bookmarkStart w:id="0" w:name="para46"/>
      <w:r w:rsidR="00BD6F73" w:rsidRPr="00B64293">
        <w:rPr>
          <w:rFonts w:asciiTheme="majorHAnsi" w:hAnsiTheme="majorHAnsi"/>
          <w:sz w:val="28"/>
          <w:szCs w:val="28"/>
        </w:rPr>
        <w:t xml:space="preserve"> </w:t>
      </w:r>
      <w:r w:rsidR="00BD6F73" w:rsidRPr="00B64293">
        <w:rPr>
          <w:rFonts w:asciiTheme="majorHAnsi" w:hAnsiTheme="majorHAnsi"/>
          <w:color w:val="000000"/>
          <w:sz w:val="28"/>
          <w:szCs w:val="28"/>
        </w:rPr>
        <w:t>T</w:t>
      </w:r>
      <w:r w:rsidRPr="00B64293">
        <w:rPr>
          <w:rFonts w:asciiTheme="majorHAnsi" w:hAnsiTheme="majorHAnsi"/>
          <w:color w:val="000000"/>
          <w:sz w:val="28"/>
          <w:szCs w:val="28"/>
        </w:rPr>
        <w:t>he UN</w:t>
      </w:r>
      <w:r w:rsidR="00C32917" w:rsidRPr="00B64293">
        <w:rPr>
          <w:rFonts w:asciiTheme="majorHAnsi" w:hAnsiTheme="majorHAnsi"/>
          <w:color w:val="000000"/>
          <w:sz w:val="28"/>
          <w:szCs w:val="28"/>
        </w:rPr>
        <w:t xml:space="preserve"> </w:t>
      </w:r>
      <w:r w:rsidRPr="00B64293">
        <w:rPr>
          <w:rFonts w:asciiTheme="majorHAnsi" w:hAnsiTheme="majorHAnsi"/>
          <w:color w:val="000000"/>
          <w:sz w:val="28"/>
          <w:szCs w:val="28"/>
        </w:rPr>
        <w:t xml:space="preserve">CRPD could be </w:t>
      </w:r>
      <w:r w:rsidR="00C32917" w:rsidRPr="00B64293">
        <w:rPr>
          <w:rFonts w:asciiTheme="majorHAnsi" w:hAnsiTheme="majorHAnsi"/>
          <w:color w:val="000000"/>
          <w:sz w:val="28"/>
          <w:szCs w:val="28"/>
        </w:rPr>
        <w:t>used to interpret</w:t>
      </w:r>
      <w:r w:rsidRPr="00B64293">
        <w:rPr>
          <w:rFonts w:asciiTheme="majorHAnsi" w:hAnsiTheme="majorHAnsi"/>
          <w:color w:val="000000"/>
          <w:sz w:val="28"/>
          <w:szCs w:val="28"/>
        </w:rPr>
        <w:t xml:space="preserve"> particular provision of the </w:t>
      </w:r>
      <w:r w:rsidR="00BD6F73" w:rsidRPr="00B64293">
        <w:rPr>
          <w:rFonts w:asciiTheme="majorHAnsi" w:hAnsiTheme="majorHAnsi"/>
          <w:color w:val="000000"/>
          <w:sz w:val="28"/>
          <w:szCs w:val="28"/>
        </w:rPr>
        <w:t xml:space="preserve">Care </w:t>
      </w:r>
      <w:r w:rsidRPr="00B64293">
        <w:rPr>
          <w:rFonts w:asciiTheme="majorHAnsi" w:hAnsiTheme="majorHAnsi"/>
          <w:color w:val="000000"/>
          <w:sz w:val="28"/>
          <w:szCs w:val="28"/>
        </w:rPr>
        <w:t>Act, in case of ambiguity or uncertainty</w:t>
      </w:r>
      <w:bookmarkEnd w:id="0"/>
      <w:r w:rsidR="00BD6F73" w:rsidRPr="00B64293">
        <w:rPr>
          <w:rFonts w:asciiTheme="majorHAnsi" w:hAnsiTheme="majorHAnsi"/>
          <w:color w:val="000000"/>
          <w:sz w:val="28"/>
          <w:szCs w:val="28"/>
        </w:rPr>
        <w:t>.</w:t>
      </w:r>
    </w:p>
    <w:p w:rsidR="00BD6F73" w:rsidRPr="00B64293" w:rsidRDefault="00BD6F73" w:rsidP="00B64293">
      <w:pPr>
        <w:spacing w:before="2" w:after="2" w:line="360" w:lineRule="auto"/>
        <w:rPr>
          <w:rFonts w:asciiTheme="majorHAnsi" w:hAnsiTheme="majorHAnsi"/>
          <w:color w:val="000000"/>
          <w:sz w:val="28"/>
          <w:szCs w:val="28"/>
        </w:rPr>
      </w:pPr>
      <w:r w:rsidRPr="00B64293">
        <w:rPr>
          <w:rFonts w:asciiTheme="majorHAnsi" w:hAnsiTheme="majorHAnsi"/>
          <w:color w:val="000000"/>
          <w:sz w:val="28"/>
          <w:szCs w:val="28"/>
        </w:rPr>
        <w:t xml:space="preserve">In the Davey case however the judge did not identify the specific ambiguity in the Care Act which art 19 of the CRPD could help to address.  </w:t>
      </w:r>
    </w:p>
    <w:p w:rsidR="00AB467C" w:rsidRPr="00B64293" w:rsidRDefault="00AB467C" w:rsidP="00B64293">
      <w:pPr>
        <w:spacing w:line="360" w:lineRule="auto"/>
        <w:rPr>
          <w:rFonts w:asciiTheme="majorHAnsi" w:hAnsiTheme="majorHAnsi"/>
          <w:sz w:val="28"/>
          <w:szCs w:val="28"/>
        </w:rPr>
      </w:pPr>
    </w:p>
    <w:p w:rsidR="00AB467C" w:rsidRPr="00B64293" w:rsidRDefault="00AB467C" w:rsidP="00B64293">
      <w:pPr>
        <w:pStyle w:val="Heading2"/>
      </w:pPr>
      <w:r w:rsidRPr="00B64293">
        <w:t>Assessment</w:t>
      </w:r>
      <w:r w:rsidR="00BD6F73" w:rsidRPr="00B64293">
        <w:t xml:space="preserve"> of needs and the duty to assess</w:t>
      </w:r>
      <w:r w:rsidR="00722125" w:rsidRPr="00B64293">
        <w:tab/>
      </w:r>
    </w:p>
    <w:p w:rsidR="002134D4" w:rsidRPr="00B64293" w:rsidRDefault="002134D4" w:rsidP="00B64293">
      <w:pPr>
        <w:spacing w:before="2" w:after="2" w:line="360" w:lineRule="auto"/>
        <w:rPr>
          <w:rFonts w:asciiTheme="majorHAnsi" w:hAnsiTheme="majorHAnsi"/>
          <w:color w:val="000000"/>
          <w:sz w:val="28"/>
          <w:szCs w:val="28"/>
        </w:rPr>
      </w:pPr>
      <w:bookmarkStart w:id="1" w:name="para21"/>
    </w:p>
    <w:p w:rsidR="0003025A" w:rsidRDefault="00BD6F73" w:rsidP="00B64293">
      <w:pPr>
        <w:spacing w:before="2" w:after="2" w:line="360" w:lineRule="auto"/>
        <w:rPr>
          <w:rFonts w:asciiTheme="majorHAnsi" w:hAnsiTheme="majorHAnsi"/>
          <w:color w:val="000000"/>
          <w:sz w:val="28"/>
          <w:szCs w:val="28"/>
        </w:rPr>
      </w:pPr>
      <w:r w:rsidRPr="00B64293">
        <w:rPr>
          <w:rFonts w:asciiTheme="majorHAnsi" w:hAnsiTheme="majorHAnsi"/>
          <w:color w:val="000000"/>
          <w:sz w:val="28"/>
          <w:szCs w:val="28"/>
        </w:rPr>
        <w:t>The decision confirms the line</w:t>
      </w:r>
      <w:r w:rsidR="00722125" w:rsidRPr="00B64293">
        <w:rPr>
          <w:rFonts w:asciiTheme="majorHAnsi" w:hAnsiTheme="majorHAnsi"/>
          <w:color w:val="000000"/>
          <w:sz w:val="28"/>
          <w:szCs w:val="28"/>
        </w:rPr>
        <w:t>,</w:t>
      </w:r>
      <w:r w:rsidRPr="00B64293">
        <w:rPr>
          <w:rFonts w:asciiTheme="majorHAnsi" w:hAnsiTheme="majorHAnsi"/>
          <w:color w:val="000000"/>
          <w:sz w:val="28"/>
          <w:szCs w:val="28"/>
        </w:rPr>
        <w:t xml:space="preserve"> which was developed in case law predating the Care Act: t</w:t>
      </w:r>
      <w:r w:rsidR="00AB467C" w:rsidRPr="00B64293">
        <w:rPr>
          <w:rFonts w:asciiTheme="majorHAnsi" w:hAnsiTheme="majorHAnsi"/>
          <w:color w:val="000000"/>
          <w:sz w:val="28"/>
          <w:szCs w:val="28"/>
        </w:rPr>
        <w:t>he assessment duty is a duty upon the local authority and the as</w:t>
      </w:r>
      <w:r w:rsidRPr="00B64293">
        <w:rPr>
          <w:rFonts w:asciiTheme="majorHAnsi" w:hAnsiTheme="majorHAnsi"/>
          <w:color w:val="000000"/>
          <w:sz w:val="28"/>
          <w:szCs w:val="28"/>
        </w:rPr>
        <w:t>sessment of needs</w:t>
      </w:r>
      <w:r w:rsidR="00AB467C" w:rsidRPr="00B64293">
        <w:rPr>
          <w:rFonts w:asciiTheme="majorHAnsi" w:hAnsiTheme="majorHAnsi"/>
          <w:color w:val="000000"/>
          <w:sz w:val="28"/>
          <w:szCs w:val="28"/>
        </w:rPr>
        <w:t xml:space="preserve"> is an objective assessment made </w:t>
      </w:r>
      <w:r w:rsidR="00AB467C" w:rsidRPr="00B64293">
        <w:rPr>
          <w:rFonts w:asciiTheme="majorHAnsi" w:hAnsiTheme="majorHAnsi"/>
          <w:color w:val="000000"/>
          <w:sz w:val="28"/>
          <w:szCs w:val="28"/>
          <w:u w:val="single"/>
        </w:rPr>
        <w:t>by the local authority</w:t>
      </w:r>
      <w:r w:rsidR="0003025A">
        <w:rPr>
          <w:rFonts w:asciiTheme="majorHAnsi" w:hAnsiTheme="majorHAnsi"/>
          <w:color w:val="000000"/>
          <w:sz w:val="28"/>
          <w:szCs w:val="28"/>
        </w:rPr>
        <w:t xml:space="preserve">. </w:t>
      </w:r>
      <w:r w:rsidR="00AB467C" w:rsidRPr="00B64293">
        <w:rPr>
          <w:rFonts w:asciiTheme="majorHAnsi" w:hAnsiTheme="majorHAnsi"/>
          <w:color w:val="000000"/>
          <w:sz w:val="28"/>
          <w:szCs w:val="28"/>
        </w:rPr>
        <w:t xml:space="preserve">There is </w:t>
      </w:r>
      <w:r w:rsidR="00B474C8" w:rsidRPr="00B64293">
        <w:rPr>
          <w:rFonts w:asciiTheme="majorHAnsi" w:hAnsiTheme="majorHAnsi"/>
          <w:color w:val="000000"/>
          <w:sz w:val="28"/>
          <w:szCs w:val="28"/>
        </w:rPr>
        <w:t xml:space="preserve">no duty to achieve the outcomes </w:t>
      </w:r>
      <w:r w:rsidR="00AB467C" w:rsidRPr="00B64293">
        <w:rPr>
          <w:rFonts w:asciiTheme="majorHAnsi" w:hAnsiTheme="majorHAnsi"/>
          <w:color w:val="000000"/>
          <w:sz w:val="28"/>
          <w:szCs w:val="28"/>
        </w:rPr>
        <w:t xml:space="preserve">which the </w:t>
      </w:r>
      <w:r w:rsidR="0003025A">
        <w:rPr>
          <w:rFonts w:asciiTheme="majorHAnsi" w:hAnsiTheme="majorHAnsi"/>
          <w:color w:val="000000"/>
          <w:sz w:val="28"/>
          <w:szCs w:val="28"/>
        </w:rPr>
        <w:t>D</w:t>
      </w:r>
      <w:r w:rsidR="006C1CCC" w:rsidRPr="00B64293">
        <w:rPr>
          <w:rFonts w:asciiTheme="majorHAnsi" w:hAnsiTheme="majorHAnsi"/>
          <w:color w:val="000000"/>
          <w:sz w:val="28"/>
          <w:szCs w:val="28"/>
        </w:rPr>
        <w:t>isabled person</w:t>
      </w:r>
      <w:r w:rsidR="00AB467C" w:rsidRPr="00B64293">
        <w:rPr>
          <w:rFonts w:asciiTheme="majorHAnsi" w:hAnsiTheme="majorHAnsi"/>
          <w:color w:val="000000"/>
          <w:sz w:val="28"/>
          <w:szCs w:val="28"/>
        </w:rPr>
        <w:t xml:space="preserve"> wishes to achieve; rather it is a duty to assess </w:t>
      </w:r>
      <w:r w:rsidR="00AB467C" w:rsidRPr="00B64293">
        <w:rPr>
          <w:rFonts w:asciiTheme="majorHAnsi" w:hAnsiTheme="majorHAnsi"/>
          <w:color w:val="000000"/>
          <w:sz w:val="28"/>
          <w:szCs w:val="28"/>
        </w:rPr>
        <w:lastRenderedPageBreak/>
        <w:t xml:space="preserve">whether the provision of care and support could contribute to those outcomes. </w:t>
      </w:r>
      <w:r w:rsidRPr="00B64293">
        <w:rPr>
          <w:rFonts w:asciiTheme="majorHAnsi" w:hAnsiTheme="majorHAnsi"/>
          <w:color w:val="000000"/>
          <w:sz w:val="28"/>
          <w:szCs w:val="28"/>
        </w:rPr>
        <w:t xml:space="preserve"> </w:t>
      </w:r>
    </w:p>
    <w:p w:rsidR="0003025A" w:rsidRDefault="0003025A" w:rsidP="00B64293">
      <w:pPr>
        <w:spacing w:before="2" w:after="2" w:line="360" w:lineRule="auto"/>
        <w:rPr>
          <w:rFonts w:asciiTheme="majorHAnsi" w:hAnsiTheme="majorHAnsi"/>
          <w:color w:val="000000"/>
          <w:sz w:val="28"/>
          <w:szCs w:val="28"/>
        </w:rPr>
      </w:pPr>
    </w:p>
    <w:p w:rsidR="006C1CCC" w:rsidRPr="00B64293" w:rsidRDefault="006C1CCC" w:rsidP="00B64293">
      <w:pPr>
        <w:spacing w:before="2" w:after="2" w:line="360" w:lineRule="auto"/>
        <w:rPr>
          <w:rFonts w:asciiTheme="majorHAnsi" w:hAnsiTheme="majorHAnsi"/>
          <w:color w:val="000000"/>
          <w:sz w:val="28"/>
          <w:szCs w:val="28"/>
        </w:rPr>
      </w:pPr>
      <w:r w:rsidRPr="00B64293">
        <w:rPr>
          <w:rFonts w:asciiTheme="majorHAnsi" w:hAnsiTheme="majorHAnsi"/>
          <w:color w:val="000000"/>
          <w:sz w:val="28"/>
          <w:szCs w:val="28"/>
        </w:rPr>
        <w:t xml:space="preserve">The decision confirmed however that local authorities are required to demonstrate how they considered all aspects of wellbeing contained in art 1 of the Care Act. </w:t>
      </w:r>
    </w:p>
    <w:p w:rsidR="0003025A" w:rsidRDefault="0003025A" w:rsidP="00B64293">
      <w:pPr>
        <w:spacing w:before="2" w:after="2" w:line="360" w:lineRule="auto"/>
        <w:rPr>
          <w:rFonts w:asciiTheme="majorHAnsi" w:hAnsiTheme="majorHAnsi"/>
          <w:color w:val="000000"/>
          <w:sz w:val="28"/>
          <w:szCs w:val="28"/>
        </w:rPr>
      </w:pPr>
    </w:p>
    <w:p w:rsidR="00AB467C" w:rsidRPr="00B64293" w:rsidRDefault="006C1CCC" w:rsidP="00B64293">
      <w:pPr>
        <w:spacing w:before="2" w:after="2" w:line="360" w:lineRule="auto"/>
        <w:rPr>
          <w:rFonts w:asciiTheme="majorHAnsi" w:hAnsiTheme="majorHAnsi"/>
          <w:color w:val="000000"/>
          <w:sz w:val="28"/>
          <w:szCs w:val="28"/>
        </w:rPr>
      </w:pPr>
      <w:r w:rsidRPr="00B64293">
        <w:rPr>
          <w:rFonts w:asciiTheme="majorHAnsi" w:hAnsiTheme="majorHAnsi"/>
          <w:color w:val="000000"/>
          <w:sz w:val="28"/>
          <w:szCs w:val="28"/>
        </w:rPr>
        <w:t>W</w:t>
      </w:r>
      <w:r w:rsidR="00A45C2E" w:rsidRPr="00B64293">
        <w:rPr>
          <w:rFonts w:asciiTheme="majorHAnsi" w:hAnsiTheme="majorHAnsi"/>
          <w:color w:val="000000"/>
          <w:sz w:val="28"/>
          <w:szCs w:val="28"/>
        </w:rPr>
        <w:t>hen assessing the needs LA must consider:</w:t>
      </w:r>
    </w:p>
    <w:p w:rsidR="00AB467C" w:rsidRPr="00B64293" w:rsidRDefault="00BD6F73" w:rsidP="00B64293">
      <w:pPr>
        <w:pStyle w:val="ListParagraph"/>
        <w:numPr>
          <w:ilvl w:val="0"/>
          <w:numId w:val="2"/>
        </w:numPr>
        <w:spacing w:before="100" w:line="360" w:lineRule="auto"/>
        <w:ind w:right="720"/>
        <w:rPr>
          <w:rFonts w:asciiTheme="majorHAnsi" w:hAnsiTheme="majorHAnsi"/>
          <w:color w:val="000000"/>
          <w:sz w:val="28"/>
          <w:szCs w:val="28"/>
        </w:rPr>
      </w:pPr>
      <w:r w:rsidRPr="00B64293">
        <w:rPr>
          <w:rFonts w:asciiTheme="majorHAnsi" w:hAnsiTheme="majorHAnsi"/>
          <w:i/>
          <w:color w:val="000000"/>
          <w:sz w:val="28"/>
          <w:szCs w:val="28"/>
        </w:rPr>
        <w:t>T</w:t>
      </w:r>
      <w:r w:rsidR="00AB467C" w:rsidRPr="00B64293">
        <w:rPr>
          <w:rFonts w:asciiTheme="majorHAnsi" w:hAnsiTheme="majorHAnsi"/>
          <w:i/>
          <w:color w:val="000000"/>
          <w:sz w:val="28"/>
          <w:szCs w:val="28"/>
        </w:rPr>
        <w:t xml:space="preserve">he impact of the adult's needs for care and support on the </w:t>
      </w:r>
      <w:r w:rsidRPr="00B64293">
        <w:rPr>
          <w:rFonts w:asciiTheme="majorHAnsi" w:hAnsiTheme="majorHAnsi"/>
          <w:i/>
          <w:color w:val="000000"/>
          <w:sz w:val="28"/>
          <w:szCs w:val="28"/>
        </w:rPr>
        <w:t>different aspects of wellbeing specified in the Care Act</w:t>
      </w:r>
      <w:r w:rsidR="00A45C2E" w:rsidRPr="00B64293">
        <w:rPr>
          <w:rFonts w:asciiTheme="majorHAnsi" w:hAnsiTheme="majorHAnsi"/>
          <w:i/>
          <w:color w:val="000000"/>
          <w:sz w:val="28"/>
          <w:szCs w:val="28"/>
        </w:rPr>
        <w:t>;</w:t>
      </w:r>
    </w:p>
    <w:p w:rsidR="00AB467C" w:rsidRPr="00B64293" w:rsidRDefault="00BD6F73" w:rsidP="00B64293">
      <w:pPr>
        <w:pStyle w:val="ListParagraph"/>
        <w:numPr>
          <w:ilvl w:val="0"/>
          <w:numId w:val="2"/>
        </w:numPr>
        <w:spacing w:before="100" w:line="360" w:lineRule="auto"/>
        <w:ind w:right="720"/>
        <w:rPr>
          <w:rFonts w:asciiTheme="majorHAnsi" w:hAnsiTheme="majorHAnsi"/>
          <w:color w:val="000000"/>
          <w:sz w:val="28"/>
          <w:szCs w:val="28"/>
        </w:rPr>
      </w:pPr>
      <w:r w:rsidRPr="00B64293">
        <w:rPr>
          <w:rFonts w:asciiTheme="majorHAnsi" w:hAnsiTheme="majorHAnsi"/>
          <w:i/>
          <w:color w:val="000000"/>
          <w:sz w:val="28"/>
          <w:szCs w:val="28"/>
        </w:rPr>
        <w:t>T</w:t>
      </w:r>
      <w:r w:rsidR="00AB467C" w:rsidRPr="00B64293">
        <w:rPr>
          <w:rFonts w:asciiTheme="majorHAnsi" w:hAnsiTheme="majorHAnsi"/>
          <w:i/>
          <w:color w:val="000000"/>
          <w:sz w:val="28"/>
          <w:szCs w:val="28"/>
        </w:rPr>
        <w:t xml:space="preserve">he outcomes that the adult wishes </w:t>
      </w:r>
      <w:r w:rsidR="00722125" w:rsidRPr="00B64293">
        <w:rPr>
          <w:rFonts w:asciiTheme="majorHAnsi" w:hAnsiTheme="majorHAnsi"/>
          <w:i/>
          <w:color w:val="000000"/>
          <w:sz w:val="28"/>
          <w:szCs w:val="28"/>
        </w:rPr>
        <w:t>to achieve in day-to-day life;</w:t>
      </w:r>
    </w:p>
    <w:p w:rsidR="00A45C2E" w:rsidRPr="00B64293" w:rsidRDefault="00722125" w:rsidP="00B64293">
      <w:pPr>
        <w:pStyle w:val="ListParagraph"/>
        <w:numPr>
          <w:ilvl w:val="0"/>
          <w:numId w:val="2"/>
        </w:numPr>
        <w:spacing w:before="100" w:line="360" w:lineRule="auto"/>
        <w:ind w:right="720"/>
        <w:rPr>
          <w:rFonts w:asciiTheme="majorHAnsi" w:hAnsiTheme="majorHAnsi"/>
          <w:color w:val="000000"/>
          <w:sz w:val="28"/>
          <w:szCs w:val="28"/>
        </w:rPr>
      </w:pPr>
      <w:r w:rsidRPr="00B64293">
        <w:rPr>
          <w:rFonts w:asciiTheme="majorHAnsi" w:hAnsiTheme="majorHAnsi"/>
          <w:i/>
          <w:color w:val="000000"/>
          <w:sz w:val="28"/>
          <w:szCs w:val="28"/>
        </w:rPr>
        <w:t>W</w:t>
      </w:r>
      <w:r w:rsidR="00AB467C" w:rsidRPr="00B64293">
        <w:rPr>
          <w:rFonts w:asciiTheme="majorHAnsi" w:hAnsiTheme="majorHAnsi"/>
          <w:i/>
          <w:color w:val="000000"/>
          <w:sz w:val="28"/>
          <w:szCs w:val="28"/>
        </w:rPr>
        <w:t>hether, and if so to what extent, the provision of care and support could contribute to the achievement of those outcomes."</w:t>
      </w:r>
    </w:p>
    <w:p w:rsidR="006C1CCC" w:rsidRPr="00B64293" w:rsidRDefault="00972F48" w:rsidP="00B64293">
      <w:pPr>
        <w:spacing w:line="360" w:lineRule="auto"/>
        <w:rPr>
          <w:rFonts w:asciiTheme="majorHAnsi" w:hAnsiTheme="majorHAnsi"/>
          <w:sz w:val="28"/>
          <w:szCs w:val="28"/>
        </w:rPr>
      </w:pPr>
      <w:r w:rsidRPr="00B64293">
        <w:rPr>
          <w:rFonts w:asciiTheme="majorHAnsi" w:hAnsiTheme="majorHAnsi"/>
          <w:sz w:val="28"/>
          <w:szCs w:val="28"/>
        </w:rPr>
        <w:t>Moreover the judge agreed that emotional a</w:t>
      </w:r>
      <w:r w:rsidR="00C03FC3" w:rsidRPr="00B64293">
        <w:rPr>
          <w:rFonts w:asciiTheme="majorHAnsi" w:hAnsiTheme="majorHAnsi"/>
          <w:sz w:val="28"/>
          <w:szCs w:val="28"/>
        </w:rPr>
        <w:t xml:space="preserve">nd psychological wellbeing are </w:t>
      </w:r>
      <w:r w:rsidRPr="00B64293">
        <w:rPr>
          <w:rFonts w:asciiTheme="majorHAnsi" w:hAnsiTheme="majorHAnsi"/>
          <w:sz w:val="28"/>
          <w:szCs w:val="28"/>
        </w:rPr>
        <w:t xml:space="preserve">so important that a failure to take those factors into account is the assessment and care planning process could invalidate the decision.  </w:t>
      </w:r>
    </w:p>
    <w:p w:rsidR="00A45C2E" w:rsidRPr="00B64293" w:rsidRDefault="00A45C2E" w:rsidP="00B64293">
      <w:pPr>
        <w:spacing w:line="360" w:lineRule="auto"/>
        <w:rPr>
          <w:rFonts w:asciiTheme="majorHAnsi" w:hAnsiTheme="majorHAnsi"/>
          <w:sz w:val="28"/>
          <w:szCs w:val="28"/>
        </w:rPr>
      </w:pPr>
      <w:r w:rsidRPr="00B64293">
        <w:rPr>
          <w:rFonts w:asciiTheme="majorHAnsi" w:hAnsiTheme="majorHAnsi"/>
          <w:sz w:val="28"/>
          <w:szCs w:val="28"/>
        </w:rPr>
        <w:t>LA can take into account resources when assessing needs and determining eligibility, it is then under an absolute duty to meet eligible needs.</w:t>
      </w:r>
    </w:p>
    <w:p w:rsidR="00A45C2E" w:rsidRPr="00B64293" w:rsidRDefault="006C1CCC" w:rsidP="00B64293">
      <w:pPr>
        <w:spacing w:before="2" w:after="2" w:line="360" w:lineRule="auto"/>
        <w:rPr>
          <w:rFonts w:asciiTheme="majorHAnsi" w:hAnsiTheme="majorHAnsi"/>
          <w:color w:val="000000"/>
          <w:sz w:val="28"/>
          <w:szCs w:val="28"/>
        </w:rPr>
      </w:pPr>
      <w:r w:rsidRPr="00B64293">
        <w:rPr>
          <w:rFonts w:asciiTheme="majorHAnsi" w:hAnsiTheme="majorHAnsi"/>
          <w:color w:val="000000"/>
          <w:sz w:val="28"/>
          <w:szCs w:val="28"/>
        </w:rPr>
        <w:t xml:space="preserve">The judge also looked at how much influence </w:t>
      </w:r>
      <w:r w:rsidR="0003025A">
        <w:rPr>
          <w:rFonts w:asciiTheme="majorHAnsi" w:hAnsiTheme="majorHAnsi"/>
          <w:color w:val="000000"/>
          <w:sz w:val="28"/>
          <w:szCs w:val="28"/>
        </w:rPr>
        <w:t xml:space="preserve">a </w:t>
      </w:r>
      <w:r w:rsidRPr="00B64293">
        <w:rPr>
          <w:rFonts w:asciiTheme="majorHAnsi" w:hAnsiTheme="majorHAnsi"/>
          <w:color w:val="000000"/>
          <w:sz w:val="28"/>
          <w:szCs w:val="28"/>
        </w:rPr>
        <w:t>person’s wishes and preferences should have on a final decision about the needs and the suppor</w:t>
      </w:r>
      <w:r w:rsidR="00C03FC3" w:rsidRPr="00B64293">
        <w:rPr>
          <w:rFonts w:asciiTheme="majorHAnsi" w:hAnsiTheme="majorHAnsi"/>
          <w:color w:val="000000"/>
          <w:sz w:val="28"/>
          <w:szCs w:val="28"/>
        </w:rPr>
        <w:t xml:space="preserve">t provision. He commented that </w:t>
      </w:r>
      <w:r w:rsidR="0003025A">
        <w:rPr>
          <w:rFonts w:asciiTheme="majorHAnsi" w:hAnsiTheme="majorHAnsi"/>
          <w:color w:val="000000"/>
          <w:sz w:val="28"/>
          <w:szCs w:val="28"/>
        </w:rPr>
        <w:t>a D</w:t>
      </w:r>
      <w:r w:rsidR="00A45C2E" w:rsidRPr="00B64293">
        <w:rPr>
          <w:rFonts w:asciiTheme="majorHAnsi" w:hAnsiTheme="majorHAnsi"/>
          <w:color w:val="000000"/>
          <w:sz w:val="28"/>
          <w:szCs w:val="28"/>
        </w:rPr>
        <w:t>isabled person’s wishes are no more than that and are not "needs"; those "wishes", whilst of significant importance, are not paramount. The duties upon</w:t>
      </w:r>
      <w:r w:rsidR="0003025A">
        <w:rPr>
          <w:rFonts w:asciiTheme="majorHAnsi" w:hAnsiTheme="majorHAnsi"/>
          <w:color w:val="000000"/>
          <w:sz w:val="28"/>
          <w:szCs w:val="28"/>
        </w:rPr>
        <w:t xml:space="preserve"> the</w:t>
      </w:r>
      <w:r w:rsidR="00A45C2E" w:rsidRPr="00B64293">
        <w:rPr>
          <w:rFonts w:asciiTheme="majorHAnsi" w:hAnsiTheme="majorHAnsi"/>
          <w:color w:val="000000"/>
          <w:sz w:val="28"/>
          <w:szCs w:val="28"/>
        </w:rPr>
        <w:t xml:space="preserve"> LA with </w:t>
      </w:r>
      <w:r w:rsidR="00A45C2E" w:rsidRPr="00B64293">
        <w:rPr>
          <w:rFonts w:asciiTheme="majorHAnsi" w:hAnsiTheme="majorHAnsi"/>
          <w:color w:val="000000"/>
          <w:sz w:val="28"/>
          <w:szCs w:val="28"/>
        </w:rPr>
        <w:lastRenderedPageBreak/>
        <w:t xml:space="preserve">regards to promoting person’s wellbeing are duties to "have regard". These duties are a starting point and do not prevent </w:t>
      </w:r>
      <w:r w:rsidR="0003025A">
        <w:rPr>
          <w:rFonts w:asciiTheme="majorHAnsi" w:hAnsiTheme="majorHAnsi"/>
          <w:color w:val="000000"/>
          <w:sz w:val="28"/>
          <w:szCs w:val="28"/>
        </w:rPr>
        <w:t xml:space="preserve">the </w:t>
      </w:r>
      <w:r w:rsidR="00A45C2E" w:rsidRPr="00B64293">
        <w:rPr>
          <w:rFonts w:asciiTheme="majorHAnsi" w:hAnsiTheme="majorHAnsi"/>
          <w:color w:val="000000"/>
          <w:sz w:val="28"/>
          <w:szCs w:val="28"/>
        </w:rPr>
        <w:t xml:space="preserve">LA from taking a different view about the person’s needs based on their objective professional judgement and experience.  </w:t>
      </w:r>
    </w:p>
    <w:p w:rsidR="00AB467C" w:rsidRPr="00B64293" w:rsidRDefault="00AB467C" w:rsidP="00B64293">
      <w:pPr>
        <w:spacing w:before="2" w:after="2" w:line="360" w:lineRule="auto"/>
        <w:ind w:left="720"/>
        <w:rPr>
          <w:rFonts w:asciiTheme="majorHAnsi" w:hAnsiTheme="majorHAnsi"/>
          <w:color w:val="000000"/>
          <w:sz w:val="28"/>
          <w:szCs w:val="28"/>
        </w:rPr>
      </w:pPr>
    </w:p>
    <w:bookmarkEnd w:id="1"/>
    <w:p w:rsidR="00441D1E" w:rsidRPr="00B64293" w:rsidRDefault="00441D1E" w:rsidP="00B64293">
      <w:pPr>
        <w:spacing w:line="360" w:lineRule="auto"/>
        <w:rPr>
          <w:rFonts w:asciiTheme="majorHAnsi" w:hAnsiTheme="majorHAnsi"/>
          <w:sz w:val="28"/>
          <w:szCs w:val="28"/>
        </w:rPr>
      </w:pPr>
      <w:r w:rsidRPr="00B64293">
        <w:rPr>
          <w:rFonts w:asciiTheme="majorHAnsi" w:hAnsiTheme="majorHAnsi"/>
          <w:sz w:val="28"/>
          <w:szCs w:val="28"/>
        </w:rPr>
        <w:t>In relation to the need to spend more time alone the judge interpreted the assessment as stating the need to “increase independence and reduce anxiety when spending time alone” and spending more time alone would</w:t>
      </w:r>
      <w:r w:rsidR="0003025A">
        <w:rPr>
          <w:rFonts w:asciiTheme="majorHAnsi" w:hAnsiTheme="majorHAnsi"/>
          <w:sz w:val="28"/>
          <w:szCs w:val="28"/>
        </w:rPr>
        <w:t xml:space="preserve"> be the way to meet this need. </w:t>
      </w:r>
      <w:r w:rsidRPr="00B64293">
        <w:rPr>
          <w:rFonts w:asciiTheme="majorHAnsi" w:hAnsiTheme="majorHAnsi"/>
          <w:sz w:val="28"/>
          <w:szCs w:val="28"/>
        </w:rPr>
        <w:t xml:space="preserve">He did not consider it unreasonable based on the social worker’s experience and based on the fact that Mr Davey did not seem to have problems </w:t>
      </w:r>
      <w:r w:rsidR="006C1CCC" w:rsidRPr="00B64293">
        <w:rPr>
          <w:rFonts w:asciiTheme="majorHAnsi" w:hAnsiTheme="majorHAnsi"/>
          <w:sz w:val="28"/>
          <w:szCs w:val="28"/>
        </w:rPr>
        <w:t>spending short periods of time alone.</w:t>
      </w:r>
    </w:p>
    <w:p w:rsidR="005025E3" w:rsidRPr="00B64293" w:rsidRDefault="006C1CCC" w:rsidP="00B64293">
      <w:pPr>
        <w:spacing w:line="360" w:lineRule="auto"/>
        <w:rPr>
          <w:rFonts w:asciiTheme="majorHAnsi" w:hAnsiTheme="majorHAnsi"/>
          <w:sz w:val="28"/>
          <w:szCs w:val="28"/>
        </w:rPr>
      </w:pPr>
      <w:r w:rsidRPr="00B64293">
        <w:rPr>
          <w:rFonts w:asciiTheme="majorHAnsi" w:hAnsiTheme="majorHAnsi"/>
          <w:sz w:val="28"/>
          <w:szCs w:val="28"/>
        </w:rPr>
        <w:t xml:space="preserve">When considering the fact that a new support plan will limit Mr Davey’s opportunities to participate in social activities the judge on the facts of the case did not think there will be significant limitations, except fewer opportunities for day trips and in relation to that he </w:t>
      </w:r>
      <w:r w:rsidR="00C03FC3" w:rsidRPr="00B64293">
        <w:rPr>
          <w:rFonts w:asciiTheme="majorHAnsi" w:hAnsiTheme="majorHAnsi"/>
          <w:sz w:val="28"/>
          <w:szCs w:val="28"/>
        </w:rPr>
        <w:t xml:space="preserve">commented: </w:t>
      </w:r>
    </w:p>
    <w:p w:rsidR="00441D1E" w:rsidRPr="00B64293" w:rsidRDefault="00441D1E" w:rsidP="00B64293">
      <w:pPr>
        <w:spacing w:line="360" w:lineRule="auto"/>
        <w:rPr>
          <w:rFonts w:asciiTheme="majorHAnsi" w:hAnsiTheme="majorHAnsi"/>
          <w:i/>
          <w:sz w:val="28"/>
          <w:szCs w:val="28"/>
        </w:rPr>
      </w:pPr>
      <w:r w:rsidRPr="00B64293">
        <w:rPr>
          <w:rFonts w:asciiTheme="majorHAnsi" w:hAnsiTheme="majorHAnsi"/>
          <w:i/>
          <w:color w:val="000000"/>
          <w:sz w:val="28"/>
          <w:szCs w:val="28"/>
        </w:rPr>
        <w:t>This very limited curtailment does not amount to a breach of s.1 (the wellbeing duty) of the Act. Article 19 UNCRPD does not impose any additional obligation upon the Defendant, beyond those arising under the Act.</w:t>
      </w:r>
    </w:p>
    <w:p w:rsidR="007B09EC" w:rsidRPr="00B64293" w:rsidRDefault="007B09EC" w:rsidP="00B64293">
      <w:pPr>
        <w:spacing w:line="360" w:lineRule="auto"/>
        <w:rPr>
          <w:rFonts w:asciiTheme="majorHAnsi" w:hAnsiTheme="majorHAnsi"/>
          <w:sz w:val="28"/>
          <w:szCs w:val="28"/>
        </w:rPr>
      </w:pPr>
    </w:p>
    <w:p w:rsidR="002134D4" w:rsidRPr="00B64293" w:rsidRDefault="007B09EC" w:rsidP="00B64293">
      <w:pPr>
        <w:pStyle w:val="Heading2"/>
      </w:pPr>
      <w:r w:rsidRPr="00B64293">
        <w:t>Rates for PAs and the risk of existing long established team falling apart</w:t>
      </w:r>
      <w:r w:rsidR="00B64293">
        <w:br/>
      </w:r>
    </w:p>
    <w:p w:rsidR="00A45C2E" w:rsidRPr="00B64293" w:rsidRDefault="00FA1494" w:rsidP="00B64293">
      <w:pPr>
        <w:spacing w:line="360" w:lineRule="auto"/>
        <w:rPr>
          <w:rFonts w:asciiTheme="majorHAnsi" w:hAnsiTheme="majorHAnsi"/>
          <w:sz w:val="28"/>
          <w:szCs w:val="28"/>
        </w:rPr>
      </w:pPr>
      <w:r w:rsidRPr="00B64293">
        <w:rPr>
          <w:rFonts w:asciiTheme="majorHAnsi" w:hAnsiTheme="majorHAnsi"/>
          <w:sz w:val="28"/>
          <w:szCs w:val="28"/>
        </w:rPr>
        <w:t xml:space="preserve">The judge made the following observations: </w:t>
      </w:r>
      <w:r w:rsidR="0003025A">
        <w:rPr>
          <w:rFonts w:asciiTheme="majorHAnsi" w:hAnsiTheme="majorHAnsi"/>
          <w:sz w:val="28"/>
          <w:szCs w:val="28"/>
        </w:rPr>
        <w:t>the</w:t>
      </w:r>
      <w:r w:rsidRPr="00B64293">
        <w:rPr>
          <w:rFonts w:asciiTheme="majorHAnsi" w:hAnsiTheme="majorHAnsi"/>
          <w:sz w:val="28"/>
          <w:szCs w:val="28"/>
        </w:rPr>
        <w:t xml:space="preserve"> LA was aware of how important </w:t>
      </w:r>
      <w:r w:rsidR="007B09EC" w:rsidRPr="00B64293">
        <w:rPr>
          <w:rFonts w:asciiTheme="majorHAnsi" w:hAnsiTheme="majorHAnsi"/>
          <w:sz w:val="28"/>
          <w:szCs w:val="28"/>
        </w:rPr>
        <w:t>it was for Mr Davey to maintain</w:t>
      </w:r>
      <w:r w:rsidR="0003025A">
        <w:rPr>
          <w:rFonts w:asciiTheme="majorHAnsi" w:hAnsiTheme="majorHAnsi"/>
          <w:sz w:val="28"/>
          <w:szCs w:val="28"/>
        </w:rPr>
        <w:t xml:space="preserve"> his team of PAs.</w:t>
      </w:r>
      <w:r w:rsidRPr="00B64293">
        <w:rPr>
          <w:rFonts w:asciiTheme="majorHAnsi" w:hAnsiTheme="majorHAnsi"/>
          <w:sz w:val="28"/>
          <w:szCs w:val="28"/>
        </w:rPr>
        <w:t xml:space="preserve"> However</w:t>
      </w:r>
      <w:r w:rsidR="0003025A">
        <w:rPr>
          <w:rFonts w:asciiTheme="majorHAnsi" w:hAnsiTheme="majorHAnsi"/>
          <w:sz w:val="28"/>
          <w:szCs w:val="28"/>
        </w:rPr>
        <w:t>, the</w:t>
      </w:r>
      <w:r w:rsidRPr="00B64293">
        <w:rPr>
          <w:rFonts w:asciiTheme="majorHAnsi" w:hAnsiTheme="majorHAnsi"/>
          <w:sz w:val="28"/>
          <w:szCs w:val="28"/>
        </w:rPr>
        <w:t xml:space="preserve"> </w:t>
      </w:r>
      <w:r w:rsidRPr="00B64293">
        <w:rPr>
          <w:rFonts w:asciiTheme="majorHAnsi" w:hAnsiTheme="majorHAnsi"/>
          <w:sz w:val="28"/>
          <w:szCs w:val="28"/>
        </w:rPr>
        <w:lastRenderedPageBreak/>
        <w:t xml:space="preserve">LA thought that such change would not have negative </w:t>
      </w:r>
      <w:proofErr w:type="gramStart"/>
      <w:r w:rsidRPr="00B64293">
        <w:rPr>
          <w:rFonts w:asciiTheme="majorHAnsi" w:hAnsiTheme="majorHAnsi"/>
          <w:sz w:val="28"/>
          <w:szCs w:val="28"/>
        </w:rPr>
        <w:t>impact,</w:t>
      </w:r>
      <w:proofErr w:type="gramEnd"/>
      <w:r w:rsidRPr="00B64293">
        <w:rPr>
          <w:rFonts w:asciiTheme="majorHAnsi" w:hAnsiTheme="majorHAnsi"/>
          <w:sz w:val="28"/>
          <w:szCs w:val="28"/>
        </w:rPr>
        <w:t xml:space="preserve"> moreover it could be quite positive as it would reduce the dependence on specific carers. </w:t>
      </w:r>
      <w:r w:rsidR="007B09EC" w:rsidRPr="00B64293">
        <w:rPr>
          <w:rFonts w:asciiTheme="majorHAnsi" w:hAnsiTheme="majorHAnsi"/>
          <w:sz w:val="28"/>
          <w:szCs w:val="28"/>
        </w:rPr>
        <w:t>In any event, when making an assessment LA is not required to make judgements about the future.</w:t>
      </w:r>
      <w:r w:rsidR="005025E3" w:rsidRPr="00B64293">
        <w:rPr>
          <w:rFonts w:asciiTheme="majorHAnsi" w:hAnsiTheme="majorHAnsi"/>
          <w:sz w:val="28"/>
          <w:szCs w:val="28"/>
        </w:rPr>
        <w:t xml:space="preserve"> </w:t>
      </w:r>
      <w:r w:rsidRPr="00B64293">
        <w:rPr>
          <w:rFonts w:asciiTheme="majorHAnsi" w:hAnsiTheme="majorHAnsi"/>
          <w:sz w:val="28"/>
          <w:szCs w:val="28"/>
        </w:rPr>
        <w:t xml:space="preserve">The judge also took into account the fact that none of the existing PAs has left. </w:t>
      </w:r>
    </w:p>
    <w:p w:rsidR="00FA1494" w:rsidRPr="00B64293" w:rsidRDefault="00441D1E" w:rsidP="00B64293">
      <w:pPr>
        <w:spacing w:line="360" w:lineRule="auto"/>
        <w:rPr>
          <w:rFonts w:asciiTheme="majorHAnsi" w:hAnsiTheme="majorHAnsi"/>
          <w:sz w:val="28"/>
          <w:szCs w:val="28"/>
        </w:rPr>
      </w:pPr>
      <w:r w:rsidRPr="00B64293">
        <w:rPr>
          <w:rFonts w:asciiTheme="majorHAnsi" w:hAnsiTheme="majorHAnsi"/>
          <w:sz w:val="28"/>
          <w:szCs w:val="28"/>
        </w:rPr>
        <w:t>In relation to the dispute about the reduced rates of pay for PAs, the judge did not think there was enough evidence to make a determination that</w:t>
      </w:r>
      <w:r w:rsidR="0003025A">
        <w:rPr>
          <w:rFonts w:asciiTheme="majorHAnsi" w:hAnsiTheme="majorHAnsi"/>
          <w:sz w:val="28"/>
          <w:szCs w:val="28"/>
        </w:rPr>
        <w:t xml:space="preserve"> the</w:t>
      </w:r>
      <w:r w:rsidRPr="00B64293">
        <w:rPr>
          <w:rFonts w:asciiTheme="majorHAnsi" w:hAnsiTheme="majorHAnsi"/>
          <w:sz w:val="28"/>
          <w:szCs w:val="28"/>
        </w:rPr>
        <w:t xml:space="preserve"> L</w:t>
      </w:r>
      <w:r w:rsidR="0003025A">
        <w:rPr>
          <w:rFonts w:asciiTheme="majorHAnsi" w:hAnsiTheme="majorHAnsi"/>
          <w:sz w:val="28"/>
          <w:szCs w:val="28"/>
        </w:rPr>
        <w:t xml:space="preserve">A’s approach was unreasonable. </w:t>
      </w:r>
      <w:r w:rsidRPr="00B64293">
        <w:rPr>
          <w:rFonts w:asciiTheme="majorHAnsi" w:hAnsiTheme="majorHAnsi"/>
          <w:sz w:val="28"/>
          <w:szCs w:val="28"/>
        </w:rPr>
        <w:t>He relied on the o</w:t>
      </w:r>
      <w:r w:rsidR="007B09EC" w:rsidRPr="00B64293">
        <w:rPr>
          <w:rFonts w:asciiTheme="majorHAnsi" w:hAnsiTheme="majorHAnsi"/>
          <w:sz w:val="28"/>
          <w:szCs w:val="28"/>
        </w:rPr>
        <w:t xml:space="preserve">pinion of a social worker, who </w:t>
      </w:r>
      <w:r w:rsidRPr="00B64293">
        <w:rPr>
          <w:rFonts w:asciiTheme="majorHAnsi" w:hAnsiTheme="majorHAnsi"/>
          <w:sz w:val="28"/>
          <w:szCs w:val="28"/>
        </w:rPr>
        <w:t>stated that other service users c</w:t>
      </w:r>
      <w:r w:rsidR="0003025A">
        <w:rPr>
          <w:rFonts w:asciiTheme="majorHAnsi" w:hAnsiTheme="majorHAnsi"/>
          <w:sz w:val="28"/>
          <w:szCs w:val="28"/>
        </w:rPr>
        <w:t xml:space="preserve">an recruit PAs on those rates. </w:t>
      </w:r>
      <w:r w:rsidR="00C03FC3" w:rsidRPr="00B64293">
        <w:rPr>
          <w:rFonts w:asciiTheme="majorHAnsi" w:hAnsiTheme="majorHAnsi"/>
          <w:sz w:val="28"/>
          <w:szCs w:val="28"/>
        </w:rPr>
        <w:t xml:space="preserve">He thought that evidence showing higher rates for agency workers was not relevant. </w:t>
      </w:r>
      <w:r w:rsidRPr="00B64293">
        <w:rPr>
          <w:rFonts w:asciiTheme="majorHAnsi" w:hAnsiTheme="majorHAnsi"/>
          <w:sz w:val="28"/>
          <w:szCs w:val="28"/>
        </w:rPr>
        <w:t xml:space="preserve">The judge also took into account the fact that none of the PAs has left since the reduction took place and that Oxfordshire had stated that if there were difficulties with recruitment, they will reconsider </w:t>
      </w:r>
      <w:r w:rsidR="00722125" w:rsidRPr="00B64293">
        <w:rPr>
          <w:rFonts w:asciiTheme="majorHAnsi" w:hAnsiTheme="majorHAnsi"/>
          <w:sz w:val="28"/>
          <w:szCs w:val="28"/>
        </w:rPr>
        <w:t xml:space="preserve">the proposed rates. </w:t>
      </w:r>
    </w:p>
    <w:p w:rsidR="007B09EC" w:rsidRDefault="00972F48" w:rsidP="00B64293">
      <w:pPr>
        <w:spacing w:line="360" w:lineRule="auto"/>
        <w:rPr>
          <w:rFonts w:asciiTheme="majorHAnsi" w:hAnsiTheme="majorHAnsi"/>
          <w:sz w:val="28"/>
          <w:szCs w:val="28"/>
        </w:rPr>
      </w:pPr>
      <w:r w:rsidRPr="00B64293">
        <w:rPr>
          <w:rFonts w:asciiTheme="majorHAnsi" w:hAnsiTheme="majorHAnsi"/>
          <w:sz w:val="28"/>
          <w:szCs w:val="28"/>
        </w:rPr>
        <w:t>Importantly however the judge said that once a support plan has been agreed local authorities are not able to say that even though a proposed personal budget may not be enough to pay for t</w:t>
      </w:r>
      <w:r w:rsidR="00C03FC3" w:rsidRPr="00B64293">
        <w:rPr>
          <w:rFonts w:asciiTheme="majorHAnsi" w:hAnsiTheme="majorHAnsi"/>
          <w:sz w:val="28"/>
          <w:szCs w:val="28"/>
        </w:rPr>
        <w:t>he support provision in the support</w:t>
      </w:r>
      <w:r w:rsidRPr="00B64293">
        <w:rPr>
          <w:rFonts w:asciiTheme="majorHAnsi" w:hAnsiTheme="majorHAnsi"/>
          <w:sz w:val="28"/>
          <w:szCs w:val="28"/>
        </w:rPr>
        <w:t xml:space="preserve"> plan a disabled person </w:t>
      </w:r>
      <w:r w:rsidR="00C03FC3" w:rsidRPr="00B64293">
        <w:rPr>
          <w:rFonts w:asciiTheme="majorHAnsi" w:hAnsiTheme="majorHAnsi"/>
          <w:sz w:val="28"/>
          <w:szCs w:val="28"/>
        </w:rPr>
        <w:t>could choose to use another cheaper alternative</w:t>
      </w:r>
      <w:r w:rsidR="0003025A">
        <w:rPr>
          <w:rFonts w:asciiTheme="majorHAnsi" w:hAnsiTheme="majorHAnsi"/>
          <w:sz w:val="28"/>
          <w:szCs w:val="28"/>
        </w:rPr>
        <w:t xml:space="preserve">. </w:t>
      </w:r>
      <w:r w:rsidR="00573815" w:rsidRPr="00B64293">
        <w:rPr>
          <w:rFonts w:asciiTheme="majorHAnsi" w:hAnsiTheme="majorHAnsi"/>
          <w:sz w:val="28"/>
          <w:szCs w:val="28"/>
        </w:rPr>
        <w:t xml:space="preserve">In Davey’s case OCC argued that </w:t>
      </w:r>
      <w:r w:rsidR="00C03FC3" w:rsidRPr="00B64293">
        <w:rPr>
          <w:rFonts w:asciiTheme="majorHAnsi" w:hAnsiTheme="majorHAnsi"/>
          <w:sz w:val="28"/>
          <w:szCs w:val="28"/>
        </w:rPr>
        <w:t>even if their proposed</w:t>
      </w:r>
      <w:r w:rsidR="00573815" w:rsidRPr="00B64293">
        <w:rPr>
          <w:rFonts w:asciiTheme="majorHAnsi" w:hAnsiTheme="majorHAnsi"/>
          <w:sz w:val="28"/>
          <w:szCs w:val="28"/>
        </w:rPr>
        <w:t xml:space="preserve"> </w:t>
      </w:r>
      <w:r w:rsidR="00C03FC3" w:rsidRPr="00B64293">
        <w:rPr>
          <w:rFonts w:asciiTheme="majorHAnsi" w:hAnsiTheme="majorHAnsi"/>
          <w:sz w:val="28"/>
          <w:szCs w:val="28"/>
        </w:rPr>
        <w:t>personal budget was not enough, Mr Davey could use it to pay for a live-in carer instead of hiring</w:t>
      </w:r>
      <w:r w:rsidR="00573815" w:rsidRPr="00B64293">
        <w:rPr>
          <w:rFonts w:asciiTheme="majorHAnsi" w:hAnsiTheme="majorHAnsi"/>
          <w:sz w:val="28"/>
          <w:szCs w:val="28"/>
        </w:rPr>
        <w:t xml:space="preserve"> a team of PAs.</w:t>
      </w:r>
    </w:p>
    <w:p w:rsidR="00B64293" w:rsidRPr="00B64293" w:rsidRDefault="00B64293" w:rsidP="00B64293">
      <w:pPr>
        <w:spacing w:line="360" w:lineRule="auto"/>
        <w:rPr>
          <w:rFonts w:asciiTheme="majorHAnsi" w:hAnsiTheme="majorHAnsi"/>
          <w:sz w:val="28"/>
          <w:szCs w:val="28"/>
        </w:rPr>
      </w:pPr>
    </w:p>
    <w:p w:rsidR="002134D4" w:rsidRPr="00B64293" w:rsidRDefault="007B09EC" w:rsidP="00B64293">
      <w:pPr>
        <w:pStyle w:val="Heading2"/>
      </w:pPr>
      <w:r w:rsidRPr="00B64293">
        <w:t>Conclusion</w:t>
      </w:r>
    </w:p>
    <w:p w:rsidR="00C34D5A" w:rsidRPr="00B64293" w:rsidRDefault="00C34D5A" w:rsidP="00B64293">
      <w:pPr>
        <w:pStyle w:val="Header"/>
        <w:rPr>
          <w:rFonts w:asciiTheme="majorHAnsi" w:hAnsiTheme="majorHAnsi"/>
          <w:b/>
          <w:sz w:val="28"/>
          <w:szCs w:val="28"/>
        </w:rPr>
      </w:pPr>
    </w:p>
    <w:p w:rsidR="008045DC" w:rsidRPr="00B64293" w:rsidRDefault="00722125" w:rsidP="00B64293">
      <w:pPr>
        <w:spacing w:line="360" w:lineRule="auto"/>
        <w:rPr>
          <w:rFonts w:asciiTheme="majorHAnsi" w:hAnsiTheme="majorHAnsi"/>
          <w:sz w:val="28"/>
          <w:szCs w:val="28"/>
        </w:rPr>
      </w:pPr>
      <w:r w:rsidRPr="00B64293">
        <w:rPr>
          <w:rFonts w:asciiTheme="majorHAnsi" w:hAnsiTheme="majorHAnsi"/>
          <w:sz w:val="28"/>
          <w:szCs w:val="28"/>
        </w:rPr>
        <w:t xml:space="preserve">The wellbeing duty is a duty to have due regard. </w:t>
      </w:r>
      <w:r w:rsidR="005025E3" w:rsidRPr="00B64293">
        <w:rPr>
          <w:rFonts w:asciiTheme="majorHAnsi" w:hAnsiTheme="majorHAnsi"/>
          <w:sz w:val="28"/>
          <w:szCs w:val="28"/>
        </w:rPr>
        <w:t>L</w:t>
      </w:r>
      <w:r w:rsidR="0003025A">
        <w:rPr>
          <w:rFonts w:asciiTheme="majorHAnsi" w:hAnsiTheme="majorHAnsi"/>
          <w:sz w:val="28"/>
          <w:szCs w:val="28"/>
        </w:rPr>
        <w:t>A</w:t>
      </w:r>
      <w:r w:rsidR="005025E3" w:rsidRPr="00B64293">
        <w:rPr>
          <w:rFonts w:asciiTheme="majorHAnsi" w:hAnsiTheme="majorHAnsi"/>
          <w:sz w:val="28"/>
          <w:szCs w:val="28"/>
        </w:rPr>
        <w:t>s have to consider all aspects of wellbeing when assessing the need</w:t>
      </w:r>
      <w:r w:rsidR="00573815" w:rsidRPr="00B64293">
        <w:rPr>
          <w:rFonts w:asciiTheme="majorHAnsi" w:hAnsiTheme="majorHAnsi"/>
          <w:sz w:val="28"/>
          <w:szCs w:val="28"/>
        </w:rPr>
        <w:t xml:space="preserve">s, making decisions about </w:t>
      </w:r>
      <w:r w:rsidR="00573815" w:rsidRPr="00B64293">
        <w:rPr>
          <w:rFonts w:asciiTheme="majorHAnsi" w:hAnsiTheme="majorHAnsi"/>
          <w:sz w:val="28"/>
          <w:szCs w:val="28"/>
        </w:rPr>
        <w:lastRenderedPageBreak/>
        <w:t>eli</w:t>
      </w:r>
      <w:r w:rsidR="005025E3" w:rsidRPr="00B64293">
        <w:rPr>
          <w:rFonts w:asciiTheme="majorHAnsi" w:hAnsiTheme="majorHAnsi"/>
          <w:sz w:val="28"/>
          <w:szCs w:val="28"/>
        </w:rPr>
        <w:t>gibility</w:t>
      </w:r>
      <w:r w:rsidR="00573815" w:rsidRPr="00B64293">
        <w:rPr>
          <w:rFonts w:asciiTheme="majorHAnsi" w:hAnsiTheme="majorHAnsi"/>
          <w:sz w:val="28"/>
          <w:szCs w:val="28"/>
        </w:rPr>
        <w:t xml:space="preserve"> and developing support plans</w:t>
      </w:r>
      <w:r w:rsidR="005025E3" w:rsidRPr="00B64293">
        <w:rPr>
          <w:rFonts w:asciiTheme="majorHAnsi" w:hAnsiTheme="majorHAnsi"/>
          <w:sz w:val="28"/>
          <w:szCs w:val="28"/>
        </w:rPr>
        <w:t xml:space="preserve">. </w:t>
      </w:r>
      <w:r w:rsidRPr="00B64293">
        <w:rPr>
          <w:rFonts w:asciiTheme="majorHAnsi" w:hAnsiTheme="majorHAnsi"/>
          <w:sz w:val="28"/>
          <w:szCs w:val="28"/>
        </w:rPr>
        <w:t xml:space="preserve">It also appears that assessments and care plans do not have to record how </w:t>
      </w:r>
      <w:r w:rsidR="0003025A">
        <w:rPr>
          <w:rFonts w:asciiTheme="majorHAnsi" w:hAnsiTheme="majorHAnsi"/>
          <w:sz w:val="28"/>
          <w:szCs w:val="28"/>
        </w:rPr>
        <w:t xml:space="preserve">the </w:t>
      </w:r>
      <w:r w:rsidRPr="00B64293">
        <w:rPr>
          <w:rFonts w:asciiTheme="majorHAnsi" w:hAnsiTheme="majorHAnsi"/>
          <w:sz w:val="28"/>
          <w:szCs w:val="28"/>
        </w:rPr>
        <w:t>LA considered the impac</w:t>
      </w:r>
      <w:r w:rsidR="0003025A">
        <w:rPr>
          <w:rFonts w:asciiTheme="majorHAnsi" w:hAnsiTheme="majorHAnsi"/>
          <w:sz w:val="28"/>
          <w:szCs w:val="28"/>
        </w:rPr>
        <w:t xml:space="preserve">t on all aspects of wellbeing. </w:t>
      </w:r>
      <w:r w:rsidRPr="00B64293">
        <w:rPr>
          <w:rFonts w:asciiTheme="majorHAnsi" w:hAnsiTheme="majorHAnsi"/>
          <w:sz w:val="28"/>
          <w:szCs w:val="28"/>
        </w:rPr>
        <w:t xml:space="preserve">Some of this consideration could be implicit based on the experience of a social worker. </w:t>
      </w:r>
      <w:r w:rsidR="00573815" w:rsidRPr="00B64293">
        <w:rPr>
          <w:rFonts w:asciiTheme="majorHAnsi" w:hAnsiTheme="majorHAnsi"/>
          <w:sz w:val="28"/>
          <w:szCs w:val="28"/>
        </w:rPr>
        <w:t>LA</w:t>
      </w:r>
      <w:r w:rsidR="0003025A">
        <w:rPr>
          <w:rFonts w:asciiTheme="majorHAnsi" w:hAnsiTheme="majorHAnsi"/>
          <w:sz w:val="28"/>
          <w:szCs w:val="28"/>
        </w:rPr>
        <w:t>s</w:t>
      </w:r>
      <w:r w:rsidR="00573815" w:rsidRPr="00B64293">
        <w:rPr>
          <w:rFonts w:asciiTheme="majorHAnsi" w:hAnsiTheme="majorHAnsi"/>
          <w:sz w:val="28"/>
          <w:szCs w:val="28"/>
        </w:rPr>
        <w:t xml:space="preserve"> can safeguard themselves by promising to review the support plan and personal budget if their su</w:t>
      </w:r>
      <w:r w:rsidR="002134D4" w:rsidRPr="00B64293">
        <w:rPr>
          <w:rFonts w:asciiTheme="majorHAnsi" w:hAnsiTheme="majorHAnsi"/>
          <w:sz w:val="28"/>
          <w:szCs w:val="28"/>
        </w:rPr>
        <w:t>ggested option is not working.</w:t>
      </w:r>
      <w:bookmarkStart w:id="2" w:name="_GoBack"/>
      <w:bookmarkEnd w:id="2"/>
    </w:p>
    <w:sectPr w:rsidR="008045DC" w:rsidRPr="00B64293" w:rsidSect="00573815">
      <w:headerReference w:type="default" r:id="rId9"/>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76" w:rsidRDefault="008B3076">
      <w:pPr>
        <w:spacing w:after="0"/>
      </w:pPr>
      <w:r>
        <w:separator/>
      </w:r>
    </w:p>
  </w:endnote>
  <w:endnote w:type="continuationSeparator" w:id="0">
    <w:p w:rsidR="008B3076" w:rsidRDefault="008B30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15" w:rsidRDefault="0093350E" w:rsidP="0072786E">
    <w:pPr>
      <w:pStyle w:val="Footer"/>
      <w:framePr w:wrap="around" w:vAnchor="text" w:hAnchor="margin" w:xAlign="center" w:y="1"/>
      <w:rPr>
        <w:rStyle w:val="PageNumber"/>
      </w:rPr>
    </w:pPr>
    <w:r>
      <w:rPr>
        <w:rStyle w:val="PageNumber"/>
      </w:rPr>
      <w:fldChar w:fldCharType="begin"/>
    </w:r>
    <w:r w:rsidR="00573815">
      <w:rPr>
        <w:rStyle w:val="PageNumber"/>
      </w:rPr>
      <w:instrText xml:space="preserve">PAGE  </w:instrText>
    </w:r>
    <w:r>
      <w:rPr>
        <w:rStyle w:val="PageNumber"/>
      </w:rPr>
      <w:fldChar w:fldCharType="separate"/>
    </w:r>
    <w:r w:rsidR="0003025A">
      <w:rPr>
        <w:rStyle w:val="PageNumber"/>
        <w:noProof/>
      </w:rPr>
      <w:t>6</w:t>
    </w:r>
    <w:r>
      <w:rPr>
        <w:rStyle w:val="PageNumber"/>
      </w:rPr>
      <w:fldChar w:fldCharType="end"/>
    </w:r>
  </w:p>
  <w:p w:rsidR="00573815" w:rsidRDefault="00573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815" w:rsidRPr="00B64293" w:rsidRDefault="0093350E" w:rsidP="0072786E">
    <w:pPr>
      <w:pStyle w:val="Footer"/>
      <w:framePr w:wrap="around" w:vAnchor="text" w:hAnchor="margin" w:xAlign="center" w:y="1"/>
      <w:rPr>
        <w:rStyle w:val="PageNumber"/>
        <w:rFonts w:asciiTheme="majorHAnsi" w:hAnsiTheme="majorHAnsi"/>
      </w:rPr>
    </w:pPr>
    <w:r w:rsidRPr="00B64293">
      <w:rPr>
        <w:rStyle w:val="PageNumber"/>
        <w:rFonts w:asciiTheme="majorHAnsi" w:hAnsiTheme="majorHAnsi"/>
      </w:rPr>
      <w:fldChar w:fldCharType="begin"/>
    </w:r>
    <w:r w:rsidR="00573815" w:rsidRPr="00B64293">
      <w:rPr>
        <w:rStyle w:val="PageNumber"/>
        <w:rFonts w:asciiTheme="majorHAnsi" w:hAnsiTheme="majorHAnsi"/>
      </w:rPr>
      <w:instrText xml:space="preserve">PAGE  </w:instrText>
    </w:r>
    <w:r w:rsidRPr="00B64293">
      <w:rPr>
        <w:rStyle w:val="PageNumber"/>
        <w:rFonts w:asciiTheme="majorHAnsi" w:hAnsiTheme="majorHAnsi"/>
      </w:rPr>
      <w:fldChar w:fldCharType="separate"/>
    </w:r>
    <w:r w:rsidR="0003025A">
      <w:rPr>
        <w:rStyle w:val="PageNumber"/>
        <w:rFonts w:asciiTheme="majorHAnsi" w:hAnsiTheme="majorHAnsi"/>
        <w:noProof/>
      </w:rPr>
      <w:t>7</w:t>
    </w:r>
    <w:r w:rsidRPr="00B64293">
      <w:rPr>
        <w:rStyle w:val="PageNumber"/>
        <w:rFonts w:asciiTheme="majorHAnsi" w:hAnsiTheme="majorHAnsi"/>
      </w:rPr>
      <w:fldChar w:fldCharType="end"/>
    </w:r>
  </w:p>
  <w:p w:rsidR="00573815" w:rsidRDefault="00573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76" w:rsidRDefault="008B3076">
      <w:pPr>
        <w:spacing w:after="0"/>
      </w:pPr>
      <w:r>
        <w:separator/>
      </w:r>
    </w:p>
  </w:footnote>
  <w:footnote w:type="continuationSeparator" w:id="0">
    <w:p w:rsidR="008B3076" w:rsidRDefault="008B3076">
      <w:pPr>
        <w:spacing w:after="0"/>
      </w:pPr>
      <w:r>
        <w:continuationSeparator/>
      </w:r>
    </w:p>
  </w:footnote>
  <w:footnote w:id="1">
    <w:p w:rsidR="00573815" w:rsidRPr="00B64293" w:rsidRDefault="00573815">
      <w:pPr>
        <w:pStyle w:val="FootnoteText"/>
        <w:rPr>
          <w:rFonts w:asciiTheme="majorHAnsi" w:hAnsiTheme="majorHAnsi"/>
        </w:rPr>
      </w:pPr>
      <w:r w:rsidRPr="00B64293">
        <w:rPr>
          <w:rStyle w:val="FootnoteReference"/>
          <w:rFonts w:asciiTheme="majorHAnsi" w:hAnsiTheme="majorHAnsi"/>
        </w:rPr>
        <w:footnoteRef/>
      </w:r>
      <w:r w:rsidRPr="00B64293">
        <w:rPr>
          <w:rFonts w:asciiTheme="majorHAnsi" w:hAnsiTheme="majorHAnsi"/>
        </w:rPr>
        <w:t xml:space="preserve"> Full copy of the judgement available at http://www.bailii.org/ew/cases/EWHC/Admin/2017/354.html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64"/>
      <w:gridCol w:w="1152"/>
    </w:tblGrid>
    <w:tr w:rsidR="00573815">
      <w:tc>
        <w:tcPr>
          <w:tcW w:w="0" w:type="auto"/>
          <w:tcBorders>
            <w:right w:val="single" w:sz="6" w:space="0" w:color="000000" w:themeColor="text1"/>
          </w:tcBorders>
        </w:tcPr>
        <w:sdt>
          <w:sdtPr>
            <w:rPr>
              <w:rFonts w:asciiTheme="majorHAnsi" w:hAnsiTheme="majorHAnsi"/>
            </w:rPr>
            <w:alias w:val="Company"/>
            <w:id w:val="78735422"/>
            <w:placeholder>
              <w:docPart w:val="4DE1967644774B4A9AFAF0DFAF298590"/>
            </w:placeholder>
            <w:dataBinding w:prefixMappings="xmlns:ns0='http://schemas.openxmlformats.org/officeDocument/2006/extended-properties'" w:xpath="/ns0:Properties[1]/ns0:Company[1]" w:storeItemID="{6668398D-A668-4E3E-A5EB-62B293D839F1}"/>
            <w:text/>
          </w:sdtPr>
          <w:sdtEndPr/>
          <w:sdtContent>
            <w:p w:rsidR="00573815" w:rsidRPr="00B64293" w:rsidRDefault="00573815">
              <w:pPr>
                <w:pStyle w:val="Header"/>
                <w:jc w:val="right"/>
                <w:rPr>
                  <w:rFonts w:asciiTheme="majorHAnsi" w:hAnsiTheme="majorHAnsi"/>
                </w:rPr>
              </w:pPr>
              <w:r w:rsidRPr="00B64293">
                <w:rPr>
                  <w:rFonts w:asciiTheme="majorHAnsi" w:hAnsiTheme="majorHAnsi"/>
                </w:rPr>
                <w:t>Inclusion London</w:t>
              </w:r>
            </w:p>
          </w:sdtContent>
        </w:sdt>
        <w:sdt>
          <w:sdtPr>
            <w:rPr>
              <w:rFonts w:asciiTheme="majorHAnsi" w:hAnsiTheme="majorHAnsi"/>
              <w:b/>
              <w:bCs/>
            </w:rPr>
            <w:alias w:val="Title"/>
            <w:id w:val="78735415"/>
            <w:placeholder>
              <w:docPart w:val="BFE8824D8DBFCE44BE8F12267F20CA16"/>
            </w:placeholder>
            <w:dataBinding w:prefixMappings="xmlns:ns0='http://schemas.openxmlformats.org/package/2006/metadata/core-properties' xmlns:ns1='http://purl.org/dc/elements/1.1/'" w:xpath="/ns0:coreProperties[1]/ns1:title[1]" w:storeItemID="{6C3C8BC8-F283-45AE-878A-BAB7291924A1}"/>
            <w:text/>
          </w:sdtPr>
          <w:sdtEndPr/>
          <w:sdtContent>
            <w:p w:rsidR="00573815" w:rsidRPr="00B64293" w:rsidRDefault="00573815" w:rsidP="00573815">
              <w:pPr>
                <w:pStyle w:val="Header"/>
                <w:jc w:val="right"/>
                <w:rPr>
                  <w:rFonts w:asciiTheme="majorHAnsi" w:hAnsiTheme="majorHAnsi"/>
                  <w:b/>
                  <w:bCs/>
                </w:rPr>
              </w:pPr>
              <w:r w:rsidRPr="00B64293">
                <w:rPr>
                  <w:rFonts w:asciiTheme="majorHAnsi" w:hAnsiTheme="majorHAnsi"/>
                  <w:b/>
                  <w:bCs/>
                </w:rPr>
                <w:t>Disability Justice Project</w:t>
              </w:r>
            </w:p>
          </w:sdtContent>
        </w:sdt>
      </w:tc>
      <w:tc>
        <w:tcPr>
          <w:tcW w:w="1152" w:type="dxa"/>
          <w:tcBorders>
            <w:left w:val="single" w:sz="6" w:space="0" w:color="000000" w:themeColor="text1"/>
          </w:tcBorders>
        </w:tcPr>
        <w:p w:rsidR="00573815" w:rsidRPr="00B64293" w:rsidRDefault="007B26FC">
          <w:pPr>
            <w:pStyle w:val="Header"/>
            <w:rPr>
              <w:rFonts w:asciiTheme="majorHAnsi" w:hAnsiTheme="majorHAnsi"/>
              <w:b/>
            </w:rPr>
          </w:pPr>
          <w:r w:rsidRPr="00B64293">
            <w:rPr>
              <w:rFonts w:asciiTheme="majorHAnsi" w:hAnsiTheme="majorHAnsi"/>
            </w:rPr>
            <w:fldChar w:fldCharType="begin"/>
          </w:r>
          <w:r w:rsidRPr="00B64293">
            <w:rPr>
              <w:rFonts w:asciiTheme="majorHAnsi" w:hAnsiTheme="majorHAnsi"/>
            </w:rPr>
            <w:instrText xml:space="preserve"> PAGE   \* MERGEFORMAT </w:instrText>
          </w:r>
          <w:r w:rsidRPr="00B64293">
            <w:rPr>
              <w:rFonts w:asciiTheme="majorHAnsi" w:hAnsiTheme="majorHAnsi"/>
            </w:rPr>
            <w:fldChar w:fldCharType="separate"/>
          </w:r>
          <w:r w:rsidR="0003025A">
            <w:rPr>
              <w:rFonts w:asciiTheme="majorHAnsi" w:hAnsiTheme="majorHAnsi"/>
              <w:noProof/>
            </w:rPr>
            <w:t>7</w:t>
          </w:r>
          <w:r w:rsidRPr="00B64293">
            <w:rPr>
              <w:rFonts w:asciiTheme="majorHAnsi" w:hAnsiTheme="majorHAnsi"/>
              <w:noProof/>
            </w:rPr>
            <w:fldChar w:fldCharType="end"/>
          </w:r>
        </w:p>
      </w:tc>
    </w:tr>
  </w:tbl>
  <w:p w:rsidR="00573815" w:rsidRDefault="00573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77"/>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83898"/>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E5F28"/>
    <w:multiLevelType w:val="hybridMultilevel"/>
    <w:tmpl w:val="0C9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01B11"/>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C658B"/>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EE36C5"/>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9E3DDF"/>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721A18"/>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15D4D"/>
    <w:multiLevelType w:val="multilevel"/>
    <w:tmpl w:val="FE44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1"/>
    </w:lvlOverride>
  </w:num>
  <w:num w:numId="2">
    <w:abstractNumId w:val="8"/>
  </w:num>
  <w:num w:numId="3">
    <w:abstractNumId w:val="7"/>
    <w:lvlOverride w:ilvl="0">
      <w:startOverride w:val="47"/>
    </w:lvlOverride>
  </w:num>
  <w:num w:numId="4">
    <w:abstractNumId w:val="7"/>
    <w:lvlOverride w:ilvl="0">
      <w:startOverride w:val="48"/>
    </w:lvlOverride>
  </w:num>
  <w:num w:numId="5">
    <w:abstractNumId w:val="1"/>
    <w:lvlOverride w:ilvl="0">
      <w:startOverride w:val="49"/>
    </w:lvlOverride>
  </w:num>
  <w:num w:numId="6">
    <w:abstractNumId w:val="6"/>
    <w:lvlOverride w:ilvl="0">
      <w:startOverride w:val="121"/>
    </w:lvlOverride>
  </w:num>
  <w:num w:numId="7">
    <w:abstractNumId w:val="5"/>
  </w:num>
  <w:num w:numId="8">
    <w:abstractNumId w:val="3"/>
    <w:lvlOverride w:ilvl="0">
      <w:startOverride w:val="153"/>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DC"/>
    <w:rsid w:val="0003025A"/>
    <w:rsid w:val="000B4954"/>
    <w:rsid w:val="00192A23"/>
    <w:rsid w:val="002134D4"/>
    <w:rsid w:val="002A7C52"/>
    <w:rsid w:val="00366A0C"/>
    <w:rsid w:val="00441D1E"/>
    <w:rsid w:val="004E14A0"/>
    <w:rsid w:val="005025E3"/>
    <w:rsid w:val="00573815"/>
    <w:rsid w:val="006C1CCC"/>
    <w:rsid w:val="00722125"/>
    <w:rsid w:val="0072786E"/>
    <w:rsid w:val="00765BAE"/>
    <w:rsid w:val="007B09EC"/>
    <w:rsid w:val="007B1E63"/>
    <w:rsid w:val="007B26FC"/>
    <w:rsid w:val="007E6181"/>
    <w:rsid w:val="008045DC"/>
    <w:rsid w:val="00841293"/>
    <w:rsid w:val="008B3076"/>
    <w:rsid w:val="008F4D69"/>
    <w:rsid w:val="0093350E"/>
    <w:rsid w:val="00972F48"/>
    <w:rsid w:val="00A45C2E"/>
    <w:rsid w:val="00AB467C"/>
    <w:rsid w:val="00B474C8"/>
    <w:rsid w:val="00B64293"/>
    <w:rsid w:val="00BD6F73"/>
    <w:rsid w:val="00C03FC3"/>
    <w:rsid w:val="00C32917"/>
    <w:rsid w:val="00C34D5A"/>
    <w:rsid w:val="00EF05FC"/>
    <w:rsid w:val="00F005AC"/>
    <w:rsid w:val="00FA14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C9"/>
  </w:style>
  <w:style w:type="paragraph" w:styleId="Heading2">
    <w:name w:val="heading 2"/>
    <w:basedOn w:val="Normal"/>
    <w:next w:val="Normal"/>
    <w:link w:val="Heading2Char"/>
    <w:uiPriority w:val="9"/>
    <w:unhideWhenUsed/>
    <w:qFormat/>
    <w:rsid w:val="00B64293"/>
    <w:pPr>
      <w:keepNext/>
      <w:keepLines/>
      <w:spacing w:before="200" w:after="0"/>
      <w:outlineLvl w:val="1"/>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67C"/>
  </w:style>
  <w:style w:type="paragraph" w:styleId="ListParagraph">
    <w:name w:val="List Paragraph"/>
    <w:basedOn w:val="Normal"/>
    <w:uiPriority w:val="34"/>
    <w:qFormat/>
    <w:rsid w:val="00AB467C"/>
    <w:pPr>
      <w:ind w:left="720"/>
      <w:contextualSpacing/>
    </w:pPr>
  </w:style>
  <w:style w:type="paragraph" w:styleId="NormalWeb">
    <w:name w:val="Normal (Web)"/>
    <w:basedOn w:val="Normal"/>
    <w:uiPriority w:val="99"/>
    <w:rsid w:val="00841293"/>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7B09EC"/>
    <w:pPr>
      <w:spacing w:after="0"/>
    </w:pPr>
  </w:style>
  <w:style w:type="character" w:customStyle="1" w:styleId="FootnoteTextChar">
    <w:name w:val="Footnote Text Char"/>
    <w:basedOn w:val="DefaultParagraphFont"/>
    <w:link w:val="FootnoteText"/>
    <w:uiPriority w:val="99"/>
    <w:semiHidden/>
    <w:rsid w:val="007B09EC"/>
  </w:style>
  <w:style w:type="character" w:styleId="FootnoteReference">
    <w:name w:val="footnote reference"/>
    <w:basedOn w:val="DefaultParagraphFont"/>
    <w:uiPriority w:val="99"/>
    <w:semiHidden/>
    <w:unhideWhenUsed/>
    <w:rsid w:val="007B09EC"/>
    <w:rPr>
      <w:vertAlign w:val="superscript"/>
    </w:rPr>
  </w:style>
  <w:style w:type="paragraph" w:styleId="Footer">
    <w:name w:val="footer"/>
    <w:basedOn w:val="Normal"/>
    <w:link w:val="FooterChar"/>
    <w:uiPriority w:val="99"/>
    <w:unhideWhenUsed/>
    <w:rsid w:val="0072786E"/>
    <w:pPr>
      <w:tabs>
        <w:tab w:val="center" w:pos="4320"/>
        <w:tab w:val="right" w:pos="8640"/>
      </w:tabs>
      <w:spacing w:after="0"/>
    </w:pPr>
  </w:style>
  <w:style w:type="character" w:customStyle="1" w:styleId="FooterChar">
    <w:name w:val="Footer Char"/>
    <w:basedOn w:val="DefaultParagraphFont"/>
    <w:link w:val="Footer"/>
    <w:uiPriority w:val="99"/>
    <w:rsid w:val="0072786E"/>
  </w:style>
  <w:style w:type="character" w:styleId="PageNumber">
    <w:name w:val="page number"/>
    <w:basedOn w:val="DefaultParagraphFont"/>
    <w:uiPriority w:val="99"/>
    <w:semiHidden/>
    <w:unhideWhenUsed/>
    <w:rsid w:val="0072786E"/>
  </w:style>
  <w:style w:type="paragraph" w:styleId="Header">
    <w:name w:val="header"/>
    <w:basedOn w:val="Normal"/>
    <w:link w:val="HeaderChar"/>
    <w:uiPriority w:val="99"/>
    <w:unhideWhenUsed/>
    <w:rsid w:val="00573815"/>
    <w:pPr>
      <w:tabs>
        <w:tab w:val="center" w:pos="4320"/>
        <w:tab w:val="right" w:pos="8640"/>
      </w:tabs>
      <w:spacing w:after="0"/>
    </w:pPr>
  </w:style>
  <w:style w:type="character" w:customStyle="1" w:styleId="HeaderChar">
    <w:name w:val="Header Char"/>
    <w:basedOn w:val="DefaultParagraphFont"/>
    <w:link w:val="Header"/>
    <w:uiPriority w:val="99"/>
    <w:rsid w:val="00573815"/>
  </w:style>
  <w:style w:type="table" w:styleId="TableGrid">
    <w:name w:val="Table Grid"/>
    <w:basedOn w:val="TableNormal"/>
    <w:uiPriority w:val="1"/>
    <w:rsid w:val="00573815"/>
    <w:pPr>
      <w:spacing w:after="0"/>
    </w:pPr>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42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3"/>
    <w:rPr>
      <w:rFonts w:ascii="Tahoma" w:hAnsi="Tahoma" w:cs="Tahoma"/>
      <w:sz w:val="16"/>
      <w:szCs w:val="16"/>
    </w:rPr>
  </w:style>
  <w:style w:type="character" w:customStyle="1" w:styleId="Heading2Char">
    <w:name w:val="Heading 2 Char"/>
    <w:basedOn w:val="DefaultParagraphFont"/>
    <w:link w:val="Heading2"/>
    <w:uiPriority w:val="9"/>
    <w:rsid w:val="00B64293"/>
    <w:rPr>
      <w:rFonts w:asciiTheme="majorHAnsi" w:eastAsiaTheme="majorEastAsia" w:hAnsiTheme="majorHAnsi" w:cstheme="majorBidi"/>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BC9"/>
  </w:style>
  <w:style w:type="paragraph" w:styleId="Heading2">
    <w:name w:val="heading 2"/>
    <w:basedOn w:val="Normal"/>
    <w:next w:val="Normal"/>
    <w:link w:val="Heading2Char"/>
    <w:uiPriority w:val="9"/>
    <w:unhideWhenUsed/>
    <w:qFormat/>
    <w:rsid w:val="00B64293"/>
    <w:pPr>
      <w:keepNext/>
      <w:keepLines/>
      <w:spacing w:before="200" w:after="0"/>
      <w:outlineLvl w:val="1"/>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67C"/>
  </w:style>
  <w:style w:type="paragraph" w:styleId="ListParagraph">
    <w:name w:val="List Paragraph"/>
    <w:basedOn w:val="Normal"/>
    <w:uiPriority w:val="34"/>
    <w:qFormat/>
    <w:rsid w:val="00AB467C"/>
    <w:pPr>
      <w:ind w:left="720"/>
      <w:contextualSpacing/>
    </w:pPr>
  </w:style>
  <w:style w:type="paragraph" w:styleId="NormalWeb">
    <w:name w:val="Normal (Web)"/>
    <w:basedOn w:val="Normal"/>
    <w:uiPriority w:val="99"/>
    <w:rsid w:val="00841293"/>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7B09EC"/>
    <w:pPr>
      <w:spacing w:after="0"/>
    </w:pPr>
  </w:style>
  <w:style w:type="character" w:customStyle="1" w:styleId="FootnoteTextChar">
    <w:name w:val="Footnote Text Char"/>
    <w:basedOn w:val="DefaultParagraphFont"/>
    <w:link w:val="FootnoteText"/>
    <w:uiPriority w:val="99"/>
    <w:semiHidden/>
    <w:rsid w:val="007B09EC"/>
  </w:style>
  <w:style w:type="character" w:styleId="FootnoteReference">
    <w:name w:val="footnote reference"/>
    <w:basedOn w:val="DefaultParagraphFont"/>
    <w:uiPriority w:val="99"/>
    <w:semiHidden/>
    <w:unhideWhenUsed/>
    <w:rsid w:val="007B09EC"/>
    <w:rPr>
      <w:vertAlign w:val="superscript"/>
    </w:rPr>
  </w:style>
  <w:style w:type="paragraph" w:styleId="Footer">
    <w:name w:val="footer"/>
    <w:basedOn w:val="Normal"/>
    <w:link w:val="FooterChar"/>
    <w:uiPriority w:val="99"/>
    <w:unhideWhenUsed/>
    <w:rsid w:val="0072786E"/>
    <w:pPr>
      <w:tabs>
        <w:tab w:val="center" w:pos="4320"/>
        <w:tab w:val="right" w:pos="8640"/>
      </w:tabs>
      <w:spacing w:after="0"/>
    </w:pPr>
  </w:style>
  <w:style w:type="character" w:customStyle="1" w:styleId="FooterChar">
    <w:name w:val="Footer Char"/>
    <w:basedOn w:val="DefaultParagraphFont"/>
    <w:link w:val="Footer"/>
    <w:uiPriority w:val="99"/>
    <w:rsid w:val="0072786E"/>
  </w:style>
  <w:style w:type="character" w:styleId="PageNumber">
    <w:name w:val="page number"/>
    <w:basedOn w:val="DefaultParagraphFont"/>
    <w:uiPriority w:val="99"/>
    <w:semiHidden/>
    <w:unhideWhenUsed/>
    <w:rsid w:val="0072786E"/>
  </w:style>
  <w:style w:type="paragraph" w:styleId="Header">
    <w:name w:val="header"/>
    <w:basedOn w:val="Normal"/>
    <w:link w:val="HeaderChar"/>
    <w:uiPriority w:val="99"/>
    <w:unhideWhenUsed/>
    <w:rsid w:val="00573815"/>
    <w:pPr>
      <w:tabs>
        <w:tab w:val="center" w:pos="4320"/>
        <w:tab w:val="right" w:pos="8640"/>
      </w:tabs>
      <w:spacing w:after="0"/>
    </w:pPr>
  </w:style>
  <w:style w:type="character" w:customStyle="1" w:styleId="HeaderChar">
    <w:name w:val="Header Char"/>
    <w:basedOn w:val="DefaultParagraphFont"/>
    <w:link w:val="Header"/>
    <w:uiPriority w:val="99"/>
    <w:rsid w:val="00573815"/>
  </w:style>
  <w:style w:type="table" w:styleId="TableGrid">
    <w:name w:val="Table Grid"/>
    <w:basedOn w:val="TableNormal"/>
    <w:uiPriority w:val="1"/>
    <w:rsid w:val="00573815"/>
    <w:pPr>
      <w:spacing w:after="0"/>
    </w:pPr>
    <w:rPr>
      <w:rFonts w:eastAsiaTheme="minorEastAsia"/>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642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93"/>
    <w:rPr>
      <w:rFonts w:ascii="Tahoma" w:hAnsi="Tahoma" w:cs="Tahoma"/>
      <w:sz w:val="16"/>
      <w:szCs w:val="16"/>
    </w:rPr>
  </w:style>
  <w:style w:type="character" w:customStyle="1" w:styleId="Heading2Char">
    <w:name w:val="Heading 2 Char"/>
    <w:basedOn w:val="DefaultParagraphFont"/>
    <w:link w:val="Heading2"/>
    <w:uiPriority w:val="9"/>
    <w:rsid w:val="00B64293"/>
    <w:rPr>
      <w:rFonts w:asciiTheme="majorHAnsi" w:eastAsiaTheme="majorEastAsia"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4701">
      <w:bodyDiv w:val="1"/>
      <w:marLeft w:val="0"/>
      <w:marRight w:val="0"/>
      <w:marTop w:val="0"/>
      <w:marBottom w:val="0"/>
      <w:divBdr>
        <w:top w:val="none" w:sz="0" w:space="0" w:color="auto"/>
        <w:left w:val="none" w:sz="0" w:space="0" w:color="auto"/>
        <w:bottom w:val="none" w:sz="0" w:space="0" w:color="auto"/>
        <w:right w:val="none" w:sz="0" w:space="0" w:color="auto"/>
      </w:divBdr>
    </w:div>
    <w:div w:id="363530108">
      <w:bodyDiv w:val="1"/>
      <w:marLeft w:val="0"/>
      <w:marRight w:val="0"/>
      <w:marTop w:val="0"/>
      <w:marBottom w:val="0"/>
      <w:divBdr>
        <w:top w:val="none" w:sz="0" w:space="0" w:color="auto"/>
        <w:left w:val="none" w:sz="0" w:space="0" w:color="auto"/>
        <w:bottom w:val="none" w:sz="0" w:space="0" w:color="auto"/>
        <w:right w:val="none" w:sz="0" w:space="0" w:color="auto"/>
      </w:divBdr>
    </w:div>
    <w:div w:id="418522700">
      <w:bodyDiv w:val="1"/>
      <w:marLeft w:val="0"/>
      <w:marRight w:val="0"/>
      <w:marTop w:val="0"/>
      <w:marBottom w:val="0"/>
      <w:divBdr>
        <w:top w:val="none" w:sz="0" w:space="0" w:color="auto"/>
        <w:left w:val="none" w:sz="0" w:space="0" w:color="auto"/>
        <w:bottom w:val="none" w:sz="0" w:space="0" w:color="auto"/>
        <w:right w:val="none" w:sz="0" w:space="0" w:color="auto"/>
      </w:divBdr>
    </w:div>
    <w:div w:id="459110778">
      <w:bodyDiv w:val="1"/>
      <w:marLeft w:val="0"/>
      <w:marRight w:val="0"/>
      <w:marTop w:val="0"/>
      <w:marBottom w:val="0"/>
      <w:divBdr>
        <w:top w:val="none" w:sz="0" w:space="0" w:color="auto"/>
        <w:left w:val="none" w:sz="0" w:space="0" w:color="auto"/>
        <w:bottom w:val="none" w:sz="0" w:space="0" w:color="auto"/>
        <w:right w:val="none" w:sz="0" w:space="0" w:color="auto"/>
      </w:divBdr>
    </w:div>
    <w:div w:id="716322964">
      <w:bodyDiv w:val="1"/>
      <w:marLeft w:val="0"/>
      <w:marRight w:val="0"/>
      <w:marTop w:val="0"/>
      <w:marBottom w:val="0"/>
      <w:divBdr>
        <w:top w:val="none" w:sz="0" w:space="0" w:color="auto"/>
        <w:left w:val="none" w:sz="0" w:space="0" w:color="auto"/>
        <w:bottom w:val="none" w:sz="0" w:space="0" w:color="auto"/>
        <w:right w:val="none" w:sz="0" w:space="0" w:color="auto"/>
      </w:divBdr>
      <w:divsChild>
        <w:div w:id="80427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219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939735">
      <w:bodyDiv w:val="1"/>
      <w:marLeft w:val="0"/>
      <w:marRight w:val="0"/>
      <w:marTop w:val="0"/>
      <w:marBottom w:val="0"/>
      <w:divBdr>
        <w:top w:val="none" w:sz="0" w:space="0" w:color="auto"/>
        <w:left w:val="none" w:sz="0" w:space="0" w:color="auto"/>
        <w:bottom w:val="none" w:sz="0" w:space="0" w:color="auto"/>
        <w:right w:val="none" w:sz="0" w:space="0" w:color="auto"/>
      </w:divBdr>
    </w:div>
    <w:div w:id="792528064">
      <w:bodyDiv w:val="1"/>
      <w:marLeft w:val="0"/>
      <w:marRight w:val="0"/>
      <w:marTop w:val="0"/>
      <w:marBottom w:val="0"/>
      <w:divBdr>
        <w:top w:val="none" w:sz="0" w:space="0" w:color="auto"/>
        <w:left w:val="none" w:sz="0" w:space="0" w:color="auto"/>
        <w:bottom w:val="none" w:sz="0" w:space="0" w:color="auto"/>
        <w:right w:val="none" w:sz="0" w:space="0" w:color="auto"/>
      </w:divBdr>
    </w:div>
    <w:div w:id="1092775443">
      <w:bodyDiv w:val="1"/>
      <w:marLeft w:val="0"/>
      <w:marRight w:val="0"/>
      <w:marTop w:val="0"/>
      <w:marBottom w:val="0"/>
      <w:divBdr>
        <w:top w:val="none" w:sz="0" w:space="0" w:color="auto"/>
        <w:left w:val="none" w:sz="0" w:space="0" w:color="auto"/>
        <w:bottom w:val="none" w:sz="0" w:space="0" w:color="auto"/>
        <w:right w:val="none" w:sz="0" w:space="0" w:color="auto"/>
      </w:divBdr>
    </w:div>
    <w:div w:id="1193349580">
      <w:bodyDiv w:val="1"/>
      <w:marLeft w:val="0"/>
      <w:marRight w:val="0"/>
      <w:marTop w:val="0"/>
      <w:marBottom w:val="0"/>
      <w:divBdr>
        <w:top w:val="none" w:sz="0" w:space="0" w:color="auto"/>
        <w:left w:val="none" w:sz="0" w:space="0" w:color="auto"/>
        <w:bottom w:val="none" w:sz="0" w:space="0" w:color="auto"/>
        <w:right w:val="none" w:sz="0" w:space="0" w:color="auto"/>
      </w:divBdr>
    </w:div>
    <w:div w:id="1217547842">
      <w:bodyDiv w:val="1"/>
      <w:marLeft w:val="0"/>
      <w:marRight w:val="0"/>
      <w:marTop w:val="0"/>
      <w:marBottom w:val="0"/>
      <w:divBdr>
        <w:top w:val="none" w:sz="0" w:space="0" w:color="auto"/>
        <w:left w:val="none" w:sz="0" w:space="0" w:color="auto"/>
        <w:bottom w:val="none" w:sz="0" w:space="0" w:color="auto"/>
        <w:right w:val="none" w:sz="0" w:space="0" w:color="auto"/>
      </w:divBdr>
    </w:div>
    <w:div w:id="1230772590">
      <w:bodyDiv w:val="1"/>
      <w:marLeft w:val="0"/>
      <w:marRight w:val="0"/>
      <w:marTop w:val="0"/>
      <w:marBottom w:val="0"/>
      <w:divBdr>
        <w:top w:val="none" w:sz="0" w:space="0" w:color="auto"/>
        <w:left w:val="none" w:sz="0" w:space="0" w:color="auto"/>
        <w:bottom w:val="none" w:sz="0" w:space="0" w:color="auto"/>
        <w:right w:val="none" w:sz="0" w:space="0" w:color="auto"/>
      </w:divBdr>
    </w:div>
    <w:div w:id="1396389775">
      <w:bodyDiv w:val="1"/>
      <w:marLeft w:val="0"/>
      <w:marRight w:val="0"/>
      <w:marTop w:val="0"/>
      <w:marBottom w:val="0"/>
      <w:divBdr>
        <w:top w:val="none" w:sz="0" w:space="0" w:color="auto"/>
        <w:left w:val="none" w:sz="0" w:space="0" w:color="auto"/>
        <w:bottom w:val="none" w:sz="0" w:space="0" w:color="auto"/>
        <w:right w:val="none" w:sz="0" w:space="0" w:color="auto"/>
      </w:divBdr>
    </w:div>
    <w:div w:id="1649701505">
      <w:bodyDiv w:val="1"/>
      <w:marLeft w:val="0"/>
      <w:marRight w:val="0"/>
      <w:marTop w:val="0"/>
      <w:marBottom w:val="0"/>
      <w:divBdr>
        <w:top w:val="none" w:sz="0" w:space="0" w:color="auto"/>
        <w:left w:val="none" w:sz="0" w:space="0" w:color="auto"/>
        <w:bottom w:val="none" w:sz="0" w:space="0" w:color="auto"/>
        <w:right w:val="none" w:sz="0" w:space="0" w:color="auto"/>
      </w:divBdr>
      <w:divsChild>
        <w:div w:id="73408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809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01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788426">
      <w:bodyDiv w:val="1"/>
      <w:marLeft w:val="0"/>
      <w:marRight w:val="0"/>
      <w:marTop w:val="0"/>
      <w:marBottom w:val="0"/>
      <w:divBdr>
        <w:top w:val="none" w:sz="0" w:space="0" w:color="auto"/>
        <w:left w:val="none" w:sz="0" w:space="0" w:color="auto"/>
        <w:bottom w:val="none" w:sz="0" w:space="0" w:color="auto"/>
        <w:right w:val="none" w:sz="0" w:space="0" w:color="auto"/>
      </w:divBdr>
    </w:div>
    <w:div w:id="190633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E1967644774B4A9AFAF0DFAF298590"/>
        <w:category>
          <w:name w:val="General"/>
          <w:gallery w:val="placeholder"/>
        </w:category>
        <w:types>
          <w:type w:val="bbPlcHdr"/>
        </w:types>
        <w:behaviors>
          <w:behavior w:val="content"/>
        </w:behaviors>
        <w:guid w:val="{67992619-4CF9-6346-B88C-83504E1ACB6E}"/>
      </w:docPartPr>
      <w:docPartBody>
        <w:p w:rsidR="00FE5F2F" w:rsidRDefault="00FE5F2F" w:rsidP="00FE5F2F">
          <w:pPr>
            <w:pStyle w:val="4DE1967644774B4A9AFAF0DFAF298590"/>
          </w:pPr>
          <w:r>
            <w:t>[Type the company name]</w:t>
          </w:r>
        </w:p>
      </w:docPartBody>
    </w:docPart>
    <w:docPart>
      <w:docPartPr>
        <w:name w:val="BFE8824D8DBFCE44BE8F12267F20CA16"/>
        <w:category>
          <w:name w:val="General"/>
          <w:gallery w:val="placeholder"/>
        </w:category>
        <w:types>
          <w:type w:val="bbPlcHdr"/>
        </w:types>
        <w:behaviors>
          <w:behavior w:val="content"/>
        </w:behaviors>
        <w:guid w:val="{E576E658-A1EB-9A44-900D-5CC113C0916E}"/>
      </w:docPartPr>
      <w:docPartBody>
        <w:p w:rsidR="00FE5F2F" w:rsidRDefault="00FE5F2F" w:rsidP="00FE5F2F">
          <w:pPr>
            <w:pStyle w:val="BFE8824D8DBFCE44BE8F12267F20CA1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revisionView w:markup="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FE5F2F"/>
    <w:rsid w:val="00056278"/>
    <w:rsid w:val="00182B6B"/>
    <w:rsid w:val="005E493D"/>
    <w:rsid w:val="00FE5F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1967644774B4A9AFAF0DFAF298590">
    <w:name w:val="4DE1967644774B4A9AFAF0DFAF298590"/>
    <w:rsid w:val="00FE5F2F"/>
  </w:style>
  <w:style w:type="paragraph" w:customStyle="1" w:styleId="BFE8824D8DBFCE44BE8F12267F20CA16">
    <w:name w:val="BFE8824D8DBFCE44BE8F12267F20CA16"/>
    <w:rsid w:val="00FE5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Disability Justice Project</vt:lpstr>
    </vt:vector>
  </TitlesOfParts>
  <Company>Inclusion London</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Justice Project</dc:title>
  <dc:creator>Sveta</dc:creator>
  <cp:lastModifiedBy>Alice.Haworth-Booth</cp:lastModifiedBy>
  <cp:revision>3</cp:revision>
  <cp:lastPrinted>2017-03-06T11:47:00Z</cp:lastPrinted>
  <dcterms:created xsi:type="dcterms:W3CDTF">2017-03-14T16:54:00Z</dcterms:created>
  <dcterms:modified xsi:type="dcterms:W3CDTF">2017-03-23T13:02:00Z</dcterms:modified>
</cp:coreProperties>
</file>