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217" w:rsidRDefault="00DC7217"/>
    <w:tbl>
      <w:tblPr>
        <w:tblpPr w:leftFromText="180" w:rightFromText="180" w:vertAnchor="text" w:horzAnchor="page" w:tblpX="960"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4"/>
        <w:gridCol w:w="3998"/>
      </w:tblGrid>
      <w:tr w:rsidR="00D661F1" w:rsidRPr="004369D7" w:rsidTr="00F318C6">
        <w:trPr>
          <w:trHeight w:val="709"/>
        </w:trPr>
        <w:tc>
          <w:tcPr>
            <w:tcW w:w="6384" w:type="dxa"/>
            <w:shd w:val="clear" w:color="auto" w:fill="auto"/>
          </w:tcPr>
          <w:p w:rsidR="00D661F1" w:rsidRPr="009B7175" w:rsidRDefault="006011BE" w:rsidP="006011BE">
            <w:pPr>
              <w:spacing w:after="0" w:line="240" w:lineRule="auto"/>
              <w:rPr>
                <w:rFonts w:ascii="Arial" w:hAnsi="Arial" w:cs="Arial"/>
                <w:b/>
                <w:sz w:val="24"/>
                <w:szCs w:val="24"/>
              </w:rPr>
            </w:pPr>
            <w:r>
              <w:rPr>
                <w:rFonts w:ascii="Arial" w:hAnsi="Arial" w:cs="Arial"/>
                <w:b/>
                <w:sz w:val="24"/>
                <w:szCs w:val="24"/>
              </w:rPr>
              <w:t xml:space="preserve">Supplementary </w:t>
            </w:r>
            <w:r w:rsidR="00413B7F">
              <w:rPr>
                <w:rFonts w:ascii="Arial" w:hAnsi="Arial" w:cs="Arial"/>
                <w:b/>
                <w:sz w:val="24"/>
                <w:szCs w:val="24"/>
              </w:rPr>
              <w:t xml:space="preserve">Written </w:t>
            </w:r>
            <w:r>
              <w:rPr>
                <w:rFonts w:ascii="Arial" w:hAnsi="Arial" w:cs="Arial"/>
                <w:b/>
                <w:sz w:val="24"/>
                <w:szCs w:val="24"/>
              </w:rPr>
              <w:t xml:space="preserve">Evidence - </w:t>
            </w:r>
            <w:r w:rsidR="00DC7217">
              <w:rPr>
                <w:rFonts w:ascii="Arial" w:hAnsi="Arial" w:cs="Arial"/>
                <w:b/>
                <w:sz w:val="24"/>
                <w:szCs w:val="24"/>
              </w:rPr>
              <w:t xml:space="preserve"> Disab</w:t>
            </w:r>
            <w:r w:rsidR="00413B7F">
              <w:rPr>
                <w:rFonts w:ascii="Arial" w:hAnsi="Arial" w:cs="Arial"/>
                <w:b/>
                <w:sz w:val="24"/>
                <w:szCs w:val="24"/>
              </w:rPr>
              <w:t>ility and the Built Environment inquiry – Women and Equalities Committee</w:t>
            </w:r>
          </w:p>
        </w:tc>
        <w:tc>
          <w:tcPr>
            <w:tcW w:w="3998" w:type="dxa"/>
            <w:shd w:val="clear" w:color="auto" w:fill="auto"/>
          </w:tcPr>
          <w:p w:rsidR="00D661F1" w:rsidRPr="004369D7" w:rsidRDefault="00413B7F" w:rsidP="005E103F">
            <w:pPr>
              <w:spacing w:after="0" w:line="240" w:lineRule="auto"/>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7728" behindDoc="1" locked="0" layoutInCell="1" allowOverlap="1" wp14:anchorId="71E60110">
                  <wp:simplePos x="0" y="0"/>
                  <wp:positionH relativeFrom="column">
                    <wp:posOffset>662940</wp:posOffset>
                  </wp:positionH>
                  <wp:positionV relativeFrom="paragraph">
                    <wp:posOffset>-281305</wp:posOffset>
                  </wp:positionV>
                  <wp:extent cx="1151255" cy="502920"/>
                  <wp:effectExtent l="0" t="0" r="0" b="0"/>
                  <wp:wrapTight wrapText="bothSides">
                    <wp:wrapPolygon edited="0">
                      <wp:start x="715" y="0"/>
                      <wp:lineTo x="0" y="1636"/>
                      <wp:lineTo x="0" y="18000"/>
                      <wp:lineTo x="1072" y="20455"/>
                      <wp:lineTo x="21088" y="20455"/>
                      <wp:lineTo x="21088" y="0"/>
                      <wp:lineTo x="71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255" cy="502920"/>
                          </a:xfrm>
                          <a:prstGeom prst="rect">
                            <a:avLst/>
                          </a:prstGeom>
                          <a:noFill/>
                        </pic:spPr>
                      </pic:pic>
                    </a:graphicData>
                  </a:graphic>
                  <wp14:sizeRelH relativeFrom="page">
                    <wp14:pctWidth>0</wp14:pctWidth>
                  </wp14:sizeRelH>
                  <wp14:sizeRelV relativeFrom="page">
                    <wp14:pctHeight>0</wp14:pctHeight>
                  </wp14:sizeRelV>
                </wp:anchor>
              </w:drawing>
            </w:r>
          </w:p>
        </w:tc>
      </w:tr>
    </w:tbl>
    <w:p w:rsidR="00F64D99" w:rsidRPr="004369D7" w:rsidRDefault="00F64D99" w:rsidP="006A40E7">
      <w:pPr>
        <w:spacing w:after="0" w:line="240" w:lineRule="auto"/>
        <w:rPr>
          <w:rFonts w:ascii="Arial" w:hAnsi="Arial" w:cs="Arial"/>
          <w:b/>
          <w:sz w:val="24"/>
          <w:szCs w:val="24"/>
          <w:u w:val="single"/>
        </w:rPr>
      </w:pPr>
    </w:p>
    <w:p w:rsidR="00370958" w:rsidRPr="004369D7" w:rsidRDefault="006011BE" w:rsidP="006A40E7">
      <w:pPr>
        <w:spacing w:after="0" w:line="240" w:lineRule="auto"/>
        <w:rPr>
          <w:rFonts w:ascii="Arial" w:hAnsi="Arial" w:cs="Arial"/>
          <w:b/>
          <w:sz w:val="24"/>
          <w:szCs w:val="24"/>
          <w:u w:val="single"/>
        </w:rPr>
      </w:pPr>
      <w:r>
        <w:rPr>
          <w:rFonts w:ascii="Arial" w:hAnsi="Arial" w:cs="Arial"/>
          <w:b/>
          <w:sz w:val="24"/>
          <w:szCs w:val="24"/>
          <w:u w:val="single"/>
        </w:rPr>
        <w:t>National Planning Policy and Accessible Housing</w:t>
      </w:r>
    </w:p>
    <w:p w:rsidR="006011BE" w:rsidRPr="006011BE" w:rsidRDefault="006011BE" w:rsidP="006011BE">
      <w:pPr>
        <w:spacing w:after="0" w:line="240" w:lineRule="auto"/>
        <w:rPr>
          <w:rFonts w:ascii="Arial" w:hAnsi="Arial" w:cs="Arial"/>
          <w:b/>
          <w:sz w:val="24"/>
          <w:szCs w:val="24"/>
        </w:rPr>
      </w:pPr>
      <w:r w:rsidRPr="006011BE">
        <w:rPr>
          <w:rFonts w:ascii="Arial" w:hAnsi="Arial" w:cs="Arial"/>
          <w:b/>
          <w:sz w:val="24"/>
          <w:szCs w:val="24"/>
        </w:rPr>
        <w:t>Key Points</w:t>
      </w:r>
      <w:bookmarkStart w:id="0" w:name="_GoBack"/>
      <w:bookmarkEnd w:id="0"/>
    </w:p>
    <w:p w:rsidR="006011BE" w:rsidRPr="006011BE" w:rsidRDefault="006011BE" w:rsidP="002D4278">
      <w:pPr>
        <w:pStyle w:val="ListParagraph"/>
        <w:numPr>
          <w:ilvl w:val="0"/>
          <w:numId w:val="24"/>
        </w:numPr>
        <w:spacing w:after="0" w:line="240" w:lineRule="auto"/>
        <w:ind w:left="567" w:hanging="567"/>
        <w:rPr>
          <w:rFonts w:ascii="Arial" w:hAnsi="Arial" w:cs="Arial"/>
          <w:sz w:val="24"/>
          <w:szCs w:val="24"/>
        </w:rPr>
      </w:pPr>
      <w:r w:rsidRPr="006011BE">
        <w:rPr>
          <w:rFonts w:ascii="Arial" w:hAnsi="Arial" w:cs="Arial"/>
          <w:sz w:val="24"/>
          <w:szCs w:val="24"/>
        </w:rPr>
        <w:t>Research has shown an urgent need for accessible housing</w:t>
      </w:r>
    </w:p>
    <w:p w:rsidR="006011BE" w:rsidRPr="006011BE" w:rsidRDefault="006011BE" w:rsidP="002D4278">
      <w:pPr>
        <w:pStyle w:val="ListParagraph"/>
        <w:numPr>
          <w:ilvl w:val="0"/>
          <w:numId w:val="24"/>
        </w:numPr>
        <w:spacing w:after="0" w:line="240" w:lineRule="auto"/>
        <w:ind w:left="567" w:hanging="567"/>
        <w:rPr>
          <w:rFonts w:ascii="Arial" w:hAnsi="Arial" w:cs="Arial"/>
          <w:sz w:val="24"/>
          <w:szCs w:val="24"/>
        </w:rPr>
      </w:pPr>
      <w:r w:rsidRPr="006011BE">
        <w:rPr>
          <w:rFonts w:ascii="Arial" w:hAnsi="Arial" w:cs="Arial"/>
          <w:sz w:val="24"/>
          <w:szCs w:val="24"/>
        </w:rPr>
        <w:t>The National Planning Policy Framework leaves it to the discretion of local planning authorities to determine the extent of wheelchair accessible or wheelchair adaptable properties in their local area</w:t>
      </w:r>
    </w:p>
    <w:p w:rsidR="006011BE" w:rsidRPr="006011BE" w:rsidRDefault="006011BE" w:rsidP="002D4278">
      <w:pPr>
        <w:pStyle w:val="ListParagraph"/>
        <w:numPr>
          <w:ilvl w:val="0"/>
          <w:numId w:val="24"/>
        </w:numPr>
        <w:spacing w:after="0" w:line="240" w:lineRule="auto"/>
        <w:ind w:left="567" w:hanging="567"/>
        <w:rPr>
          <w:rFonts w:ascii="Arial" w:hAnsi="Arial" w:cs="Arial"/>
          <w:b/>
          <w:sz w:val="24"/>
          <w:szCs w:val="24"/>
        </w:rPr>
      </w:pPr>
      <w:r w:rsidRPr="006011BE">
        <w:rPr>
          <w:rFonts w:ascii="Arial" w:hAnsi="Arial" w:cs="Arial"/>
          <w:sz w:val="24"/>
          <w:szCs w:val="24"/>
        </w:rPr>
        <w:t xml:space="preserve">The London Plan requires </w:t>
      </w:r>
      <w:r w:rsidRPr="006011BE">
        <w:rPr>
          <w:rFonts w:ascii="Arial" w:hAnsi="Arial" w:cs="Arial"/>
          <w:b/>
          <w:sz w:val="24"/>
          <w:szCs w:val="24"/>
        </w:rPr>
        <w:t>that 90% of new homes are built to Requirement M4(2)</w:t>
      </w:r>
      <w:r w:rsidRPr="006011BE">
        <w:rPr>
          <w:rFonts w:ascii="Arial" w:hAnsi="Arial" w:cs="Arial"/>
          <w:sz w:val="24"/>
          <w:szCs w:val="24"/>
        </w:rPr>
        <w:t xml:space="preserve"> – which replaced the Lifetime Homes standard – and that </w:t>
      </w:r>
      <w:r w:rsidRPr="006011BE">
        <w:rPr>
          <w:rFonts w:ascii="Arial" w:hAnsi="Arial" w:cs="Arial"/>
          <w:b/>
          <w:sz w:val="24"/>
          <w:szCs w:val="24"/>
        </w:rPr>
        <w:t>10% are built to Requirement M4(3) to be wheelchair accessible.</w:t>
      </w:r>
    </w:p>
    <w:p w:rsidR="006011BE" w:rsidRPr="006011BE" w:rsidRDefault="006011BE" w:rsidP="002D4278">
      <w:pPr>
        <w:pStyle w:val="ListParagraph"/>
        <w:numPr>
          <w:ilvl w:val="0"/>
          <w:numId w:val="24"/>
        </w:numPr>
        <w:spacing w:after="0" w:line="240" w:lineRule="auto"/>
        <w:ind w:left="567" w:hanging="567"/>
        <w:rPr>
          <w:rFonts w:ascii="Arial" w:hAnsi="Arial" w:cs="Arial"/>
          <w:b/>
          <w:sz w:val="24"/>
          <w:szCs w:val="24"/>
        </w:rPr>
      </w:pPr>
      <w:r w:rsidRPr="006011BE">
        <w:rPr>
          <w:rFonts w:ascii="Arial" w:hAnsi="Arial" w:cs="Arial"/>
          <w:b/>
          <w:sz w:val="24"/>
          <w:szCs w:val="24"/>
        </w:rPr>
        <w:t>Inclusion London calls for all local authorities to be required to follow these targets</w:t>
      </w:r>
    </w:p>
    <w:p w:rsidR="006011BE" w:rsidRPr="006011BE" w:rsidRDefault="006011BE" w:rsidP="002D4278">
      <w:pPr>
        <w:pStyle w:val="ListParagraph"/>
        <w:numPr>
          <w:ilvl w:val="0"/>
          <w:numId w:val="24"/>
        </w:numPr>
        <w:spacing w:after="0" w:line="240" w:lineRule="auto"/>
        <w:ind w:left="567" w:hanging="567"/>
        <w:rPr>
          <w:rFonts w:ascii="Arial" w:hAnsi="Arial" w:cs="Arial"/>
          <w:sz w:val="24"/>
          <w:szCs w:val="24"/>
        </w:rPr>
      </w:pPr>
      <w:r w:rsidRPr="006011BE">
        <w:rPr>
          <w:rFonts w:ascii="Arial" w:hAnsi="Arial" w:cs="Arial"/>
          <w:sz w:val="24"/>
          <w:szCs w:val="24"/>
        </w:rPr>
        <w:t>The creation of more accessible housing needs to be targeted where there is most need. This is in the social housing sector and truly affordable housing.</w:t>
      </w:r>
    </w:p>
    <w:p w:rsidR="00137F04" w:rsidRPr="002D4278" w:rsidRDefault="00137F04" w:rsidP="00137F04">
      <w:pPr>
        <w:spacing w:after="0" w:line="240" w:lineRule="auto"/>
        <w:ind w:left="360"/>
        <w:rPr>
          <w:rFonts w:ascii="Arial" w:hAnsi="Arial" w:cs="Arial"/>
          <w:sz w:val="24"/>
          <w:szCs w:val="24"/>
        </w:rPr>
      </w:pPr>
    </w:p>
    <w:p w:rsidR="00137F04" w:rsidRPr="002D4278" w:rsidRDefault="002D4278" w:rsidP="00137F04">
      <w:pPr>
        <w:spacing w:after="0" w:line="240" w:lineRule="auto"/>
        <w:rPr>
          <w:rFonts w:ascii="Arial" w:hAnsi="Arial" w:cs="Arial"/>
          <w:b/>
          <w:sz w:val="24"/>
          <w:szCs w:val="24"/>
        </w:rPr>
      </w:pPr>
      <w:r w:rsidRPr="002D4278">
        <w:rPr>
          <w:rFonts w:ascii="Arial" w:hAnsi="Arial" w:cs="Arial"/>
          <w:b/>
          <w:sz w:val="24"/>
          <w:szCs w:val="24"/>
        </w:rPr>
        <w:t>London Plan</w:t>
      </w:r>
    </w:p>
    <w:p w:rsidR="00137F04" w:rsidRDefault="002D4278" w:rsidP="002D4278">
      <w:pPr>
        <w:spacing w:after="0" w:line="240" w:lineRule="auto"/>
        <w:rPr>
          <w:rFonts w:ascii="Arial" w:hAnsi="Arial" w:cs="Arial"/>
          <w:sz w:val="24"/>
          <w:szCs w:val="24"/>
        </w:rPr>
      </w:pPr>
      <w:r w:rsidRPr="002D4278">
        <w:rPr>
          <w:rFonts w:ascii="Arial" w:hAnsi="Arial" w:cs="Arial"/>
          <w:sz w:val="24"/>
          <w:szCs w:val="24"/>
        </w:rPr>
        <w:t>The new optional Building Regulations cam</w:t>
      </w:r>
      <w:r>
        <w:rPr>
          <w:rFonts w:ascii="Arial" w:hAnsi="Arial" w:cs="Arial"/>
          <w:sz w:val="24"/>
          <w:szCs w:val="24"/>
        </w:rPr>
        <w:t xml:space="preserve">e ‘into force’ in October 2015. </w:t>
      </w:r>
      <w:r w:rsidRPr="002D4278">
        <w:rPr>
          <w:rFonts w:ascii="Arial" w:hAnsi="Arial" w:cs="Arial"/>
          <w:sz w:val="24"/>
          <w:szCs w:val="24"/>
        </w:rPr>
        <w:t>Very few local planning authorities have introduced policy to require the optional accessible housing standards.</w:t>
      </w:r>
      <w:r>
        <w:rPr>
          <w:rFonts w:ascii="Arial" w:hAnsi="Arial" w:cs="Arial"/>
          <w:sz w:val="24"/>
          <w:szCs w:val="24"/>
        </w:rPr>
        <w:t xml:space="preserve"> However, the </w:t>
      </w:r>
      <w:r w:rsidRPr="002D4278">
        <w:rPr>
          <w:rFonts w:ascii="Arial" w:hAnsi="Arial" w:cs="Arial"/>
          <w:sz w:val="24"/>
          <w:szCs w:val="24"/>
        </w:rPr>
        <w:t xml:space="preserve">Greater London Authority led the way in terms of amending existing planning policy (the London Plan), to incorporate the new optional technical standards. Their altered London Plan policy requires 90% of all new build housing to be built to the new optional building regulation standard M4(2) accessible and adaptable dwellings, and 10% to be built to be wheelchair accessible or </w:t>
      </w:r>
      <w:r>
        <w:rPr>
          <w:rFonts w:ascii="Arial" w:hAnsi="Arial" w:cs="Arial"/>
          <w:sz w:val="24"/>
          <w:szCs w:val="24"/>
        </w:rPr>
        <w:t>wheelchair adaptable dwellings.</w:t>
      </w:r>
      <w:r w:rsidRPr="002D4278">
        <w:rPr>
          <w:rFonts w:ascii="Arial" w:hAnsi="Arial" w:cs="Arial"/>
          <w:sz w:val="24"/>
          <w:szCs w:val="24"/>
        </w:rPr>
        <w:t>The Secretary of State has signed off the Mayor of London’s proposed alterations to the London Plan subject to monitoring, and they have been approved and passed by the London Assembly (February 2016).</w:t>
      </w:r>
    </w:p>
    <w:p w:rsidR="002D4278" w:rsidRDefault="002D4278" w:rsidP="002D4278">
      <w:pPr>
        <w:spacing w:after="0" w:line="240" w:lineRule="auto"/>
        <w:rPr>
          <w:rFonts w:ascii="Arial" w:hAnsi="Arial" w:cs="Arial"/>
          <w:sz w:val="24"/>
          <w:szCs w:val="24"/>
        </w:rPr>
      </w:pPr>
    </w:p>
    <w:p w:rsidR="002D4278" w:rsidRDefault="002D4278" w:rsidP="00A9619E">
      <w:pPr>
        <w:spacing w:after="0" w:line="240" w:lineRule="auto"/>
        <w:rPr>
          <w:rFonts w:asciiTheme="minorHAnsi" w:eastAsiaTheme="minorHAnsi" w:hAnsiTheme="minorHAnsi" w:cstheme="minorBidi"/>
          <w:b/>
          <w:sz w:val="28"/>
          <w:szCs w:val="28"/>
        </w:rPr>
      </w:pPr>
      <w:r w:rsidRPr="002D4278">
        <w:rPr>
          <w:rFonts w:asciiTheme="minorHAnsi" w:eastAsiaTheme="minorHAnsi" w:hAnsiTheme="minorHAnsi" w:cstheme="minorBidi"/>
          <w:b/>
          <w:sz w:val="28"/>
          <w:szCs w:val="28"/>
        </w:rPr>
        <w:t>Equality Act 2010 and disability report</w:t>
      </w:r>
    </w:p>
    <w:p w:rsidR="002D4278" w:rsidRPr="002D4278" w:rsidRDefault="002D4278" w:rsidP="00A9619E">
      <w:pPr>
        <w:spacing w:after="0" w:line="240" w:lineRule="auto"/>
        <w:rPr>
          <w:rFonts w:ascii="Arial" w:hAnsi="Arial" w:cs="Arial"/>
          <w:color w:val="281E1E"/>
          <w:sz w:val="24"/>
          <w:szCs w:val="24"/>
        </w:rPr>
      </w:pPr>
      <w:r w:rsidRPr="002D4278">
        <w:rPr>
          <w:rFonts w:ascii="Arial" w:hAnsi="Arial" w:cs="Arial"/>
          <w:color w:val="281E1E"/>
          <w:sz w:val="24"/>
          <w:szCs w:val="24"/>
        </w:rPr>
        <w:t>The House of Lords select committee on the Equality Act 2010 and Disability report recommended that all local authorities should follow London’s example. Recommendation 51 reads:</w:t>
      </w:r>
    </w:p>
    <w:p w:rsidR="002D4278" w:rsidRPr="002D4278" w:rsidRDefault="002D4278" w:rsidP="00A9619E">
      <w:pPr>
        <w:spacing w:after="0" w:line="240" w:lineRule="auto"/>
        <w:jc w:val="center"/>
        <w:rPr>
          <w:rFonts w:ascii="Arial" w:hAnsi="Arial" w:cs="Arial"/>
          <w:color w:val="281E1E"/>
          <w:sz w:val="24"/>
          <w:szCs w:val="24"/>
        </w:rPr>
      </w:pPr>
      <w:r w:rsidRPr="002D4278">
        <w:rPr>
          <w:rFonts w:ascii="Arial" w:hAnsi="Arial" w:cs="Arial"/>
          <w:color w:val="281E1E"/>
          <w:sz w:val="24"/>
          <w:szCs w:val="24"/>
        </w:rPr>
        <w:t>We believe that other local authorities should follow the example of London and revise their planning policy to require a significant proportion of new dwellings to be wheelchair accessible or wheelchair adaptable (standard M4(3)), and all other new dwellings to comply with optional standard M4(2). (Paragraph 496)</w:t>
      </w:r>
    </w:p>
    <w:p w:rsidR="002D4278" w:rsidRDefault="002D4278" w:rsidP="00A9619E">
      <w:pPr>
        <w:spacing w:after="0" w:line="240" w:lineRule="auto"/>
        <w:rPr>
          <w:rFonts w:ascii="Arial" w:hAnsi="Arial" w:cs="Arial"/>
          <w:color w:val="281E1E"/>
          <w:sz w:val="24"/>
          <w:szCs w:val="24"/>
        </w:rPr>
      </w:pPr>
    </w:p>
    <w:p w:rsidR="002D4278" w:rsidRPr="002D4278" w:rsidRDefault="002D4278" w:rsidP="00A9619E">
      <w:pPr>
        <w:spacing w:after="0" w:line="240" w:lineRule="auto"/>
        <w:rPr>
          <w:rFonts w:ascii="Arial" w:hAnsi="Arial" w:cs="Arial"/>
          <w:color w:val="281E1E"/>
          <w:sz w:val="24"/>
          <w:szCs w:val="24"/>
        </w:rPr>
      </w:pPr>
      <w:r w:rsidRPr="002D4278">
        <w:rPr>
          <w:rFonts w:ascii="Arial" w:hAnsi="Arial" w:cs="Arial"/>
          <w:color w:val="281E1E"/>
          <w:sz w:val="24"/>
          <w:szCs w:val="24"/>
        </w:rPr>
        <w:t>The government rejected this recommendation in their report. The government response states that:</w:t>
      </w:r>
    </w:p>
    <w:p w:rsidR="002D4278" w:rsidRDefault="002D4278" w:rsidP="00A9619E">
      <w:pPr>
        <w:spacing w:after="0" w:line="240" w:lineRule="auto"/>
        <w:rPr>
          <w:rFonts w:ascii="Arial" w:hAnsi="Arial" w:cs="Arial"/>
          <w:color w:val="281E1E"/>
          <w:sz w:val="24"/>
          <w:szCs w:val="24"/>
        </w:rPr>
      </w:pPr>
      <w:r w:rsidRPr="002D4278">
        <w:rPr>
          <w:rFonts w:ascii="Arial" w:hAnsi="Arial" w:cs="Arial"/>
          <w:color w:val="281E1E"/>
          <w:sz w:val="24"/>
          <w:szCs w:val="24"/>
        </w:rPr>
        <w:t>“Government believes that local planning authorities remain best placed to determine the extent to which provision of more accessible housing is necessary and appropriate in their local area, and have appropriate powers to introduce development plan policies to meet these needs, having regard to the National Planning Policy Framework, Planning Guidance and other relevant matters.”</w:t>
      </w:r>
    </w:p>
    <w:p w:rsidR="00A9619E" w:rsidRPr="002D4278" w:rsidRDefault="00A9619E" w:rsidP="00A9619E">
      <w:pPr>
        <w:spacing w:after="0" w:line="240" w:lineRule="auto"/>
        <w:rPr>
          <w:rFonts w:ascii="Arial" w:hAnsi="Arial" w:cs="Arial"/>
          <w:color w:val="281E1E"/>
          <w:sz w:val="24"/>
          <w:szCs w:val="24"/>
        </w:rPr>
      </w:pPr>
    </w:p>
    <w:p w:rsidR="002D4278" w:rsidRPr="002D4278" w:rsidRDefault="002D4278" w:rsidP="00A9619E">
      <w:pPr>
        <w:spacing w:after="0" w:line="240" w:lineRule="auto"/>
        <w:rPr>
          <w:rFonts w:ascii="Arial" w:hAnsi="Arial" w:cs="Arial"/>
          <w:b/>
          <w:color w:val="281E1E"/>
          <w:sz w:val="24"/>
          <w:szCs w:val="24"/>
        </w:rPr>
      </w:pPr>
      <w:r w:rsidRPr="002D4278">
        <w:rPr>
          <w:rFonts w:ascii="Arial" w:hAnsi="Arial" w:cs="Arial"/>
          <w:b/>
          <w:color w:val="281E1E"/>
          <w:sz w:val="24"/>
          <w:szCs w:val="24"/>
        </w:rPr>
        <w:t>Accessible housing</w:t>
      </w:r>
    </w:p>
    <w:p w:rsidR="002D4278" w:rsidRPr="002D4278" w:rsidRDefault="002D4278" w:rsidP="00A9619E">
      <w:pPr>
        <w:spacing w:after="0" w:line="240" w:lineRule="auto"/>
        <w:rPr>
          <w:rFonts w:ascii="Arial" w:hAnsi="Arial" w:cs="Arial"/>
          <w:color w:val="281E1E"/>
          <w:sz w:val="24"/>
          <w:szCs w:val="24"/>
        </w:rPr>
      </w:pPr>
      <w:r w:rsidRPr="002D4278">
        <w:rPr>
          <w:rFonts w:ascii="Arial" w:hAnsi="Arial" w:cs="Arial"/>
          <w:color w:val="281E1E"/>
          <w:sz w:val="24"/>
          <w:szCs w:val="24"/>
        </w:rPr>
        <w:t xml:space="preserve">The urgent shortage of accessible housing is evidence that local authorities are </w:t>
      </w:r>
      <w:r>
        <w:rPr>
          <w:rFonts w:ascii="Arial" w:hAnsi="Arial" w:cs="Arial"/>
          <w:color w:val="281E1E"/>
          <w:sz w:val="24"/>
          <w:szCs w:val="24"/>
        </w:rPr>
        <w:t xml:space="preserve">clearly </w:t>
      </w:r>
      <w:r w:rsidRPr="002D4278">
        <w:rPr>
          <w:rFonts w:ascii="Arial" w:hAnsi="Arial" w:cs="Arial"/>
          <w:color w:val="281E1E"/>
          <w:sz w:val="24"/>
          <w:szCs w:val="24"/>
        </w:rPr>
        <w:t>not in fact best placed to determine the provision required in their local area</w:t>
      </w:r>
      <w:r w:rsidR="00702146">
        <w:rPr>
          <w:rFonts w:ascii="Arial" w:hAnsi="Arial" w:cs="Arial"/>
          <w:color w:val="281E1E"/>
          <w:sz w:val="24"/>
          <w:szCs w:val="24"/>
        </w:rPr>
        <w:t>:</w:t>
      </w:r>
    </w:p>
    <w:p w:rsidR="002D4278" w:rsidRPr="002D4278" w:rsidRDefault="002D4278" w:rsidP="00A9619E">
      <w:pPr>
        <w:spacing w:after="0" w:line="240" w:lineRule="auto"/>
        <w:rPr>
          <w:rFonts w:ascii="Arial" w:hAnsi="Arial" w:cs="Arial"/>
          <w:color w:val="281E1E"/>
          <w:sz w:val="24"/>
          <w:szCs w:val="24"/>
        </w:rPr>
      </w:pPr>
      <w:r w:rsidRPr="002D4278">
        <w:rPr>
          <w:rFonts w:ascii="Arial" w:hAnsi="Arial" w:cs="Arial"/>
          <w:color w:val="281E1E"/>
          <w:sz w:val="24"/>
          <w:szCs w:val="24"/>
        </w:rPr>
        <w:t>•</w:t>
      </w:r>
      <w:r w:rsidRPr="002D4278">
        <w:rPr>
          <w:rFonts w:ascii="Arial" w:hAnsi="Arial" w:cs="Arial"/>
          <w:color w:val="281E1E"/>
          <w:sz w:val="24"/>
          <w:szCs w:val="24"/>
        </w:rPr>
        <w:tab/>
        <w:t>15% of households with 1 or more disabled person feel their home is not suitable for their need.</w:t>
      </w:r>
    </w:p>
    <w:p w:rsidR="002D4278" w:rsidRPr="002D4278" w:rsidRDefault="002D4278" w:rsidP="00A9619E">
      <w:pPr>
        <w:spacing w:after="0" w:line="240" w:lineRule="auto"/>
        <w:rPr>
          <w:rFonts w:ascii="Arial" w:hAnsi="Arial" w:cs="Arial"/>
          <w:color w:val="281E1E"/>
          <w:sz w:val="24"/>
          <w:szCs w:val="24"/>
        </w:rPr>
      </w:pPr>
      <w:r w:rsidRPr="002D4278">
        <w:rPr>
          <w:rFonts w:ascii="Arial" w:hAnsi="Arial" w:cs="Arial"/>
          <w:color w:val="281E1E"/>
          <w:sz w:val="24"/>
          <w:szCs w:val="24"/>
        </w:rPr>
        <w:t>•</w:t>
      </w:r>
      <w:r w:rsidRPr="002D4278">
        <w:rPr>
          <w:rFonts w:ascii="Arial" w:hAnsi="Arial" w:cs="Arial"/>
          <w:color w:val="281E1E"/>
          <w:sz w:val="24"/>
          <w:szCs w:val="24"/>
        </w:rPr>
        <w:tab/>
        <w:t>The majority of homes in England (84%) do not allow someone using a wheelchair to get to and through the front door without difficulty.</w:t>
      </w:r>
    </w:p>
    <w:p w:rsidR="002D4278" w:rsidRPr="002D4278" w:rsidRDefault="002D4278" w:rsidP="00A9619E">
      <w:pPr>
        <w:spacing w:after="0" w:line="240" w:lineRule="auto"/>
        <w:rPr>
          <w:rFonts w:ascii="Arial" w:hAnsi="Arial" w:cs="Arial"/>
          <w:color w:val="281E1E"/>
          <w:sz w:val="24"/>
          <w:szCs w:val="24"/>
        </w:rPr>
      </w:pPr>
      <w:r w:rsidRPr="002D4278">
        <w:rPr>
          <w:rFonts w:ascii="Arial" w:hAnsi="Arial" w:cs="Arial"/>
          <w:color w:val="281E1E"/>
          <w:sz w:val="24"/>
          <w:szCs w:val="24"/>
        </w:rPr>
        <w:t>•</w:t>
      </w:r>
      <w:r w:rsidRPr="002D4278">
        <w:rPr>
          <w:rFonts w:ascii="Arial" w:hAnsi="Arial" w:cs="Arial"/>
          <w:color w:val="281E1E"/>
          <w:sz w:val="24"/>
          <w:szCs w:val="24"/>
        </w:rPr>
        <w:tab/>
        <w:t>Research by Aspire published in October 2014 found that 23,886 wheelchair users were in urgent need of wheelchair accessible social or affordable housing in England.</w:t>
      </w:r>
    </w:p>
    <w:p w:rsidR="002D4278" w:rsidRPr="002D4278" w:rsidRDefault="002D4278" w:rsidP="00A9619E">
      <w:pPr>
        <w:spacing w:after="0" w:line="240" w:lineRule="auto"/>
        <w:rPr>
          <w:rFonts w:ascii="Arial" w:hAnsi="Arial" w:cs="Arial"/>
          <w:color w:val="281E1E"/>
          <w:sz w:val="24"/>
          <w:szCs w:val="24"/>
        </w:rPr>
      </w:pPr>
      <w:r w:rsidRPr="002D4278">
        <w:rPr>
          <w:rFonts w:ascii="Arial" w:hAnsi="Arial" w:cs="Arial"/>
          <w:color w:val="281E1E"/>
          <w:sz w:val="24"/>
          <w:szCs w:val="24"/>
        </w:rPr>
        <w:lastRenderedPageBreak/>
        <w:t>•</w:t>
      </w:r>
      <w:r w:rsidRPr="002D4278">
        <w:rPr>
          <w:rFonts w:ascii="Arial" w:hAnsi="Arial" w:cs="Arial"/>
          <w:color w:val="281E1E"/>
          <w:sz w:val="24"/>
          <w:szCs w:val="24"/>
        </w:rPr>
        <w:tab/>
        <w:t xml:space="preserve">A survey by Leonard Cheshire published in July 2014 found that: </w:t>
      </w:r>
    </w:p>
    <w:p w:rsidR="002D4278" w:rsidRPr="002D4278" w:rsidRDefault="002D4278" w:rsidP="00A9619E">
      <w:pPr>
        <w:spacing w:after="0" w:line="240" w:lineRule="auto"/>
        <w:ind w:left="1134" w:hanging="283"/>
        <w:rPr>
          <w:rFonts w:ascii="Arial" w:hAnsi="Arial" w:cs="Arial"/>
          <w:color w:val="281E1E"/>
          <w:sz w:val="24"/>
          <w:szCs w:val="24"/>
        </w:rPr>
      </w:pPr>
      <w:r w:rsidRPr="002D4278">
        <w:rPr>
          <w:rFonts w:ascii="Arial" w:hAnsi="Arial" w:cs="Arial"/>
          <w:color w:val="281E1E"/>
          <w:sz w:val="24"/>
          <w:szCs w:val="24"/>
        </w:rPr>
        <w:t>o</w:t>
      </w:r>
      <w:r w:rsidRPr="002D4278">
        <w:rPr>
          <w:rFonts w:ascii="Arial" w:hAnsi="Arial" w:cs="Arial"/>
          <w:color w:val="281E1E"/>
          <w:sz w:val="24"/>
          <w:szCs w:val="24"/>
        </w:rPr>
        <w:tab/>
        <w:t>72% do not have an accessible door into their building (that is one that is easy to get into).</w:t>
      </w:r>
    </w:p>
    <w:p w:rsidR="002D4278" w:rsidRPr="002D4278" w:rsidRDefault="002D4278" w:rsidP="00A9619E">
      <w:pPr>
        <w:spacing w:after="0" w:line="240" w:lineRule="auto"/>
        <w:ind w:left="1134" w:hanging="283"/>
        <w:rPr>
          <w:rFonts w:ascii="Arial" w:hAnsi="Arial" w:cs="Arial"/>
          <w:color w:val="281E1E"/>
          <w:sz w:val="24"/>
          <w:szCs w:val="24"/>
        </w:rPr>
      </w:pPr>
      <w:r w:rsidRPr="002D4278">
        <w:rPr>
          <w:rFonts w:ascii="Arial" w:hAnsi="Arial" w:cs="Arial"/>
          <w:color w:val="281E1E"/>
          <w:sz w:val="24"/>
          <w:szCs w:val="24"/>
        </w:rPr>
        <w:t>o</w:t>
      </w:r>
      <w:r w:rsidRPr="002D4278">
        <w:rPr>
          <w:rFonts w:ascii="Arial" w:hAnsi="Arial" w:cs="Arial"/>
          <w:color w:val="281E1E"/>
          <w:sz w:val="24"/>
          <w:szCs w:val="24"/>
        </w:rPr>
        <w:tab/>
        <w:t>63% reported not having a bathroom large enough to fit a wheelchair;</w:t>
      </w:r>
    </w:p>
    <w:p w:rsidR="002D4278" w:rsidRPr="002D4278" w:rsidRDefault="002D4278" w:rsidP="00A9619E">
      <w:pPr>
        <w:spacing w:after="0" w:line="240" w:lineRule="auto"/>
        <w:ind w:left="1134" w:hanging="283"/>
        <w:rPr>
          <w:rFonts w:ascii="Arial" w:hAnsi="Arial" w:cs="Arial"/>
          <w:color w:val="281E1E"/>
          <w:sz w:val="24"/>
          <w:szCs w:val="24"/>
        </w:rPr>
      </w:pPr>
      <w:r w:rsidRPr="002D4278">
        <w:rPr>
          <w:rFonts w:ascii="Arial" w:hAnsi="Arial" w:cs="Arial"/>
          <w:color w:val="281E1E"/>
          <w:sz w:val="24"/>
          <w:szCs w:val="24"/>
        </w:rPr>
        <w:t>o</w:t>
      </w:r>
      <w:r w:rsidRPr="002D4278">
        <w:rPr>
          <w:rFonts w:ascii="Arial" w:hAnsi="Arial" w:cs="Arial"/>
          <w:color w:val="281E1E"/>
          <w:sz w:val="24"/>
          <w:szCs w:val="24"/>
        </w:rPr>
        <w:tab/>
        <w:t>52% do not have doors and hallways wide enough for a wheelchair.</w:t>
      </w:r>
    </w:p>
    <w:p w:rsidR="002D4278" w:rsidRPr="002D4278" w:rsidRDefault="002D4278" w:rsidP="00A9619E">
      <w:pPr>
        <w:spacing w:after="0" w:line="240" w:lineRule="auto"/>
        <w:ind w:left="1134" w:hanging="283"/>
        <w:rPr>
          <w:rFonts w:ascii="Arial" w:hAnsi="Arial" w:cs="Arial"/>
          <w:color w:val="281E1E"/>
          <w:sz w:val="24"/>
          <w:szCs w:val="24"/>
        </w:rPr>
      </w:pPr>
      <w:r w:rsidRPr="002D4278">
        <w:rPr>
          <w:rFonts w:ascii="Arial" w:hAnsi="Arial" w:cs="Arial"/>
          <w:color w:val="281E1E"/>
          <w:sz w:val="24"/>
          <w:szCs w:val="24"/>
        </w:rPr>
        <w:t>o</w:t>
      </w:r>
      <w:r w:rsidRPr="002D4278">
        <w:rPr>
          <w:rFonts w:ascii="Arial" w:hAnsi="Arial" w:cs="Arial"/>
          <w:color w:val="281E1E"/>
          <w:sz w:val="24"/>
          <w:szCs w:val="24"/>
        </w:rPr>
        <w:tab/>
        <w:t xml:space="preserve">50% do not have stairs big enough for a stair-lift to be fitted. </w:t>
      </w:r>
    </w:p>
    <w:p w:rsidR="002D4278" w:rsidRPr="002D4278" w:rsidRDefault="002D4278" w:rsidP="00A9619E">
      <w:pPr>
        <w:spacing w:after="0" w:line="240" w:lineRule="auto"/>
        <w:rPr>
          <w:rFonts w:ascii="Arial" w:hAnsi="Arial" w:cs="Arial"/>
          <w:color w:val="281E1E"/>
          <w:sz w:val="24"/>
          <w:szCs w:val="24"/>
        </w:rPr>
      </w:pPr>
    </w:p>
    <w:p w:rsidR="002D4278" w:rsidRDefault="002D4278" w:rsidP="00A9619E">
      <w:pPr>
        <w:spacing w:after="0" w:line="240" w:lineRule="auto"/>
        <w:rPr>
          <w:rFonts w:ascii="Arial" w:hAnsi="Arial" w:cs="Arial"/>
          <w:color w:val="281E1E"/>
          <w:sz w:val="24"/>
          <w:szCs w:val="24"/>
        </w:rPr>
      </w:pPr>
      <w:r w:rsidRPr="002D4278">
        <w:rPr>
          <w:rFonts w:ascii="Arial" w:hAnsi="Arial" w:cs="Arial"/>
          <w:color w:val="281E1E"/>
          <w:sz w:val="24"/>
          <w:szCs w:val="24"/>
        </w:rPr>
        <w:t>Inclusion London case studies</w:t>
      </w:r>
      <w:r w:rsidR="00702146">
        <w:rPr>
          <w:rFonts w:ascii="Arial" w:hAnsi="Arial" w:cs="Arial"/>
          <w:color w:val="281E1E"/>
          <w:sz w:val="24"/>
          <w:szCs w:val="24"/>
        </w:rPr>
        <w:t xml:space="preserve"> included in our first written submission are further evidence of this.</w:t>
      </w:r>
    </w:p>
    <w:p w:rsidR="002D4278" w:rsidRPr="002D4278" w:rsidRDefault="002D4278" w:rsidP="00A9619E">
      <w:pPr>
        <w:spacing w:after="0" w:line="240" w:lineRule="auto"/>
        <w:rPr>
          <w:rFonts w:ascii="Arial" w:hAnsi="Arial" w:cs="Arial"/>
          <w:color w:val="281E1E"/>
          <w:sz w:val="24"/>
          <w:szCs w:val="24"/>
        </w:rPr>
      </w:pPr>
    </w:p>
    <w:p w:rsidR="002D4278" w:rsidRPr="00702146" w:rsidRDefault="002D4278" w:rsidP="00A9619E">
      <w:pPr>
        <w:spacing w:after="0" w:line="240" w:lineRule="auto"/>
        <w:rPr>
          <w:rFonts w:ascii="Arial" w:hAnsi="Arial" w:cs="Arial"/>
          <w:b/>
          <w:color w:val="281E1E"/>
          <w:sz w:val="24"/>
          <w:szCs w:val="24"/>
        </w:rPr>
      </w:pPr>
      <w:r w:rsidRPr="00702146">
        <w:rPr>
          <w:rFonts w:ascii="Arial" w:hAnsi="Arial" w:cs="Arial"/>
          <w:b/>
          <w:color w:val="281E1E"/>
          <w:sz w:val="24"/>
          <w:szCs w:val="24"/>
        </w:rPr>
        <w:t>Cost savings</w:t>
      </w:r>
    </w:p>
    <w:p w:rsidR="00702146" w:rsidRDefault="00702146" w:rsidP="00A9619E">
      <w:pPr>
        <w:spacing w:after="0" w:line="240" w:lineRule="auto"/>
        <w:rPr>
          <w:rFonts w:ascii="Arial" w:hAnsi="Arial" w:cs="Arial"/>
          <w:color w:val="281E1E"/>
          <w:sz w:val="24"/>
          <w:szCs w:val="24"/>
        </w:rPr>
      </w:pPr>
      <w:r>
        <w:rPr>
          <w:rFonts w:ascii="Arial" w:hAnsi="Arial" w:cs="Arial"/>
          <w:color w:val="281E1E"/>
          <w:sz w:val="24"/>
          <w:szCs w:val="24"/>
        </w:rPr>
        <w:t>Availability of accessible housing to meet need provides cost savings in the long-term as evidenced by numerous pieces of research, including:</w:t>
      </w:r>
    </w:p>
    <w:p w:rsidR="00A9619E" w:rsidRDefault="002D4278" w:rsidP="00A9619E">
      <w:pPr>
        <w:pStyle w:val="ListParagraph"/>
        <w:numPr>
          <w:ilvl w:val="0"/>
          <w:numId w:val="25"/>
        </w:numPr>
        <w:spacing w:after="0" w:line="240" w:lineRule="auto"/>
        <w:rPr>
          <w:rFonts w:ascii="Arial" w:hAnsi="Arial" w:cs="Arial"/>
          <w:color w:val="281E1E"/>
          <w:sz w:val="24"/>
          <w:szCs w:val="24"/>
        </w:rPr>
      </w:pPr>
      <w:r w:rsidRPr="00A9619E">
        <w:rPr>
          <w:rFonts w:ascii="Arial" w:hAnsi="Arial" w:cs="Arial"/>
          <w:color w:val="281E1E"/>
          <w:sz w:val="24"/>
          <w:szCs w:val="24"/>
        </w:rPr>
        <w:t xml:space="preserve">The ‘Hidden Housing Crisis’ report by Leonard Cheshire </w:t>
      </w:r>
      <w:r w:rsidR="00702146" w:rsidRPr="00A9619E">
        <w:rPr>
          <w:rFonts w:ascii="Arial" w:hAnsi="Arial" w:cs="Arial"/>
          <w:color w:val="281E1E"/>
          <w:sz w:val="24"/>
          <w:szCs w:val="24"/>
        </w:rPr>
        <w:t>showed how falls cau</w:t>
      </w:r>
      <w:r w:rsidR="00A9619E" w:rsidRPr="00A9619E">
        <w:rPr>
          <w:rFonts w:ascii="Arial" w:hAnsi="Arial" w:cs="Arial"/>
          <w:color w:val="281E1E"/>
          <w:sz w:val="24"/>
          <w:szCs w:val="24"/>
        </w:rPr>
        <w:t>sed by inaccessible housing requiring hospital treatment create costs to the NHS</w:t>
      </w:r>
      <w:r w:rsidR="00A9619E">
        <w:rPr>
          <w:rFonts w:ascii="Arial" w:hAnsi="Arial" w:cs="Arial"/>
          <w:color w:val="281E1E"/>
          <w:sz w:val="24"/>
          <w:szCs w:val="24"/>
        </w:rPr>
        <w:t>.</w:t>
      </w:r>
    </w:p>
    <w:p w:rsidR="00A9619E" w:rsidRDefault="00A9619E" w:rsidP="00A9619E">
      <w:pPr>
        <w:pStyle w:val="ListParagraph"/>
        <w:numPr>
          <w:ilvl w:val="0"/>
          <w:numId w:val="25"/>
        </w:numPr>
        <w:spacing w:after="0" w:line="240" w:lineRule="auto"/>
        <w:rPr>
          <w:rFonts w:ascii="Arial" w:hAnsi="Arial" w:cs="Arial"/>
          <w:color w:val="281E1E"/>
          <w:sz w:val="24"/>
          <w:szCs w:val="24"/>
        </w:rPr>
      </w:pPr>
      <w:r>
        <w:rPr>
          <w:rFonts w:ascii="Arial" w:hAnsi="Arial" w:cs="Arial"/>
          <w:color w:val="281E1E"/>
          <w:sz w:val="24"/>
          <w:szCs w:val="24"/>
        </w:rPr>
        <w:t>This report also showed the relative costs of making simple adaptations to a standard home (which could be more than £20,000) compared to the cost of building a home to Lifetime standards in the first place (average cost of £1,100 or less).</w:t>
      </w:r>
    </w:p>
    <w:p w:rsidR="002D4278" w:rsidRPr="00A9619E" w:rsidRDefault="002D4278" w:rsidP="00A9619E">
      <w:pPr>
        <w:pStyle w:val="ListParagraph"/>
        <w:numPr>
          <w:ilvl w:val="0"/>
          <w:numId w:val="25"/>
        </w:numPr>
        <w:spacing w:after="0" w:line="240" w:lineRule="auto"/>
        <w:rPr>
          <w:rFonts w:ascii="Arial" w:hAnsi="Arial" w:cs="Arial"/>
          <w:color w:val="281E1E"/>
          <w:sz w:val="24"/>
          <w:szCs w:val="24"/>
        </w:rPr>
      </w:pPr>
      <w:r w:rsidRPr="00A9619E">
        <w:rPr>
          <w:rFonts w:ascii="Arial" w:hAnsi="Arial" w:cs="Arial"/>
          <w:color w:val="281E1E"/>
          <w:sz w:val="24"/>
          <w:szCs w:val="24"/>
        </w:rPr>
        <w:t xml:space="preserve">The DCLG commissioned report (2012) “Assessing the health benefits of Lifetime Homes”, by the </w:t>
      </w:r>
      <w:r w:rsidR="00702146" w:rsidRPr="00A9619E">
        <w:rPr>
          <w:rFonts w:ascii="Arial" w:hAnsi="Arial" w:cs="Arial"/>
          <w:color w:val="281E1E"/>
          <w:sz w:val="24"/>
          <w:szCs w:val="24"/>
        </w:rPr>
        <w:t>Building Research Establishment</w:t>
      </w:r>
      <w:r w:rsidRPr="00A9619E">
        <w:rPr>
          <w:rFonts w:ascii="Arial" w:hAnsi="Arial" w:cs="Arial"/>
          <w:color w:val="281E1E"/>
          <w:sz w:val="24"/>
          <w:szCs w:val="24"/>
        </w:rPr>
        <w:t>, highlighted cost savings</w:t>
      </w:r>
      <w:r w:rsidR="00A9619E" w:rsidRPr="00A9619E">
        <w:rPr>
          <w:rFonts w:ascii="Arial" w:hAnsi="Arial" w:cs="Arial"/>
          <w:color w:val="281E1E"/>
          <w:sz w:val="24"/>
          <w:szCs w:val="24"/>
        </w:rPr>
        <w:t xml:space="preserve"> associated with Lifetime Homes.</w:t>
      </w:r>
    </w:p>
    <w:p w:rsidR="002D4278" w:rsidRPr="002D4278" w:rsidRDefault="002D4278" w:rsidP="00A9619E">
      <w:pPr>
        <w:spacing w:after="0" w:line="240" w:lineRule="auto"/>
        <w:rPr>
          <w:rFonts w:ascii="Arial" w:hAnsi="Arial" w:cs="Arial"/>
          <w:color w:val="281E1E"/>
          <w:sz w:val="24"/>
          <w:szCs w:val="24"/>
        </w:rPr>
      </w:pPr>
    </w:p>
    <w:p w:rsidR="002D4278" w:rsidRPr="00702146" w:rsidRDefault="002D4278" w:rsidP="00A9619E">
      <w:pPr>
        <w:spacing w:after="0" w:line="240" w:lineRule="auto"/>
        <w:rPr>
          <w:rFonts w:ascii="Arial" w:hAnsi="Arial" w:cs="Arial"/>
          <w:b/>
          <w:color w:val="281E1E"/>
          <w:sz w:val="24"/>
          <w:szCs w:val="24"/>
        </w:rPr>
      </w:pPr>
      <w:r w:rsidRPr="00702146">
        <w:rPr>
          <w:rFonts w:ascii="Arial" w:hAnsi="Arial" w:cs="Arial"/>
          <w:b/>
          <w:color w:val="281E1E"/>
          <w:sz w:val="24"/>
          <w:szCs w:val="24"/>
        </w:rPr>
        <w:t>I</w:t>
      </w:r>
      <w:r w:rsidR="00702146" w:rsidRPr="00702146">
        <w:rPr>
          <w:rFonts w:ascii="Arial" w:hAnsi="Arial" w:cs="Arial"/>
          <w:b/>
          <w:color w:val="281E1E"/>
          <w:sz w:val="24"/>
          <w:szCs w:val="24"/>
        </w:rPr>
        <w:t>nclusion London recommendations:</w:t>
      </w:r>
    </w:p>
    <w:p w:rsidR="00702146" w:rsidRDefault="00702146" w:rsidP="00A9619E">
      <w:pPr>
        <w:spacing w:after="0" w:line="240" w:lineRule="auto"/>
        <w:rPr>
          <w:rFonts w:ascii="Arial" w:hAnsi="Arial" w:cs="Arial"/>
          <w:color w:val="281E1E"/>
          <w:sz w:val="24"/>
          <w:szCs w:val="24"/>
        </w:rPr>
      </w:pPr>
      <w:r>
        <w:rPr>
          <w:rFonts w:ascii="Arial" w:hAnsi="Arial" w:cs="Arial"/>
          <w:color w:val="281E1E"/>
          <w:sz w:val="24"/>
          <w:szCs w:val="24"/>
        </w:rPr>
        <w:t xml:space="preserve">All Local Authorities to be required to meet targets so </w:t>
      </w:r>
      <w:r w:rsidRPr="00702146">
        <w:rPr>
          <w:rFonts w:ascii="Arial" w:hAnsi="Arial" w:cs="Arial"/>
          <w:color w:val="281E1E"/>
          <w:sz w:val="24"/>
          <w:szCs w:val="24"/>
        </w:rPr>
        <w:t>that 90% of new homes are</w:t>
      </w:r>
      <w:r>
        <w:rPr>
          <w:rFonts w:ascii="Arial" w:hAnsi="Arial" w:cs="Arial"/>
          <w:color w:val="281E1E"/>
          <w:sz w:val="24"/>
          <w:szCs w:val="24"/>
        </w:rPr>
        <w:t xml:space="preserve"> built to Requirement M4(2) and</w:t>
      </w:r>
      <w:r w:rsidRPr="00702146">
        <w:rPr>
          <w:rFonts w:ascii="Arial" w:hAnsi="Arial" w:cs="Arial"/>
          <w:color w:val="281E1E"/>
          <w:sz w:val="24"/>
          <w:szCs w:val="24"/>
        </w:rPr>
        <w:t xml:space="preserve"> 10% are built to Requirement M4(3) to be wheelchair accessible.</w:t>
      </w:r>
    </w:p>
    <w:p w:rsidR="00702146" w:rsidRDefault="00702146" w:rsidP="00A9619E">
      <w:pPr>
        <w:spacing w:after="0" w:line="240" w:lineRule="auto"/>
        <w:rPr>
          <w:rFonts w:ascii="Arial" w:hAnsi="Arial" w:cs="Arial"/>
          <w:color w:val="281E1E"/>
          <w:sz w:val="24"/>
          <w:szCs w:val="24"/>
        </w:rPr>
      </w:pPr>
    </w:p>
    <w:p w:rsidR="00A9619E" w:rsidRDefault="00A9619E" w:rsidP="00A9619E">
      <w:pPr>
        <w:spacing w:after="0" w:line="240" w:lineRule="auto"/>
        <w:rPr>
          <w:rFonts w:ascii="Arial" w:hAnsi="Arial" w:cs="Arial"/>
          <w:color w:val="281E1E"/>
          <w:sz w:val="24"/>
          <w:szCs w:val="24"/>
        </w:rPr>
      </w:pPr>
    </w:p>
    <w:p w:rsidR="00A9619E" w:rsidRDefault="00A9619E" w:rsidP="00A9619E">
      <w:pPr>
        <w:spacing w:after="0" w:line="240" w:lineRule="auto"/>
        <w:rPr>
          <w:rFonts w:ascii="Arial" w:hAnsi="Arial" w:cs="Arial"/>
          <w:color w:val="281E1E"/>
          <w:sz w:val="24"/>
          <w:szCs w:val="24"/>
        </w:rPr>
      </w:pPr>
    </w:p>
    <w:p w:rsidR="00A9619E" w:rsidRDefault="00A9619E" w:rsidP="00A9619E">
      <w:pPr>
        <w:spacing w:after="0" w:line="240" w:lineRule="auto"/>
        <w:rPr>
          <w:rFonts w:ascii="Arial" w:hAnsi="Arial" w:cs="Arial"/>
          <w:color w:val="281E1E"/>
          <w:sz w:val="24"/>
          <w:szCs w:val="24"/>
        </w:rPr>
      </w:pPr>
    </w:p>
    <w:p w:rsidR="00702146" w:rsidRPr="00702146" w:rsidRDefault="00702146" w:rsidP="00A9619E">
      <w:pPr>
        <w:spacing w:after="0" w:line="240" w:lineRule="auto"/>
        <w:rPr>
          <w:rFonts w:ascii="Arial" w:hAnsi="Arial" w:cs="Arial"/>
          <w:color w:val="281E1E"/>
          <w:sz w:val="24"/>
          <w:szCs w:val="24"/>
        </w:rPr>
      </w:pPr>
    </w:p>
    <w:p w:rsidR="00702146" w:rsidRPr="00702146" w:rsidRDefault="00702146" w:rsidP="00A9619E">
      <w:pPr>
        <w:spacing w:after="0" w:line="240" w:lineRule="auto"/>
        <w:rPr>
          <w:rFonts w:ascii="Arial" w:hAnsi="Arial" w:cs="Arial"/>
          <w:b/>
          <w:color w:val="281E1E"/>
          <w:sz w:val="24"/>
          <w:szCs w:val="24"/>
        </w:rPr>
      </w:pPr>
      <w:r w:rsidRPr="00702146">
        <w:rPr>
          <w:rFonts w:ascii="Arial" w:hAnsi="Arial" w:cs="Arial"/>
          <w:b/>
          <w:color w:val="281E1E"/>
          <w:sz w:val="24"/>
          <w:szCs w:val="24"/>
        </w:rPr>
        <w:t>About Inclusion London</w:t>
      </w:r>
    </w:p>
    <w:p w:rsidR="00BF375C" w:rsidRDefault="00702146" w:rsidP="00A9619E">
      <w:pPr>
        <w:spacing w:after="0" w:line="240" w:lineRule="auto"/>
        <w:rPr>
          <w:rFonts w:ascii="Arial" w:hAnsi="Arial" w:cs="Arial"/>
          <w:color w:val="281E1E"/>
          <w:sz w:val="24"/>
          <w:szCs w:val="24"/>
        </w:rPr>
      </w:pPr>
      <w:r w:rsidRPr="00702146">
        <w:rPr>
          <w:rFonts w:ascii="Arial" w:hAnsi="Arial" w:cs="Arial"/>
          <w:color w:val="281E1E"/>
          <w:sz w:val="24"/>
          <w:szCs w:val="24"/>
        </w:rPr>
        <w:t>Inclusion London is a London-wide user led organisation providing capacity-building support for over 70 Deaf and Disabled People’s Organisations in London with a reach of over 70,000 Deaf and Disabled Londoners. We are part of the Reclaiming Our Futures Alliance which is a network of grassroots Deaf and Disabled People’s Organisations across England.</w:t>
      </w:r>
    </w:p>
    <w:p w:rsidR="00A9619E" w:rsidRDefault="00A9619E" w:rsidP="00A9619E">
      <w:pPr>
        <w:spacing w:after="0" w:line="240" w:lineRule="auto"/>
        <w:rPr>
          <w:rFonts w:ascii="Arial" w:hAnsi="Arial" w:cs="Arial"/>
          <w:color w:val="281E1E"/>
          <w:sz w:val="24"/>
          <w:szCs w:val="24"/>
        </w:rPr>
      </w:pPr>
    </w:p>
    <w:p w:rsidR="00A9619E" w:rsidRPr="00702146" w:rsidRDefault="00A9619E" w:rsidP="00A9619E">
      <w:pPr>
        <w:spacing w:after="0" w:line="240" w:lineRule="auto"/>
        <w:rPr>
          <w:rFonts w:ascii="Arial" w:hAnsi="Arial" w:cs="Arial"/>
          <w:color w:val="281E1E"/>
          <w:sz w:val="24"/>
          <w:szCs w:val="24"/>
        </w:rPr>
      </w:pPr>
      <w:r w:rsidRPr="00A9619E">
        <w:rPr>
          <w:rFonts w:ascii="Arial" w:hAnsi="Arial" w:cs="Arial"/>
          <w:color w:val="281E1E"/>
          <w:sz w:val="24"/>
          <w:szCs w:val="24"/>
        </w:rPr>
        <w:t>For more info contact Inclusion London Campaigns and Policy team: ellen.clifford@inclusionlondon.org.uk or henriettadoyle@inclusionlondon.org.uk</w:t>
      </w:r>
    </w:p>
    <w:sectPr w:rsidR="00A9619E" w:rsidRPr="00702146" w:rsidSect="00A9619E">
      <w:footerReference w:type="even" r:id="rId9"/>
      <w:footerReference w:type="default" r:id="rId10"/>
      <w:headerReference w:type="first" r:id="rId11"/>
      <w:pgSz w:w="11906" w:h="16838"/>
      <w:pgMar w:top="720" w:right="720" w:bottom="720" w:left="72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851" w:rsidRDefault="00A52851" w:rsidP="005557E3">
      <w:pPr>
        <w:spacing w:after="0" w:line="240" w:lineRule="auto"/>
      </w:pPr>
      <w:r>
        <w:separator/>
      </w:r>
    </w:p>
  </w:endnote>
  <w:endnote w:type="continuationSeparator" w:id="0">
    <w:p w:rsidR="00A52851" w:rsidRDefault="00A52851" w:rsidP="0055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727" w:rsidRDefault="001E7727" w:rsidP="00174D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727" w:rsidRDefault="001E7727" w:rsidP="000C7FC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727" w:rsidRDefault="001E7727" w:rsidP="00174D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619E">
      <w:rPr>
        <w:rStyle w:val="PageNumber"/>
        <w:noProof/>
      </w:rPr>
      <w:t>1</w:t>
    </w:r>
    <w:r>
      <w:rPr>
        <w:rStyle w:val="PageNumber"/>
      </w:rPr>
      <w:fldChar w:fldCharType="end"/>
    </w:r>
  </w:p>
  <w:p w:rsidR="001E7727" w:rsidRDefault="001E7727" w:rsidP="000C7FC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851" w:rsidRDefault="00A52851" w:rsidP="005557E3">
      <w:pPr>
        <w:spacing w:after="0" w:line="240" w:lineRule="auto"/>
      </w:pPr>
      <w:r>
        <w:separator/>
      </w:r>
    </w:p>
  </w:footnote>
  <w:footnote w:type="continuationSeparator" w:id="0">
    <w:p w:rsidR="00A52851" w:rsidRDefault="00A52851" w:rsidP="00555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727" w:rsidRDefault="00413B7F" w:rsidP="00A6121A">
    <w:pPr>
      <w:pStyle w:val="Header"/>
      <w:jc w:val="center"/>
    </w:pPr>
    <w:r>
      <w:rPr>
        <w:noProof/>
        <w:lang w:eastAsia="en-GB"/>
      </w:rPr>
      <w:drawing>
        <wp:inline distT="0" distB="0" distL="0" distR="0">
          <wp:extent cx="6057900" cy="571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19DD"/>
    <w:multiLevelType w:val="hybridMultilevel"/>
    <w:tmpl w:val="496E5104"/>
    <w:lvl w:ilvl="0" w:tplc="A15A7732">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4560E"/>
    <w:multiLevelType w:val="hybridMultilevel"/>
    <w:tmpl w:val="AC80359A"/>
    <w:lvl w:ilvl="0" w:tplc="2D3A6BF2">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36C2B"/>
    <w:multiLevelType w:val="hybridMultilevel"/>
    <w:tmpl w:val="0CD0DE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5B685B"/>
    <w:multiLevelType w:val="hybridMultilevel"/>
    <w:tmpl w:val="ADBEBD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2C215A"/>
    <w:multiLevelType w:val="hybridMultilevel"/>
    <w:tmpl w:val="3E4664F4"/>
    <w:lvl w:ilvl="0" w:tplc="8C120F82">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D3924"/>
    <w:multiLevelType w:val="hybridMultilevel"/>
    <w:tmpl w:val="3A60F356"/>
    <w:lvl w:ilvl="0" w:tplc="C43EFFC2">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9280A"/>
    <w:multiLevelType w:val="hybridMultilevel"/>
    <w:tmpl w:val="9566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F5C50"/>
    <w:multiLevelType w:val="hybridMultilevel"/>
    <w:tmpl w:val="D1A8C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04752F"/>
    <w:multiLevelType w:val="hybridMultilevel"/>
    <w:tmpl w:val="B868F5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E8547D"/>
    <w:multiLevelType w:val="hybridMultilevel"/>
    <w:tmpl w:val="1200EC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6F224B"/>
    <w:multiLevelType w:val="hybridMultilevel"/>
    <w:tmpl w:val="41303836"/>
    <w:lvl w:ilvl="0" w:tplc="597A268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361B5CD8"/>
    <w:multiLevelType w:val="hybridMultilevel"/>
    <w:tmpl w:val="3E9694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ED7981"/>
    <w:multiLevelType w:val="hybridMultilevel"/>
    <w:tmpl w:val="F6409972"/>
    <w:lvl w:ilvl="0" w:tplc="F06600C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06F39"/>
    <w:multiLevelType w:val="hybridMultilevel"/>
    <w:tmpl w:val="534E3DEA"/>
    <w:lvl w:ilvl="0" w:tplc="E006E588">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783A70"/>
    <w:multiLevelType w:val="multilevel"/>
    <w:tmpl w:val="3C284B22"/>
    <w:lvl w:ilvl="0">
      <w:start w:val="1"/>
      <w:numFmt w:val="bullet"/>
      <w:lvlText w:val=""/>
      <w:lvlJc w:val="left"/>
      <w:pPr>
        <w:tabs>
          <w:tab w:val="num" w:pos="280"/>
        </w:tabs>
        <w:ind w:left="280" w:hanging="360"/>
      </w:pPr>
      <w:rPr>
        <w:rFonts w:ascii="Symbol" w:hAnsi="Symbol" w:hint="default"/>
        <w:sz w:val="20"/>
      </w:rPr>
    </w:lvl>
    <w:lvl w:ilvl="1" w:tentative="1">
      <w:start w:val="1"/>
      <w:numFmt w:val="bullet"/>
      <w:lvlText w:val=""/>
      <w:lvlJc w:val="left"/>
      <w:pPr>
        <w:tabs>
          <w:tab w:val="num" w:pos="1000"/>
        </w:tabs>
        <w:ind w:left="1000" w:hanging="360"/>
      </w:pPr>
      <w:rPr>
        <w:rFonts w:ascii="Symbol" w:hAnsi="Symbol" w:hint="default"/>
        <w:sz w:val="20"/>
      </w:rPr>
    </w:lvl>
    <w:lvl w:ilvl="2" w:tentative="1">
      <w:start w:val="1"/>
      <w:numFmt w:val="bullet"/>
      <w:lvlText w:val=""/>
      <w:lvlJc w:val="left"/>
      <w:pPr>
        <w:tabs>
          <w:tab w:val="num" w:pos="1720"/>
        </w:tabs>
        <w:ind w:left="1720" w:hanging="360"/>
      </w:pPr>
      <w:rPr>
        <w:rFonts w:ascii="Symbol" w:hAnsi="Symbol" w:hint="default"/>
        <w:sz w:val="20"/>
      </w:rPr>
    </w:lvl>
    <w:lvl w:ilvl="3" w:tentative="1">
      <w:start w:val="1"/>
      <w:numFmt w:val="bullet"/>
      <w:lvlText w:val=""/>
      <w:lvlJc w:val="left"/>
      <w:pPr>
        <w:tabs>
          <w:tab w:val="num" w:pos="2440"/>
        </w:tabs>
        <w:ind w:left="2440" w:hanging="360"/>
      </w:pPr>
      <w:rPr>
        <w:rFonts w:ascii="Symbol" w:hAnsi="Symbol" w:hint="default"/>
        <w:sz w:val="20"/>
      </w:rPr>
    </w:lvl>
    <w:lvl w:ilvl="4" w:tentative="1">
      <w:start w:val="1"/>
      <w:numFmt w:val="bullet"/>
      <w:lvlText w:val=""/>
      <w:lvlJc w:val="left"/>
      <w:pPr>
        <w:tabs>
          <w:tab w:val="num" w:pos="3160"/>
        </w:tabs>
        <w:ind w:left="3160" w:hanging="360"/>
      </w:pPr>
      <w:rPr>
        <w:rFonts w:ascii="Symbol" w:hAnsi="Symbol" w:hint="default"/>
        <w:sz w:val="20"/>
      </w:rPr>
    </w:lvl>
    <w:lvl w:ilvl="5" w:tentative="1">
      <w:start w:val="1"/>
      <w:numFmt w:val="bullet"/>
      <w:lvlText w:val=""/>
      <w:lvlJc w:val="left"/>
      <w:pPr>
        <w:tabs>
          <w:tab w:val="num" w:pos="3880"/>
        </w:tabs>
        <w:ind w:left="3880" w:hanging="360"/>
      </w:pPr>
      <w:rPr>
        <w:rFonts w:ascii="Symbol" w:hAnsi="Symbol" w:hint="default"/>
        <w:sz w:val="20"/>
      </w:rPr>
    </w:lvl>
    <w:lvl w:ilvl="6" w:tentative="1">
      <w:start w:val="1"/>
      <w:numFmt w:val="bullet"/>
      <w:lvlText w:val=""/>
      <w:lvlJc w:val="left"/>
      <w:pPr>
        <w:tabs>
          <w:tab w:val="num" w:pos="4600"/>
        </w:tabs>
        <w:ind w:left="4600" w:hanging="360"/>
      </w:pPr>
      <w:rPr>
        <w:rFonts w:ascii="Symbol" w:hAnsi="Symbol" w:hint="default"/>
        <w:sz w:val="20"/>
      </w:rPr>
    </w:lvl>
    <w:lvl w:ilvl="7" w:tentative="1">
      <w:start w:val="1"/>
      <w:numFmt w:val="bullet"/>
      <w:lvlText w:val=""/>
      <w:lvlJc w:val="left"/>
      <w:pPr>
        <w:tabs>
          <w:tab w:val="num" w:pos="5320"/>
        </w:tabs>
        <w:ind w:left="5320" w:hanging="360"/>
      </w:pPr>
      <w:rPr>
        <w:rFonts w:ascii="Symbol" w:hAnsi="Symbol" w:hint="default"/>
        <w:sz w:val="20"/>
      </w:rPr>
    </w:lvl>
    <w:lvl w:ilvl="8" w:tentative="1">
      <w:start w:val="1"/>
      <w:numFmt w:val="bullet"/>
      <w:lvlText w:val=""/>
      <w:lvlJc w:val="left"/>
      <w:pPr>
        <w:tabs>
          <w:tab w:val="num" w:pos="6040"/>
        </w:tabs>
        <w:ind w:left="6040" w:hanging="360"/>
      </w:pPr>
      <w:rPr>
        <w:rFonts w:ascii="Symbol" w:hAnsi="Symbol" w:hint="default"/>
        <w:sz w:val="20"/>
      </w:rPr>
    </w:lvl>
  </w:abstractNum>
  <w:abstractNum w:abstractNumId="15" w15:restartNumberingAfterBreak="0">
    <w:nsid w:val="43D501CC"/>
    <w:multiLevelType w:val="hybridMultilevel"/>
    <w:tmpl w:val="3C6EB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2C6DA5"/>
    <w:multiLevelType w:val="hybridMultilevel"/>
    <w:tmpl w:val="500C7230"/>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C8F32B8"/>
    <w:multiLevelType w:val="hybridMultilevel"/>
    <w:tmpl w:val="EDB26E64"/>
    <w:lvl w:ilvl="0" w:tplc="1C6016C2">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64335046"/>
    <w:multiLevelType w:val="hybridMultilevel"/>
    <w:tmpl w:val="9F8A1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DA510E"/>
    <w:multiLevelType w:val="hybridMultilevel"/>
    <w:tmpl w:val="A7E21EA2"/>
    <w:lvl w:ilvl="0" w:tplc="450E8DD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AB45F3"/>
    <w:multiLevelType w:val="hybridMultilevel"/>
    <w:tmpl w:val="8E106D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91217E5"/>
    <w:multiLevelType w:val="hybridMultilevel"/>
    <w:tmpl w:val="D05CCF42"/>
    <w:lvl w:ilvl="0" w:tplc="DE3AF086">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E63B09"/>
    <w:multiLevelType w:val="hybridMultilevel"/>
    <w:tmpl w:val="EEA4B07E"/>
    <w:lvl w:ilvl="0" w:tplc="FE62B868">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623367"/>
    <w:multiLevelType w:val="hybridMultilevel"/>
    <w:tmpl w:val="E2346A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C5F28C1"/>
    <w:multiLevelType w:val="hybridMultilevel"/>
    <w:tmpl w:val="FE221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12"/>
  </w:num>
  <w:num w:numId="4">
    <w:abstractNumId w:val="0"/>
  </w:num>
  <w:num w:numId="5">
    <w:abstractNumId w:val="22"/>
  </w:num>
  <w:num w:numId="6">
    <w:abstractNumId w:val="21"/>
  </w:num>
  <w:num w:numId="7">
    <w:abstractNumId w:val="15"/>
  </w:num>
  <w:num w:numId="8">
    <w:abstractNumId w:val="24"/>
  </w:num>
  <w:num w:numId="9">
    <w:abstractNumId w:val="18"/>
  </w:num>
  <w:num w:numId="10">
    <w:abstractNumId w:val="7"/>
  </w:num>
  <w:num w:numId="11">
    <w:abstractNumId w:val="1"/>
  </w:num>
  <w:num w:numId="12">
    <w:abstractNumId w:val="5"/>
  </w:num>
  <w:num w:numId="13">
    <w:abstractNumId w:val="19"/>
  </w:num>
  <w:num w:numId="14">
    <w:abstractNumId w:val="4"/>
  </w:num>
  <w:num w:numId="15">
    <w:abstractNumId w:val="23"/>
  </w:num>
  <w:num w:numId="16">
    <w:abstractNumId w:val="11"/>
  </w:num>
  <w:num w:numId="17">
    <w:abstractNumId w:val="16"/>
  </w:num>
  <w:num w:numId="18">
    <w:abstractNumId w:val="14"/>
  </w:num>
  <w:num w:numId="19">
    <w:abstractNumId w:val="2"/>
  </w:num>
  <w:num w:numId="20">
    <w:abstractNumId w:val="20"/>
  </w:num>
  <w:num w:numId="21">
    <w:abstractNumId w:val="8"/>
  </w:num>
  <w:num w:numId="22">
    <w:abstractNumId w:val="10"/>
  </w:num>
  <w:num w:numId="23">
    <w:abstractNumId w:val="17"/>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732"/>
    <w:rsid w:val="00020C02"/>
    <w:rsid w:val="0002226F"/>
    <w:rsid w:val="00022ADF"/>
    <w:rsid w:val="0002619E"/>
    <w:rsid w:val="00026F07"/>
    <w:rsid w:val="00032AC9"/>
    <w:rsid w:val="00052693"/>
    <w:rsid w:val="0005286B"/>
    <w:rsid w:val="00055877"/>
    <w:rsid w:val="00060CF6"/>
    <w:rsid w:val="00066BD8"/>
    <w:rsid w:val="00075C90"/>
    <w:rsid w:val="000817E8"/>
    <w:rsid w:val="00082103"/>
    <w:rsid w:val="00086523"/>
    <w:rsid w:val="00096084"/>
    <w:rsid w:val="000961A3"/>
    <w:rsid w:val="00096648"/>
    <w:rsid w:val="000B6A1F"/>
    <w:rsid w:val="000C256E"/>
    <w:rsid w:val="000C458E"/>
    <w:rsid w:val="000C7FC5"/>
    <w:rsid w:val="000D133B"/>
    <w:rsid w:val="000D1550"/>
    <w:rsid w:val="000D1EB4"/>
    <w:rsid w:val="000D391B"/>
    <w:rsid w:val="000E1114"/>
    <w:rsid w:val="000E1485"/>
    <w:rsid w:val="000F6B5C"/>
    <w:rsid w:val="001016D0"/>
    <w:rsid w:val="00101D5A"/>
    <w:rsid w:val="001114B5"/>
    <w:rsid w:val="00113474"/>
    <w:rsid w:val="0011569B"/>
    <w:rsid w:val="001215F1"/>
    <w:rsid w:val="00122EE4"/>
    <w:rsid w:val="00123F88"/>
    <w:rsid w:val="0013615D"/>
    <w:rsid w:val="00137F04"/>
    <w:rsid w:val="0014642A"/>
    <w:rsid w:val="00146878"/>
    <w:rsid w:val="0015459A"/>
    <w:rsid w:val="0017369F"/>
    <w:rsid w:val="00174CE1"/>
    <w:rsid w:val="00174DDB"/>
    <w:rsid w:val="00184A70"/>
    <w:rsid w:val="001A7004"/>
    <w:rsid w:val="001B1EA3"/>
    <w:rsid w:val="001B579E"/>
    <w:rsid w:val="001B69E9"/>
    <w:rsid w:val="001B76B0"/>
    <w:rsid w:val="001C4F89"/>
    <w:rsid w:val="001E2BE7"/>
    <w:rsid w:val="001E46CD"/>
    <w:rsid w:val="001E6259"/>
    <w:rsid w:val="001E7727"/>
    <w:rsid w:val="001F0AD4"/>
    <w:rsid w:val="001F5B19"/>
    <w:rsid w:val="001F6011"/>
    <w:rsid w:val="0020235C"/>
    <w:rsid w:val="00203351"/>
    <w:rsid w:val="00207941"/>
    <w:rsid w:val="00221393"/>
    <w:rsid w:val="00240B58"/>
    <w:rsid w:val="002544BD"/>
    <w:rsid w:val="00273DBE"/>
    <w:rsid w:val="00275C59"/>
    <w:rsid w:val="00277076"/>
    <w:rsid w:val="00285FD1"/>
    <w:rsid w:val="00295C23"/>
    <w:rsid w:val="002A54C4"/>
    <w:rsid w:val="002B577D"/>
    <w:rsid w:val="002C11D0"/>
    <w:rsid w:val="002D4278"/>
    <w:rsid w:val="002D7ADE"/>
    <w:rsid w:val="002D7EA1"/>
    <w:rsid w:val="002F2ED6"/>
    <w:rsid w:val="00306F1D"/>
    <w:rsid w:val="0031277F"/>
    <w:rsid w:val="0031758B"/>
    <w:rsid w:val="003221D3"/>
    <w:rsid w:val="003225CB"/>
    <w:rsid w:val="00335906"/>
    <w:rsid w:val="00347540"/>
    <w:rsid w:val="00351696"/>
    <w:rsid w:val="003526F4"/>
    <w:rsid w:val="00364DAA"/>
    <w:rsid w:val="00370958"/>
    <w:rsid w:val="00375939"/>
    <w:rsid w:val="00377E6A"/>
    <w:rsid w:val="00380A4D"/>
    <w:rsid w:val="00391AE2"/>
    <w:rsid w:val="00394ED1"/>
    <w:rsid w:val="003A3DFD"/>
    <w:rsid w:val="003A474B"/>
    <w:rsid w:val="003B22E4"/>
    <w:rsid w:val="003B2616"/>
    <w:rsid w:val="003B4A8C"/>
    <w:rsid w:val="003B52E5"/>
    <w:rsid w:val="003E0387"/>
    <w:rsid w:val="003E27C3"/>
    <w:rsid w:val="00412824"/>
    <w:rsid w:val="00413B7F"/>
    <w:rsid w:val="00431FF7"/>
    <w:rsid w:val="00434DFF"/>
    <w:rsid w:val="004369B4"/>
    <w:rsid w:val="004369D7"/>
    <w:rsid w:val="004438FC"/>
    <w:rsid w:val="00445E83"/>
    <w:rsid w:val="00455E4B"/>
    <w:rsid w:val="004617FC"/>
    <w:rsid w:val="00472877"/>
    <w:rsid w:val="00472C18"/>
    <w:rsid w:val="004767BB"/>
    <w:rsid w:val="004769F7"/>
    <w:rsid w:val="00480D52"/>
    <w:rsid w:val="00496D6C"/>
    <w:rsid w:val="004C03D1"/>
    <w:rsid w:val="004D34AA"/>
    <w:rsid w:val="004F4DEC"/>
    <w:rsid w:val="00501B11"/>
    <w:rsid w:val="00503FAE"/>
    <w:rsid w:val="00512AC3"/>
    <w:rsid w:val="00513C30"/>
    <w:rsid w:val="00523525"/>
    <w:rsid w:val="00531265"/>
    <w:rsid w:val="00531585"/>
    <w:rsid w:val="00531F7C"/>
    <w:rsid w:val="00535DAE"/>
    <w:rsid w:val="005453DF"/>
    <w:rsid w:val="005557E3"/>
    <w:rsid w:val="00555887"/>
    <w:rsid w:val="00557ACB"/>
    <w:rsid w:val="00560A88"/>
    <w:rsid w:val="005708F7"/>
    <w:rsid w:val="00571642"/>
    <w:rsid w:val="00573B36"/>
    <w:rsid w:val="0058283F"/>
    <w:rsid w:val="005870E0"/>
    <w:rsid w:val="005872C3"/>
    <w:rsid w:val="00590167"/>
    <w:rsid w:val="005B21E2"/>
    <w:rsid w:val="005C4535"/>
    <w:rsid w:val="005D2FBF"/>
    <w:rsid w:val="005D560B"/>
    <w:rsid w:val="005D6476"/>
    <w:rsid w:val="005E07F5"/>
    <w:rsid w:val="005E103F"/>
    <w:rsid w:val="005E2D43"/>
    <w:rsid w:val="006011BE"/>
    <w:rsid w:val="00606A99"/>
    <w:rsid w:val="00624C73"/>
    <w:rsid w:val="0062669C"/>
    <w:rsid w:val="006323FC"/>
    <w:rsid w:val="00644E5C"/>
    <w:rsid w:val="006518D6"/>
    <w:rsid w:val="00665CC4"/>
    <w:rsid w:val="0066642C"/>
    <w:rsid w:val="00667BF8"/>
    <w:rsid w:val="00671E92"/>
    <w:rsid w:val="006830BA"/>
    <w:rsid w:val="0068592A"/>
    <w:rsid w:val="00691AFE"/>
    <w:rsid w:val="006923C0"/>
    <w:rsid w:val="00695F01"/>
    <w:rsid w:val="006A0959"/>
    <w:rsid w:val="006A40E7"/>
    <w:rsid w:val="006B5CF8"/>
    <w:rsid w:val="006B7213"/>
    <w:rsid w:val="006C0FE6"/>
    <w:rsid w:val="006C2417"/>
    <w:rsid w:val="006D5430"/>
    <w:rsid w:val="006D5883"/>
    <w:rsid w:val="006D6FE0"/>
    <w:rsid w:val="006D7EC8"/>
    <w:rsid w:val="006E2CEB"/>
    <w:rsid w:val="006E370A"/>
    <w:rsid w:val="006E6356"/>
    <w:rsid w:val="006F1315"/>
    <w:rsid w:val="006F26E8"/>
    <w:rsid w:val="006F7B2C"/>
    <w:rsid w:val="007005C8"/>
    <w:rsid w:val="00700CD7"/>
    <w:rsid w:val="00702146"/>
    <w:rsid w:val="00704A52"/>
    <w:rsid w:val="007050C1"/>
    <w:rsid w:val="0071500E"/>
    <w:rsid w:val="007252E1"/>
    <w:rsid w:val="00727B36"/>
    <w:rsid w:val="00731081"/>
    <w:rsid w:val="00744325"/>
    <w:rsid w:val="007453F7"/>
    <w:rsid w:val="00745A34"/>
    <w:rsid w:val="00753761"/>
    <w:rsid w:val="00763897"/>
    <w:rsid w:val="00764399"/>
    <w:rsid w:val="0076515F"/>
    <w:rsid w:val="0077178E"/>
    <w:rsid w:val="00774E46"/>
    <w:rsid w:val="007772E2"/>
    <w:rsid w:val="00783268"/>
    <w:rsid w:val="00786B4A"/>
    <w:rsid w:val="00790566"/>
    <w:rsid w:val="00795D39"/>
    <w:rsid w:val="00797C29"/>
    <w:rsid w:val="007A0B05"/>
    <w:rsid w:val="007A12BD"/>
    <w:rsid w:val="007A193E"/>
    <w:rsid w:val="007A3BFD"/>
    <w:rsid w:val="007A6717"/>
    <w:rsid w:val="007A74F5"/>
    <w:rsid w:val="007B2EA3"/>
    <w:rsid w:val="007B2ECB"/>
    <w:rsid w:val="007C3BB9"/>
    <w:rsid w:val="007D6212"/>
    <w:rsid w:val="007D6CFA"/>
    <w:rsid w:val="007E057F"/>
    <w:rsid w:val="007E7F1F"/>
    <w:rsid w:val="0081239F"/>
    <w:rsid w:val="0081448F"/>
    <w:rsid w:val="008205F9"/>
    <w:rsid w:val="00820DD5"/>
    <w:rsid w:val="00822D65"/>
    <w:rsid w:val="0082377D"/>
    <w:rsid w:val="00826467"/>
    <w:rsid w:val="00843B60"/>
    <w:rsid w:val="008451F4"/>
    <w:rsid w:val="00850B64"/>
    <w:rsid w:val="00856AAA"/>
    <w:rsid w:val="00867871"/>
    <w:rsid w:val="008710C5"/>
    <w:rsid w:val="008748D6"/>
    <w:rsid w:val="008825F5"/>
    <w:rsid w:val="008837D2"/>
    <w:rsid w:val="00887646"/>
    <w:rsid w:val="00891239"/>
    <w:rsid w:val="00892A30"/>
    <w:rsid w:val="00893150"/>
    <w:rsid w:val="008936BC"/>
    <w:rsid w:val="008A1DEB"/>
    <w:rsid w:val="008A76BA"/>
    <w:rsid w:val="008A7A5C"/>
    <w:rsid w:val="008D5996"/>
    <w:rsid w:val="008E26B8"/>
    <w:rsid w:val="008E7C8B"/>
    <w:rsid w:val="00905957"/>
    <w:rsid w:val="0091261B"/>
    <w:rsid w:val="00921B91"/>
    <w:rsid w:val="00924726"/>
    <w:rsid w:val="00924C31"/>
    <w:rsid w:val="009277B6"/>
    <w:rsid w:val="00933E0A"/>
    <w:rsid w:val="009473F3"/>
    <w:rsid w:val="00951399"/>
    <w:rsid w:val="00954B07"/>
    <w:rsid w:val="00957A9A"/>
    <w:rsid w:val="00961D0A"/>
    <w:rsid w:val="009755B9"/>
    <w:rsid w:val="0098381F"/>
    <w:rsid w:val="009977AE"/>
    <w:rsid w:val="009A2DEF"/>
    <w:rsid w:val="009A478B"/>
    <w:rsid w:val="009A6D00"/>
    <w:rsid w:val="009A7C37"/>
    <w:rsid w:val="009B2E31"/>
    <w:rsid w:val="009B7175"/>
    <w:rsid w:val="009C3970"/>
    <w:rsid w:val="009C4629"/>
    <w:rsid w:val="009D001A"/>
    <w:rsid w:val="009D116A"/>
    <w:rsid w:val="009D4FD5"/>
    <w:rsid w:val="009D54C1"/>
    <w:rsid w:val="009D5DBB"/>
    <w:rsid w:val="009E45B9"/>
    <w:rsid w:val="009E6FD4"/>
    <w:rsid w:val="009F2D2A"/>
    <w:rsid w:val="009F34F6"/>
    <w:rsid w:val="009F5ED0"/>
    <w:rsid w:val="009F769A"/>
    <w:rsid w:val="00A031FC"/>
    <w:rsid w:val="00A06CC2"/>
    <w:rsid w:val="00A07793"/>
    <w:rsid w:val="00A161C9"/>
    <w:rsid w:val="00A52851"/>
    <w:rsid w:val="00A547C6"/>
    <w:rsid w:val="00A573E2"/>
    <w:rsid w:val="00A6121A"/>
    <w:rsid w:val="00A64EBE"/>
    <w:rsid w:val="00A70593"/>
    <w:rsid w:val="00A7394B"/>
    <w:rsid w:val="00A83F43"/>
    <w:rsid w:val="00A90D3F"/>
    <w:rsid w:val="00A9619E"/>
    <w:rsid w:val="00AA0BAD"/>
    <w:rsid w:val="00AA4500"/>
    <w:rsid w:val="00AA4A68"/>
    <w:rsid w:val="00AC2861"/>
    <w:rsid w:val="00AD5DC3"/>
    <w:rsid w:val="00AE0B1B"/>
    <w:rsid w:val="00B10B00"/>
    <w:rsid w:val="00B166CC"/>
    <w:rsid w:val="00B23E07"/>
    <w:rsid w:val="00B309D5"/>
    <w:rsid w:val="00B348B3"/>
    <w:rsid w:val="00B45D8E"/>
    <w:rsid w:val="00B54D17"/>
    <w:rsid w:val="00B60717"/>
    <w:rsid w:val="00B628AD"/>
    <w:rsid w:val="00B64A33"/>
    <w:rsid w:val="00B70903"/>
    <w:rsid w:val="00B70F78"/>
    <w:rsid w:val="00B71246"/>
    <w:rsid w:val="00B84C0F"/>
    <w:rsid w:val="00B86796"/>
    <w:rsid w:val="00B91DCA"/>
    <w:rsid w:val="00BA3933"/>
    <w:rsid w:val="00BA4F44"/>
    <w:rsid w:val="00BB105C"/>
    <w:rsid w:val="00BB6B8C"/>
    <w:rsid w:val="00BB6DDC"/>
    <w:rsid w:val="00BF345F"/>
    <w:rsid w:val="00BF375C"/>
    <w:rsid w:val="00C0125B"/>
    <w:rsid w:val="00C10184"/>
    <w:rsid w:val="00C13E32"/>
    <w:rsid w:val="00C2024C"/>
    <w:rsid w:val="00C20535"/>
    <w:rsid w:val="00C21C91"/>
    <w:rsid w:val="00C3510D"/>
    <w:rsid w:val="00C42AA2"/>
    <w:rsid w:val="00C52CCD"/>
    <w:rsid w:val="00C52ECA"/>
    <w:rsid w:val="00C7368A"/>
    <w:rsid w:val="00C8501A"/>
    <w:rsid w:val="00C86D03"/>
    <w:rsid w:val="00C900F6"/>
    <w:rsid w:val="00C91365"/>
    <w:rsid w:val="00CA2E7C"/>
    <w:rsid w:val="00CB148B"/>
    <w:rsid w:val="00CC1687"/>
    <w:rsid w:val="00CC62E0"/>
    <w:rsid w:val="00CC6F3E"/>
    <w:rsid w:val="00CC778A"/>
    <w:rsid w:val="00CD0A93"/>
    <w:rsid w:val="00CE12E9"/>
    <w:rsid w:val="00CE67E8"/>
    <w:rsid w:val="00CF25D2"/>
    <w:rsid w:val="00CF44C5"/>
    <w:rsid w:val="00CF4DFD"/>
    <w:rsid w:val="00CF6107"/>
    <w:rsid w:val="00CF7A94"/>
    <w:rsid w:val="00D00B19"/>
    <w:rsid w:val="00D10455"/>
    <w:rsid w:val="00D119E3"/>
    <w:rsid w:val="00D14F23"/>
    <w:rsid w:val="00D161CF"/>
    <w:rsid w:val="00D21AA9"/>
    <w:rsid w:val="00D57AD9"/>
    <w:rsid w:val="00D6197D"/>
    <w:rsid w:val="00D63114"/>
    <w:rsid w:val="00D661F1"/>
    <w:rsid w:val="00D8502F"/>
    <w:rsid w:val="00D87FD4"/>
    <w:rsid w:val="00D966D6"/>
    <w:rsid w:val="00D9786A"/>
    <w:rsid w:val="00DA7732"/>
    <w:rsid w:val="00DB174F"/>
    <w:rsid w:val="00DB2BB7"/>
    <w:rsid w:val="00DB3083"/>
    <w:rsid w:val="00DC06F6"/>
    <w:rsid w:val="00DC2849"/>
    <w:rsid w:val="00DC5E9D"/>
    <w:rsid w:val="00DC7217"/>
    <w:rsid w:val="00DE16C0"/>
    <w:rsid w:val="00DE703E"/>
    <w:rsid w:val="00DF6718"/>
    <w:rsid w:val="00E07A5F"/>
    <w:rsid w:val="00E11C51"/>
    <w:rsid w:val="00E30473"/>
    <w:rsid w:val="00E3583B"/>
    <w:rsid w:val="00E3606D"/>
    <w:rsid w:val="00E36B08"/>
    <w:rsid w:val="00E5755C"/>
    <w:rsid w:val="00E63F0E"/>
    <w:rsid w:val="00E65E86"/>
    <w:rsid w:val="00E66597"/>
    <w:rsid w:val="00E67251"/>
    <w:rsid w:val="00E70F42"/>
    <w:rsid w:val="00E737DB"/>
    <w:rsid w:val="00E764F8"/>
    <w:rsid w:val="00E82E34"/>
    <w:rsid w:val="00E8550E"/>
    <w:rsid w:val="00E95A59"/>
    <w:rsid w:val="00EA59A1"/>
    <w:rsid w:val="00EB3019"/>
    <w:rsid w:val="00EB4982"/>
    <w:rsid w:val="00EC378E"/>
    <w:rsid w:val="00ED352D"/>
    <w:rsid w:val="00EF35CC"/>
    <w:rsid w:val="00EF7AAA"/>
    <w:rsid w:val="00F03457"/>
    <w:rsid w:val="00F04302"/>
    <w:rsid w:val="00F07481"/>
    <w:rsid w:val="00F1263D"/>
    <w:rsid w:val="00F15CAE"/>
    <w:rsid w:val="00F318C6"/>
    <w:rsid w:val="00F32374"/>
    <w:rsid w:val="00F353FC"/>
    <w:rsid w:val="00F43E5F"/>
    <w:rsid w:val="00F44DA0"/>
    <w:rsid w:val="00F514FD"/>
    <w:rsid w:val="00F547AB"/>
    <w:rsid w:val="00F6259F"/>
    <w:rsid w:val="00F625F6"/>
    <w:rsid w:val="00F64689"/>
    <w:rsid w:val="00F64D99"/>
    <w:rsid w:val="00F754F2"/>
    <w:rsid w:val="00F8437F"/>
    <w:rsid w:val="00F94C90"/>
    <w:rsid w:val="00F96778"/>
    <w:rsid w:val="00FB5EE0"/>
    <w:rsid w:val="00FC44D8"/>
    <w:rsid w:val="00FC746D"/>
    <w:rsid w:val="00FD3486"/>
    <w:rsid w:val="00FD4BEC"/>
    <w:rsid w:val="00FE6026"/>
    <w:rsid w:val="00FF5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F4E703"/>
  <w15:docId w15:val="{35E585B1-4495-4E43-AED8-2B820BF5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EB4"/>
    <w:pPr>
      <w:ind w:left="720"/>
      <w:contextualSpacing/>
    </w:pPr>
  </w:style>
  <w:style w:type="table" w:styleId="TableGrid">
    <w:name w:val="Table Grid"/>
    <w:basedOn w:val="TableNormal"/>
    <w:uiPriority w:val="59"/>
    <w:rsid w:val="00082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3268"/>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555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7E3"/>
  </w:style>
  <w:style w:type="paragraph" w:styleId="Footer">
    <w:name w:val="footer"/>
    <w:basedOn w:val="Normal"/>
    <w:link w:val="FooterChar"/>
    <w:uiPriority w:val="99"/>
    <w:unhideWhenUsed/>
    <w:rsid w:val="00555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7E3"/>
  </w:style>
  <w:style w:type="paragraph" w:styleId="BalloonText">
    <w:name w:val="Balloon Text"/>
    <w:basedOn w:val="Normal"/>
    <w:link w:val="BalloonTextChar"/>
    <w:uiPriority w:val="99"/>
    <w:semiHidden/>
    <w:unhideWhenUsed/>
    <w:rsid w:val="005557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57E3"/>
    <w:rPr>
      <w:rFonts w:ascii="Tahoma" w:hAnsi="Tahoma" w:cs="Tahoma"/>
      <w:sz w:val="16"/>
      <w:szCs w:val="16"/>
    </w:rPr>
  </w:style>
  <w:style w:type="character" w:styleId="Hyperlink">
    <w:name w:val="Hyperlink"/>
    <w:uiPriority w:val="99"/>
    <w:unhideWhenUsed/>
    <w:rsid w:val="00F15CAE"/>
    <w:rPr>
      <w:color w:val="0000FF"/>
      <w:u w:val="single"/>
    </w:rPr>
  </w:style>
  <w:style w:type="paragraph" w:styleId="FootnoteText">
    <w:name w:val="footnote text"/>
    <w:basedOn w:val="Normal"/>
    <w:link w:val="FootnoteTextChar1"/>
    <w:uiPriority w:val="99"/>
    <w:semiHidden/>
    <w:unhideWhenUsed/>
    <w:rsid w:val="00203351"/>
    <w:pPr>
      <w:spacing w:after="0" w:line="240" w:lineRule="auto"/>
    </w:pPr>
    <w:rPr>
      <w:sz w:val="20"/>
      <w:szCs w:val="20"/>
    </w:rPr>
  </w:style>
  <w:style w:type="character" w:customStyle="1" w:styleId="FootnoteTextChar1">
    <w:name w:val="Footnote Text Char1"/>
    <w:link w:val="FootnoteText"/>
    <w:uiPriority w:val="99"/>
    <w:semiHidden/>
    <w:rsid w:val="00203351"/>
    <w:rPr>
      <w:sz w:val="20"/>
      <w:szCs w:val="20"/>
    </w:rPr>
  </w:style>
  <w:style w:type="character" w:styleId="FootnoteReference">
    <w:name w:val="footnote reference"/>
    <w:uiPriority w:val="99"/>
    <w:semiHidden/>
    <w:unhideWhenUsed/>
    <w:rsid w:val="00203351"/>
    <w:rPr>
      <w:vertAlign w:val="superscript"/>
    </w:rPr>
  </w:style>
  <w:style w:type="character" w:styleId="FollowedHyperlink">
    <w:name w:val="FollowedHyperlink"/>
    <w:uiPriority w:val="99"/>
    <w:semiHidden/>
    <w:unhideWhenUsed/>
    <w:rsid w:val="00850B64"/>
    <w:rPr>
      <w:color w:val="800080"/>
      <w:u w:val="single"/>
    </w:rPr>
  </w:style>
  <w:style w:type="paragraph" w:customStyle="1" w:styleId="headingquestionTitle">
    <w:name w:val="heading questionTitle"/>
    <w:basedOn w:val="Normal"/>
    <w:rsid w:val="004438FC"/>
    <w:rPr>
      <w:rFonts w:ascii="Arial Unicode MS" w:eastAsia="Arial Unicode MS" w:hAnsi="Arial Unicode MS" w:cs="Arial Unicode MS"/>
      <w:b/>
      <w:bCs/>
      <w:sz w:val="32"/>
      <w:szCs w:val="32"/>
      <w:lang w:eastAsia="en-GB"/>
    </w:rPr>
  </w:style>
  <w:style w:type="character" w:styleId="PageNumber">
    <w:name w:val="page number"/>
    <w:basedOn w:val="DefaultParagraphFont"/>
    <w:rsid w:val="000C7FC5"/>
  </w:style>
  <w:style w:type="paragraph" w:styleId="EndnoteText">
    <w:name w:val="endnote text"/>
    <w:basedOn w:val="Normal"/>
    <w:semiHidden/>
    <w:rsid w:val="00F04302"/>
    <w:pPr>
      <w:spacing w:after="0" w:line="240" w:lineRule="auto"/>
    </w:pPr>
    <w:rPr>
      <w:rFonts w:ascii="Arial" w:eastAsia="Times New Roman" w:hAnsi="Arial"/>
      <w:sz w:val="20"/>
      <w:szCs w:val="20"/>
      <w:lang w:eastAsia="en-GB"/>
    </w:rPr>
  </w:style>
  <w:style w:type="character" w:styleId="EndnoteReference">
    <w:name w:val="endnote reference"/>
    <w:uiPriority w:val="99"/>
    <w:semiHidden/>
    <w:unhideWhenUsed/>
    <w:rsid w:val="008748D6"/>
    <w:rPr>
      <w:vertAlign w:val="superscript"/>
    </w:rPr>
  </w:style>
  <w:style w:type="character" w:customStyle="1" w:styleId="FootnoteTextChar">
    <w:name w:val="Footnote Text Char"/>
    <w:locked/>
    <w:rsid w:val="00BB6B8C"/>
    <w:rPr>
      <w:rFonts w:cs="Times New Roman"/>
      <w:sz w:val="20"/>
      <w:szCs w:val="20"/>
    </w:rPr>
  </w:style>
  <w:style w:type="paragraph" w:styleId="NormalWeb">
    <w:name w:val="Normal (Web)"/>
    <w:basedOn w:val="Normal"/>
    <w:rsid w:val="00C900F6"/>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B10B00"/>
    <w:rPr>
      <w:b/>
      <w:bCs/>
    </w:rPr>
  </w:style>
  <w:style w:type="paragraph" w:styleId="NoSpacing">
    <w:name w:val="No Spacing"/>
    <w:qFormat/>
    <w:rsid w:val="00370958"/>
    <w:rPr>
      <w:rFonts w:eastAsia="Times New Roman"/>
      <w:sz w:val="22"/>
      <w:szCs w:val="22"/>
      <w:lang w:eastAsia="en-US"/>
    </w:rPr>
  </w:style>
  <w:style w:type="character" w:customStyle="1" w:styleId="apple-converted-space">
    <w:name w:val="apple-converted-space"/>
    <w:rsid w:val="00A739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30491">
      <w:bodyDiv w:val="1"/>
      <w:marLeft w:val="0"/>
      <w:marRight w:val="0"/>
      <w:marTop w:val="0"/>
      <w:marBottom w:val="0"/>
      <w:divBdr>
        <w:top w:val="none" w:sz="0" w:space="0" w:color="auto"/>
        <w:left w:val="none" w:sz="0" w:space="0" w:color="auto"/>
        <w:bottom w:val="none" w:sz="0" w:space="0" w:color="auto"/>
        <w:right w:val="none" w:sz="0" w:space="0" w:color="auto"/>
      </w:divBdr>
      <w:divsChild>
        <w:div w:id="507061531">
          <w:marLeft w:val="0"/>
          <w:marRight w:val="0"/>
          <w:marTop w:val="0"/>
          <w:marBottom w:val="0"/>
          <w:divBdr>
            <w:top w:val="none" w:sz="0" w:space="0" w:color="auto"/>
            <w:left w:val="none" w:sz="0" w:space="0" w:color="auto"/>
            <w:bottom w:val="none" w:sz="0" w:space="0" w:color="auto"/>
            <w:right w:val="none" w:sz="0" w:space="0" w:color="auto"/>
          </w:divBdr>
          <w:divsChild>
            <w:div w:id="1830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632">
      <w:bodyDiv w:val="1"/>
      <w:marLeft w:val="60"/>
      <w:marRight w:val="60"/>
      <w:marTop w:val="60"/>
      <w:marBottom w:val="15"/>
      <w:divBdr>
        <w:top w:val="none" w:sz="0" w:space="0" w:color="auto"/>
        <w:left w:val="none" w:sz="0" w:space="0" w:color="auto"/>
        <w:bottom w:val="none" w:sz="0" w:space="0" w:color="auto"/>
        <w:right w:val="none" w:sz="0" w:space="0" w:color="auto"/>
      </w:divBdr>
      <w:divsChild>
        <w:div w:id="1537305168">
          <w:marLeft w:val="0"/>
          <w:marRight w:val="0"/>
          <w:marTop w:val="0"/>
          <w:marBottom w:val="0"/>
          <w:divBdr>
            <w:top w:val="none" w:sz="0" w:space="0" w:color="auto"/>
            <w:left w:val="none" w:sz="0" w:space="0" w:color="auto"/>
            <w:bottom w:val="none" w:sz="0" w:space="0" w:color="auto"/>
            <w:right w:val="none" w:sz="0" w:space="0" w:color="auto"/>
          </w:divBdr>
          <w:divsChild>
            <w:div w:id="102772398">
              <w:marLeft w:val="0"/>
              <w:marRight w:val="0"/>
              <w:marTop w:val="0"/>
              <w:marBottom w:val="0"/>
              <w:divBdr>
                <w:top w:val="none" w:sz="0" w:space="0" w:color="auto"/>
                <w:left w:val="none" w:sz="0" w:space="0" w:color="auto"/>
                <w:bottom w:val="none" w:sz="0" w:space="0" w:color="auto"/>
                <w:right w:val="none" w:sz="0" w:space="0" w:color="auto"/>
              </w:divBdr>
            </w:div>
            <w:div w:id="249433924">
              <w:marLeft w:val="0"/>
              <w:marRight w:val="0"/>
              <w:marTop w:val="0"/>
              <w:marBottom w:val="0"/>
              <w:divBdr>
                <w:top w:val="none" w:sz="0" w:space="0" w:color="auto"/>
                <w:left w:val="none" w:sz="0" w:space="0" w:color="auto"/>
                <w:bottom w:val="none" w:sz="0" w:space="0" w:color="auto"/>
                <w:right w:val="none" w:sz="0" w:space="0" w:color="auto"/>
              </w:divBdr>
            </w:div>
            <w:div w:id="324019442">
              <w:marLeft w:val="0"/>
              <w:marRight w:val="0"/>
              <w:marTop w:val="0"/>
              <w:marBottom w:val="0"/>
              <w:divBdr>
                <w:top w:val="none" w:sz="0" w:space="0" w:color="auto"/>
                <w:left w:val="none" w:sz="0" w:space="0" w:color="auto"/>
                <w:bottom w:val="none" w:sz="0" w:space="0" w:color="auto"/>
                <w:right w:val="none" w:sz="0" w:space="0" w:color="auto"/>
              </w:divBdr>
            </w:div>
            <w:div w:id="398132103">
              <w:marLeft w:val="0"/>
              <w:marRight w:val="0"/>
              <w:marTop w:val="0"/>
              <w:marBottom w:val="0"/>
              <w:divBdr>
                <w:top w:val="none" w:sz="0" w:space="0" w:color="auto"/>
                <w:left w:val="none" w:sz="0" w:space="0" w:color="auto"/>
                <w:bottom w:val="none" w:sz="0" w:space="0" w:color="auto"/>
                <w:right w:val="none" w:sz="0" w:space="0" w:color="auto"/>
              </w:divBdr>
            </w:div>
            <w:div w:id="604385769">
              <w:marLeft w:val="0"/>
              <w:marRight w:val="0"/>
              <w:marTop w:val="0"/>
              <w:marBottom w:val="0"/>
              <w:divBdr>
                <w:top w:val="none" w:sz="0" w:space="0" w:color="auto"/>
                <w:left w:val="none" w:sz="0" w:space="0" w:color="auto"/>
                <w:bottom w:val="none" w:sz="0" w:space="0" w:color="auto"/>
                <w:right w:val="none" w:sz="0" w:space="0" w:color="auto"/>
              </w:divBdr>
            </w:div>
            <w:div w:id="760490092">
              <w:marLeft w:val="0"/>
              <w:marRight w:val="0"/>
              <w:marTop w:val="0"/>
              <w:marBottom w:val="0"/>
              <w:divBdr>
                <w:top w:val="none" w:sz="0" w:space="0" w:color="auto"/>
                <w:left w:val="none" w:sz="0" w:space="0" w:color="auto"/>
                <w:bottom w:val="none" w:sz="0" w:space="0" w:color="auto"/>
                <w:right w:val="none" w:sz="0" w:space="0" w:color="auto"/>
              </w:divBdr>
            </w:div>
            <w:div w:id="860322354">
              <w:marLeft w:val="0"/>
              <w:marRight w:val="0"/>
              <w:marTop w:val="0"/>
              <w:marBottom w:val="0"/>
              <w:divBdr>
                <w:top w:val="none" w:sz="0" w:space="0" w:color="auto"/>
                <w:left w:val="none" w:sz="0" w:space="0" w:color="auto"/>
                <w:bottom w:val="none" w:sz="0" w:space="0" w:color="auto"/>
                <w:right w:val="none" w:sz="0" w:space="0" w:color="auto"/>
              </w:divBdr>
            </w:div>
            <w:div w:id="959073933">
              <w:marLeft w:val="0"/>
              <w:marRight w:val="0"/>
              <w:marTop w:val="0"/>
              <w:marBottom w:val="0"/>
              <w:divBdr>
                <w:top w:val="none" w:sz="0" w:space="0" w:color="auto"/>
                <w:left w:val="none" w:sz="0" w:space="0" w:color="auto"/>
                <w:bottom w:val="none" w:sz="0" w:space="0" w:color="auto"/>
                <w:right w:val="none" w:sz="0" w:space="0" w:color="auto"/>
              </w:divBdr>
            </w:div>
            <w:div w:id="1384986992">
              <w:marLeft w:val="0"/>
              <w:marRight w:val="0"/>
              <w:marTop w:val="0"/>
              <w:marBottom w:val="0"/>
              <w:divBdr>
                <w:top w:val="none" w:sz="0" w:space="0" w:color="auto"/>
                <w:left w:val="none" w:sz="0" w:space="0" w:color="auto"/>
                <w:bottom w:val="none" w:sz="0" w:space="0" w:color="auto"/>
                <w:right w:val="none" w:sz="0" w:space="0" w:color="auto"/>
              </w:divBdr>
            </w:div>
            <w:div w:id="1399284043">
              <w:marLeft w:val="0"/>
              <w:marRight w:val="0"/>
              <w:marTop w:val="0"/>
              <w:marBottom w:val="0"/>
              <w:divBdr>
                <w:top w:val="none" w:sz="0" w:space="0" w:color="auto"/>
                <w:left w:val="none" w:sz="0" w:space="0" w:color="auto"/>
                <w:bottom w:val="none" w:sz="0" w:space="0" w:color="auto"/>
                <w:right w:val="none" w:sz="0" w:space="0" w:color="auto"/>
              </w:divBdr>
            </w:div>
            <w:div w:id="1657686916">
              <w:marLeft w:val="0"/>
              <w:marRight w:val="0"/>
              <w:marTop w:val="0"/>
              <w:marBottom w:val="0"/>
              <w:divBdr>
                <w:top w:val="none" w:sz="0" w:space="0" w:color="auto"/>
                <w:left w:val="none" w:sz="0" w:space="0" w:color="auto"/>
                <w:bottom w:val="none" w:sz="0" w:space="0" w:color="auto"/>
                <w:right w:val="none" w:sz="0" w:space="0" w:color="auto"/>
              </w:divBdr>
            </w:div>
            <w:div w:id="19478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2274">
      <w:bodyDiv w:val="1"/>
      <w:marLeft w:val="0"/>
      <w:marRight w:val="0"/>
      <w:marTop w:val="0"/>
      <w:marBottom w:val="0"/>
      <w:divBdr>
        <w:top w:val="none" w:sz="0" w:space="0" w:color="auto"/>
        <w:left w:val="none" w:sz="0" w:space="0" w:color="auto"/>
        <w:bottom w:val="none" w:sz="0" w:space="0" w:color="auto"/>
        <w:right w:val="none" w:sz="0" w:space="0" w:color="auto"/>
      </w:divBdr>
      <w:divsChild>
        <w:div w:id="2004042043">
          <w:marLeft w:val="0"/>
          <w:marRight w:val="0"/>
          <w:marTop w:val="0"/>
          <w:marBottom w:val="0"/>
          <w:divBdr>
            <w:top w:val="none" w:sz="0" w:space="0" w:color="auto"/>
            <w:left w:val="none" w:sz="0" w:space="0" w:color="auto"/>
            <w:bottom w:val="none" w:sz="0" w:space="0" w:color="auto"/>
            <w:right w:val="none" w:sz="0" w:space="0" w:color="auto"/>
          </w:divBdr>
          <w:divsChild>
            <w:div w:id="183803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72404">
      <w:bodyDiv w:val="1"/>
      <w:marLeft w:val="0"/>
      <w:marRight w:val="0"/>
      <w:marTop w:val="0"/>
      <w:marBottom w:val="0"/>
      <w:divBdr>
        <w:top w:val="none" w:sz="0" w:space="0" w:color="auto"/>
        <w:left w:val="none" w:sz="0" w:space="0" w:color="auto"/>
        <w:bottom w:val="none" w:sz="0" w:space="0" w:color="auto"/>
        <w:right w:val="none" w:sz="0" w:space="0" w:color="auto"/>
      </w:divBdr>
    </w:div>
    <w:div w:id="801845770">
      <w:bodyDiv w:val="1"/>
      <w:marLeft w:val="0"/>
      <w:marRight w:val="0"/>
      <w:marTop w:val="0"/>
      <w:marBottom w:val="0"/>
      <w:divBdr>
        <w:top w:val="none" w:sz="0" w:space="0" w:color="auto"/>
        <w:left w:val="none" w:sz="0" w:space="0" w:color="auto"/>
        <w:bottom w:val="none" w:sz="0" w:space="0" w:color="auto"/>
        <w:right w:val="none" w:sz="0" w:space="0" w:color="auto"/>
      </w:divBdr>
      <w:divsChild>
        <w:div w:id="483470250">
          <w:marLeft w:val="0"/>
          <w:marRight w:val="0"/>
          <w:marTop w:val="0"/>
          <w:marBottom w:val="0"/>
          <w:divBdr>
            <w:top w:val="none" w:sz="0" w:space="0" w:color="auto"/>
            <w:left w:val="none" w:sz="0" w:space="0" w:color="auto"/>
            <w:bottom w:val="none" w:sz="0" w:space="0" w:color="auto"/>
            <w:right w:val="none" w:sz="0" w:space="0" w:color="auto"/>
          </w:divBdr>
          <w:divsChild>
            <w:div w:id="11670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0422">
      <w:bodyDiv w:val="1"/>
      <w:marLeft w:val="0"/>
      <w:marRight w:val="0"/>
      <w:marTop w:val="0"/>
      <w:marBottom w:val="0"/>
      <w:divBdr>
        <w:top w:val="none" w:sz="0" w:space="0" w:color="auto"/>
        <w:left w:val="none" w:sz="0" w:space="0" w:color="auto"/>
        <w:bottom w:val="none" w:sz="0" w:space="0" w:color="auto"/>
        <w:right w:val="none" w:sz="0" w:space="0" w:color="auto"/>
      </w:divBdr>
      <w:divsChild>
        <w:div w:id="666135584">
          <w:marLeft w:val="0"/>
          <w:marRight w:val="0"/>
          <w:marTop w:val="480"/>
          <w:marBottom w:val="480"/>
          <w:divBdr>
            <w:top w:val="none" w:sz="0" w:space="0" w:color="auto"/>
            <w:left w:val="none" w:sz="0" w:space="0" w:color="auto"/>
            <w:bottom w:val="none" w:sz="0" w:space="0" w:color="auto"/>
            <w:right w:val="none" w:sz="0" w:space="0" w:color="auto"/>
          </w:divBdr>
          <w:divsChild>
            <w:div w:id="853223701">
              <w:marLeft w:val="0"/>
              <w:marRight w:val="0"/>
              <w:marTop w:val="0"/>
              <w:marBottom w:val="0"/>
              <w:divBdr>
                <w:top w:val="none" w:sz="0" w:space="0" w:color="auto"/>
                <w:left w:val="none" w:sz="0" w:space="0" w:color="auto"/>
                <w:bottom w:val="none" w:sz="0" w:space="0" w:color="auto"/>
                <w:right w:val="none" w:sz="0" w:space="0" w:color="auto"/>
              </w:divBdr>
              <w:divsChild>
                <w:div w:id="1583830380">
                  <w:marLeft w:val="0"/>
                  <w:marRight w:val="-26"/>
                  <w:marTop w:val="0"/>
                  <w:marBottom w:val="0"/>
                  <w:divBdr>
                    <w:top w:val="none" w:sz="0" w:space="0" w:color="auto"/>
                    <w:left w:val="none" w:sz="0" w:space="0" w:color="auto"/>
                    <w:bottom w:val="none" w:sz="0" w:space="0" w:color="auto"/>
                    <w:right w:val="none" w:sz="0" w:space="0" w:color="auto"/>
                  </w:divBdr>
                  <w:divsChild>
                    <w:div w:id="1866550543">
                      <w:marLeft w:val="7"/>
                      <w:marRight w:val="34"/>
                      <w:marTop w:val="0"/>
                      <w:marBottom w:val="0"/>
                      <w:divBdr>
                        <w:top w:val="none" w:sz="0" w:space="0" w:color="auto"/>
                        <w:left w:val="none" w:sz="0" w:space="0" w:color="auto"/>
                        <w:bottom w:val="none" w:sz="0" w:space="0" w:color="auto"/>
                        <w:right w:val="none" w:sz="0" w:space="0" w:color="auto"/>
                      </w:divBdr>
                      <w:divsChild>
                        <w:div w:id="2062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348056">
      <w:bodyDiv w:val="1"/>
      <w:marLeft w:val="0"/>
      <w:marRight w:val="0"/>
      <w:marTop w:val="0"/>
      <w:marBottom w:val="0"/>
      <w:divBdr>
        <w:top w:val="none" w:sz="0" w:space="0" w:color="auto"/>
        <w:left w:val="none" w:sz="0" w:space="0" w:color="auto"/>
        <w:bottom w:val="none" w:sz="0" w:space="0" w:color="auto"/>
        <w:right w:val="none" w:sz="0" w:space="0" w:color="auto"/>
      </w:divBdr>
    </w:div>
    <w:div w:id="1690908335">
      <w:bodyDiv w:val="1"/>
      <w:marLeft w:val="0"/>
      <w:marRight w:val="0"/>
      <w:marTop w:val="0"/>
      <w:marBottom w:val="0"/>
      <w:divBdr>
        <w:top w:val="none" w:sz="0" w:space="0" w:color="auto"/>
        <w:left w:val="none" w:sz="0" w:space="0" w:color="auto"/>
        <w:bottom w:val="none" w:sz="0" w:space="0" w:color="auto"/>
        <w:right w:val="none" w:sz="0" w:space="0" w:color="auto"/>
      </w:divBdr>
    </w:div>
    <w:div w:id="1964145689">
      <w:bodyDiv w:val="1"/>
      <w:marLeft w:val="80"/>
      <w:marRight w:val="80"/>
      <w:marTop w:val="80"/>
      <w:marBottom w:val="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F9878-3D3E-4E74-A28F-8AC89BFD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Disability Benefits Consortium (DBC) briefing</vt:lpstr>
    </vt:vector>
  </TitlesOfParts>
  <Company>MS Society</Company>
  <LinksUpToDate>false</LinksUpToDate>
  <CharactersWithSpaces>5253</CharactersWithSpaces>
  <SharedDoc>false</SharedDoc>
  <HLinks>
    <vt:vector size="12" baseType="variant">
      <vt:variant>
        <vt:i4>7077920</vt:i4>
      </vt:variant>
      <vt:variant>
        <vt:i4>0</vt:i4>
      </vt:variant>
      <vt:variant>
        <vt:i4>0</vt:i4>
      </vt:variant>
      <vt:variant>
        <vt:i4>5</vt:i4>
      </vt:variant>
      <vt:variant>
        <vt:lpwstr>https://disabilitybenefitsconsortium.wordpress.com/dbc-members/</vt:lpwstr>
      </vt:variant>
      <vt:variant>
        <vt:lpwstr/>
      </vt:variant>
      <vt:variant>
        <vt:i4>720977</vt:i4>
      </vt:variant>
      <vt:variant>
        <vt:i4>0</vt:i4>
      </vt:variant>
      <vt:variant>
        <vt:i4>0</vt:i4>
      </vt:variant>
      <vt:variant>
        <vt:i4>5</vt:i4>
      </vt:variant>
      <vt:variant>
        <vt:lpwstr>https://disabilitybenefitsconsortium.files.wordpress.com/2015/12/esa-review-december-2015.pdf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Benefits Consortium (DBC) briefing</dc:title>
  <dc:subject/>
  <dc:creator>Claire Nurden</dc:creator>
  <cp:keywords/>
  <cp:lastModifiedBy>Ellen Clifford</cp:lastModifiedBy>
  <cp:revision>2</cp:revision>
  <cp:lastPrinted>2016-03-01T16:39:00Z</cp:lastPrinted>
  <dcterms:created xsi:type="dcterms:W3CDTF">2016-12-21T22:39:00Z</dcterms:created>
  <dcterms:modified xsi:type="dcterms:W3CDTF">2016-12-21T22:39:00Z</dcterms:modified>
</cp:coreProperties>
</file>